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389" w:rsidRDefault="002E6389" w:rsidP="002E6389">
      <w:pPr>
        <w:spacing w:line="360" w:lineRule="auto"/>
        <w:jc w:val="center"/>
        <w:rPr>
          <w:rFonts w:ascii="Times New Roman" w:hAnsi="Times New Roman"/>
          <w:b/>
          <w:sz w:val="32"/>
          <w:szCs w:val="32"/>
        </w:rPr>
      </w:pPr>
      <w:r>
        <w:rPr>
          <w:rFonts w:ascii="Times New Roman" w:hAnsi="Times New Roman"/>
          <w:b/>
          <w:sz w:val="32"/>
          <w:szCs w:val="32"/>
        </w:rPr>
        <w:t>UNIVERSIDADE FEDERAL FLUMINENSE</w:t>
      </w:r>
    </w:p>
    <w:p w:rsidR="002E6389" w:rsidRDefault="002E6389" w:rsidP="002E6389">
      <w:pPr>
        <w:spacing w:after="0" w:line="360" w:lineRule="auto"/>
        <w:jc w:val="center"/>
        <w:rPr>
          <w:rFonts w:ascii="Times New Roman" w:hAnsi="Times New Roman"/>
          <w:b/>
          <w:sz w:val="28"/>
          <w:szCs w:val="28"/>
        </w:rPr>
      </w:pPr>
      <w:r w:rsidRPr="00D74367">
        <w:rPr>
          <w:rFonts w:ascii="Times New Roman" w:hAnsi="Times New Roman"/>
          <w:b/>
          <w:sz w:val="28"/>
          <w:szCs w:val="28"/>
        </w:rPr>
        <w:t xml:space="preserve">PROGRAMA DE PÓS-GRADUAÇÃO </w:t>
      </w:r>
    </w:p>
    <w:p w:rsidR="002E6389" w:rsidRPr="00D74367" w:rsidRDefault="002E6389" w:rsidP="002E6389">
      <w:pPr>
        <w:spacing w:line="360" w:lineRule="auto"/>
        <w:jc w:val="center"/>
        <w:rPr>
          <w:rFonts w:ascii="Times New Roman" w:hAnsi="Times New Roman"/>
          <w:b/>
          <w:sz w:val="28"/>
          <w:szCs w:val="28"/>
        </w:rPr>
      </w:pPr>
      <w:r w:rsidRPr="00D74367">
        <w:rPr>
          <w:rFonts w:ascii="Times New Roman" w:hAnsi="Times New Roman"/>
          <w:b/>
          <w:sz w:val="28"/>
          <w:szCs w:val="28"/>
        </w:rPr>
        <w:t>EM HISTÓRIA SOCIAL</w:t>
      </w:r>
    </w:p>
    <w:p w:rsidR="002E6389" w:rsidRDefault="002E6389" w:rsidP="002E6389">
      <w:pPr>
        <w:spacing w:line="360" w:lineRule="auto"/>
        <w:jc w:val="center"/>
        <w:rPr>
          <w:rFonts w:ascii="Times New Roman" w:hAnsi="Times New Roman"/>
          <w:b/>
          <w:sz w:val="28"/>
          <w:szCs w:val="28"/>
        </w:rPr>
      </w:pPr>
    </w:p>
    <w:p w:rsidR="002E6389" w:rsidRDefault="002E6389" w:rsidP="002E6389">
      <w:pPr>
        <w:spacing w:line="360" w:lineRule="auto"/>
        <w:jc w:val="center"/>
        <w:rPr>
          <w:rFonts w:ascii="Times New Roman" w:hAnsi="Times New Roman"/>
          <w:b/>
          <w:sz w:val="28"/>
          <w:szCs w:val="28"/>
        </w:rPr>
      </w:pPr>
    </w:p>
    <w:p w:rsidR="002E6389" w:rsidRDefault="002E6389" w:rsidP="002E6389">
      <w:pPr>
        <w:spacing w:line="360" w:lineRule="auto"/>
        <w:jc w:val="center"/>
        <w:rPr>
          <w:rFonts w:ascii="Times New Roman" w:hAnsi="Times New Roman"/>
          <w:b/>
          <w:sz w:val="28"/>
          <w:szCs w:val="28"/>
        </w:rPr>
      </w:pPr>
    </w:p>
    <w:p w:rsidR="002E6389" w:rsidRDefault="002E6389" w:rsidP="002E6389">
      <w:pPr>
        <w:spacing w:line="360" w:lineRule="auto"/>
        <w:jc w:val="center"/>
        <w:rPr>
          <w:rFonts w:ascii="Times New Roman" w:hAnsi="Times New Roman"/>
          <w:b/>
          <w:sz w:val="28"/>
          <w:szCs w:val="28"/>
        </w:rPr>
      </w:pPr>
      <w:r>
        <w:rPr>
          <w:rFonts w:ascii="Times New Roman" w:hAnsi="Times New Roman"/>
          <w:b/>
          <w:sz w:val="28"/>
          <w:szCs w:val="28"/>
        </w:rPr>
        <w:t>ANDRÉ PEREIRA GUIOT</w:t>
      </w:r>
    </w:p>
    <w:p w:rsidR="002E6389" w:rsidRDefault="002E6389" w:rsidP="002E6389">
      <w:pPr>
        <w:spacing w:line="360" w:lineRule="auto"/>
        <w:jc w:val="center"/>
        <w:rPr>
          <w:rFonts w:ascii="Times New Roman" w:hAnsi="Times New Roman"/>
          <w:b/>
          <w:sz w:val="28"/>
          <w:szCs w:val="28"/>
        </w:rPr>
      </w:pPr>
    </w:p>
    <w:p w:rsidR="002E6389" w:rsidRDefault="002E6389" w:rsidP="002E6389">
      <w:pPr>
        <w:spacing w:line="360" w:lineRule="auto"/>
        <w:jc w:val="center"/>
        <w:rPr>
          <w:rFonts w:ascii="Times New Roman" w:hAnsi="Times New Roman"/>
          <w:b/>
          <w:sz w:val="28"/>
          <w:szCs w:val="28"/>
        </w:rPr>
      </w:pPr>
    </w:p>
    <w:p w:rsidR="002E6389" w:rsidRDefault="002E6389" w:rsidP="002E6389">
      <w:pPr>
        <w:spacing w:line="360" w:lineRule="auto"/>
        <w:jc w:val="center"/>
        <w:rPr>
          <w:rFonts w:ascii="Times New Roman" w:hAnsi="Times New Roman"/>
          <w:b/>
          <w:sz w:val="28"/>
          <w:szCs w:val="28"/>
        </w:rPr>
      </w:pPr>
    </w:p>
    <w:p w:rsidR="002E6389" w:rsidRPr="00CF604A" w:rsidRDefault="002E6389" w:rsidP="002E6389">
      <w:pPr>
        <w:spacing w:line="360" w:lineRule="auto"/>
        <w:jc w:val="center"/>
        <w:rPr>
          <w:rFonts w:ascii="Times New Roman" w:hAnsi="Times New Roman"/>
          <w:sz w:val="32"/>
          <w:szCs w:val="32"/>
        </w:rPr>
      </w:pPr>
      <w:r>
        <w:rPr>
          <w:rFonts w:ascii="Times New Roman" w:hAnsi="Times New Roman"/>
          <w:b/>
          <w:sz w:val="32"/>
          <w:szCs w:val="32"/>
        </w:rPr>
        <w:t>DOMINAÇÃO BURGUESA NO BRASIL -</w:t>
      </w:r>
    </w:p>
    <w:p w:rsidR="002E6389" w:rsidRPr="00CF604A" w:rsidRDefault="002E6389" w:rsidP="002E6389">
      <w:pPr>
        <w:spacing w:after="0"/>
        <w:jc w:val="center"/>
        <w:rPr>
          <w:rFonts w:ascii="Times New Roman" w:hAnsi="Times New Roman"/>
          <w:b/>
          <w:sz w:val="28"/>
          <w:szCs w:val="28"/>
        </w:rPr>
      </w:pPr>
      <w:r>
        <w:rPr>
          <w:rFonts w:ascii="Times New Roman" w:hAnsi="Times New Roman"/>
          <w:b/>
          <w:sz w:val="28"/>
          <w:szCs w:val="28"/>
        </w:rPr>
        <w:t xml:space="preserve">ESTADO E SOCIEDADE CIVIL NO CONSELHO DE DESENVOLVIMENTO ECONÔMICO E SOCIAL (CDES) ENTRE 2003 </w:t>
      </w:r>
      <w:r w:rsidRPr="00900B6F">
        <w:rPr>
          <w:rFonts w:ascii="Times New Roman" w:hAnsi="Times New Roman"/>
          <w:b/>
          <w:sz w:val="24"/>
          <w:szCs w:val="24"/>
        </w:rPr>
        <w:t>E</w:t>
      </w:r>
      <w:r w:rsidRPr="00624E37">
        <w:rPr>
          <w:rFonts w:ascii="Times New Roman" w:hAnsi="Times New Roman"/>
          <w:sz w:val="28"/>
          <w:szCs w:val="28"/>
        </w:rPr>
        <w:t>2</w:t>
      </w:r>
      <w:r>
        <w:rPr>
          <w:rFonts w:ascii="Times New Roman" w:hAnsi="Times New Roman"/>
          <w:b/>
          <w:sz w:val="28"/>
          <w:szCs w:val="28"/>
        </w:rPr>
        <w:t>010</w:t>
      </w:r>
    </w:p>
    <w:p w:rsidR="002E6389" w:rsidRDefault="002E6389" w:rsidP="002E6389">
      <w:pPr>
        <w:spacing w:line="360" w:lineRule="auto"/>
        <w:jc w:val="center"/>
        <w:rPr>
          <w:rFonts w:ascii="Times New Roman" w:hAnsi="Times New Roman"/>
          <w:b/>
          <w:sz w:val="28"/>
          <w:szCs w:val="28"/>
        </w:rPr>
      </w:pPr>
    </w:p>
    <w:p w:rsidR="002E6389" w:rsidRDefault="002E6389" w:rsidP="002E6389">
      <w:pPr>
        <w:spacing w:line="360" w:lineRule="auto"/>
        <w:jc w:val="center"/>
        <w:rPr>
          <w:rFonts w:ascii="Times New Roman" w:hAnsi="Times New Roman"/>
          <w:b/>
          <w:sz w:val="28"/>
          <w:szCs w:val="28"/>
        </w:rPr>
      </w:pPr>
    </w:p>
    <w:p w:rsidR="002E6389" w:rsidRDefault="002E6389" w:rsidP="002E6389">
      <w:pPr>
        <w:spacing w:line="360" w:lineRule="auto"/>
        <w:jc w:val="center"/>
        <w:rPr>
          <w:rFonts w:ascii="Times New Roman" w:hAnsi="Times New Roman"/>
          <w:b/>
          <w:sz w:val="28"/>
          <w:szCs w:val="28"/>
        </w:rPr>
      </w:pPr>
    </w:p>
    <w:p w:rsidR="002E6389" w:rsidRDefault="002E6389" w:rsidP="002E6389">
      <w:pPr>
        <w:spacing w:line="360" w:lineRule="auto"/>
        <w:jc w:val="center"/>
        <w:rPr>
          <w:rFonts w:ascii="Times New Roman" w:hAnsi="Times New Roman"/>
          <w:b/>
          <w:sz w:val="28"/>
          <w:szCs w:val="28"/>
        </w:rPr>
      </w:pPr>
      <w:r>
        <w:rPr>
          <w:rFonts w:ascii="Times New Roman" w:hAnsi="Times New Roman"/>
          <w:b/>
          <w:sz w:val="28"/>
          <w:szCs w:val="28"/>
        </w:rPr>
        <w:t>Professora Orientadora: Virgínia Fontes</w:t>
      </w:r>
    </w:p>
    <w:p w:rsidR="002E6389" w:rsidRDefault="002E6389" w:rsidP="002E6389">
      <w:pPr>
        <w:spacing w:line="360" w:lineRule="auto"/>
        <w:jc w:val="center"/>
        <w:rPr>
          <w:rFonts w:ascii="Times New Roman" w:hAnsi="Times New Roman"/>
          <w:b/>
          <w:sz w:val="28"/>
          <w:szCs w:val="28"/>
        </w:rPr>
      </w:pPr>
    </w:p>
    <w:p w:rsidR="002E6389" w:rsidRDefault="002E6389" w:rsidP="002E6389">
      <w:pPr>
        <w:spacing w:line="360" w:lineRule="auto"/>
        <w:jc w:val="center"/>
        <w:rPr>
          <w:rFonts w:ascii="Times New Roman" w:hAnsi="Times New Roman"/>
          <w:b/>
          <w:sz w:val="28"/>
          <w:szCs w:val="28"/>
        </w:rPr>
      </w:pPr>
    </w:p>
    <w:p w:rsidR="002E6389" w:rsidRDefault="002E6389" w:rsidP="002E6389">
      <w:pPr>
        <w:spacing w:after="0" w:line="480" w:lineRule="auto"/>
        <w:jc w:val="center"/>
        <w:rPr>
          <w:rFonts w:ascii="Times New Roman" w:hAnsi="Times New Roman"/>
          <w:sz w:val="24"/>
          <w:szCs w:val="24"/>
        </w:rPr>
      </w:pPr>
      <w:r>
        <w:rPr>
          <w:rFonts w:ascii="Times New Roman" w:hAnsi="Times New Roman"/>
          <w:sz w:val="24"/>
          <w:szCs w:val="24"/>
        </w:rPr>
        <w:t>Niterói</w:t>
      </w:r>
    </w:p>
    <w:p w:rsidR="002E6389" w:rsidRDefault="001E4B9E" w:rsidP="002E6389">
      <w:pPr>
        <w:spacing w:after="0" w:line="480" w:lineRule="auto"/>
        <w:jc w:val="center"/>
      </w:pPr>
      <w:r>
        <w:rPr>
          <w:rFonts w:ascii="Times New Roman" w:hAnsi="Times New Roman"/>
          <w:sz w:val="24"/>
          <w:szCs w:val="24"/>
        </w:rPr>
        <w:t>Abril</w:t>
      </w:r>
      <w:r w:rsidR="002E6389">
        <w:rPr>
          <w:rFonts w:ascii="Times New Roman" w:hAnsi="Times New Roman"/>
          <w:sz w:val="24"/>
          <w:szCs w:val="24"/>
        </w:rPr>
        <w:t xml:space="preserve"> de 2015</w:t>
      </w:r>
    </w:p>
    <w:p w:rsidR="00986E19" w:rsidRPr="00D756BA" w:rsidRDefault="00986E19" w:rsidP="00986E19">
      <w:pPr>
        <w:spacing w:line="360" w:lineRule="auto"/>
        <w:jc w:val="center"/>
        <w:rPr>
          <w:rFonts w:ascii="Times New Roman" w:hAnsi="Times New Roman"/>
          <w:sz w:val="24"/>
          <w:szCs w:val="24"/>
        </w:rPr>
      </w:pPr>
      <w:r>
        <w:rPr>
          <w:rFonts w:ascii="Times New Roman" w:hAnsi="Times New Roman"/>
          <w:b/>
          <w:sz w:val="28"/>
          <w:szCs w:val="28"/>
        </w:rPr>
        <w:lastRenderedPageBreak/>
        <w:t>ANDRÉ PEREIRA GUIOT</w:t>
      </w:r>
    </w:p>
    <w:p w:rsidR="00986E19" w:rsidRDefault="00986E19" w:rsidP="00986E19">
      <w:pPr>
        <w:spacing w:line="360" w:lineRule="auto"/>
        <w:jc w:val="center"/>
        <w:rPr>
          <w:rFonts w:ascii="Times New Roman" w:hAnsi="Times New Roman"/>
          <w:b/>
          <w:sz w:val="24"/>
          <w:szCs w:val="24"/>
        </w:rPr>
      </w:pPr>
    </w:p>
    <w:p w:rsidR="00986E19" w:rsidRDefault="00986E19" w:rsidP="00986E19">
      <w:pPr>
        <w:spacing w:line="360" w:lineRule="auto"/>
        <w:jc w:val="center"/>
        <w:rPr>
          <w:rFonts w:ascii="Times New Roman" w:hAnsi="Times New Roman"/>
          <w:b/>
          <w:sz w:val="24"/>
          <w:szCs w:val="24"/>
        </w:rPr>
      </w:pPr>
    </w:p>
    <w:p w:rsidR="00986E19" w:rsidRDefault="00986E19" w:rsidP="00986E19">
      <w:pPr>
        <w:spacing w:line="360" w:lineRule="auto"/>
        <w:jc w:val="center"/>
        <w:rPr>
          <w:rFonts w:ascii="Times New Roman" w:hAnsi="Times New Roman"/>
          <w:b/>
          <w:sz w:val="24"/>
          <w:szCs w:val="24"/>
        </w:rPr>
      </w:pPr>
    </w:p>
    <w:p w:rsidR="00986E19" w:rsidRDefault="00986E19" w:rsidP="00986E19">
      <w:pPr>
        <w:spacing w:line="360" w:lineRule="auto"/>
        <w:jc w:val="center"/>
        <w:rPr>
          <w:rFonts w:ascii="Times New Roman" w:hAnsi="Times New Roman"/>
          <w:b/>
          <w:sz w:val="24"/>
          <w:szCs w:val="24"/>
        </w:rPr>
      </w:pPr>
    </w:p>
    <w:p w:rsidR="00986E19" w:rsidRDefault="00986E19" w:rsidP="00986E19">
      <w:pPr>
        <w:spacing w:line="360" w:lineRule="auto"/>
        <w:jc w:val="center"/>
        <w:rPr>
          <w:rFonts w:ascii="Times New Roman" w:hAnsi="Times New Roman"/>
          <w:b/>
          <w:sz w:val="24"/>
          <w:szCs w:val="24"/>
        </w:rPr>
      </w:pPr>
    </w:p>
    <w:p w:rsidR="00986E19" w:rsidRPr="00CF604A" w:rsidRDefault="00986E19" w:rsidP="00986E19">
      <w:pPr>
        <w:spacing w:line="360" w:lineRule="auto"/>
        <w:jc w:val="center"/>
        <w:rPr>
          <w:rFonts w:ascii="Times New Roman" w:hAnsi="Times New Roman"/>
          <w:sz w:val="32"/>
          <w:szCs w:val="32"/>
        </w:rPr>
      </w:pPr>
      <w:r>
        <w:rPr>
          <w:rFonts w:ascii="Times New Roman" w:hAnsi="Times New Roman"/>
          <w:b/>
          <w:sz w:val="32"/>
          <w:szCs w:val="32"/>
        </w:rPr>
        <w:t>DOMINAÇÃO BURGUESA NO BRASIL -</w:t>
      </w:r>
    </w:p>
    <w:p w:rsidR="00986E19" w:rsidRPr="00CF604A" w:rsidRDefault="00986E19" w:rsidP="00986E19">
      <w:pPr>
        <w:spacing w:after="0"/>
        <w:jc w:val="center"/>
        <w:rPr>
          <w:rFonts w:ascii="Times New Roman" w:hAnsi="Times New Roman"/>
          <w:b/>
          <w:sz w:val="28"/>
          <w:szCs w:val="28"/>
        </w:rPr>
      </w:pPr>
      <w:r>
        <w:rPr>
          <w:rFonts w:ascii="Times New Roman" w:hAnsi="Times New Roman"/>
          <w:b/>
          <w:sz w:val="28"/>
          <w:szCs w:val="28"/>
        </w:rPr>
        <w:t xml:space="preserve">ESTADO E SOCIEDADE CIVIL NO CONSELHO DE DESENVOLVIMENTO ECONÔMICO E SOCIAL (CDES) ENTRE 2003 </w:t>
      </w:r>
      <w:r w:rsidRPr="00AF4373">
        <w:rPr>
          <w:rFonts w:ascii="Times New Roman" w:hAnsi="Times New Roman"/>
          <w:b/>
          <w:sz w:val="24"/>
          <w:szCs w:val="24"/>
        </w:rPr>
        <w:t>E</w:t>
      </w:r>
      <w:r w:rsidRPr="00624E37">
        <w:rPr>
          <w:rFonts w:ascii="Times New Roman" w:hAnsi="Times New Roman"/>
          <w:sz w:val="28"/>
          <w:szCs w:val="28"/>
        </w:rPr>
        <w:t xml:space="preserve"> 2</w:t>
      </w:r>
      <w:r>
        <w:rPr>
          <w:rFonts w:ascii="Times New Roman" w:hAnsi="Times New Roman"/>
          <w:b/>
          <w:sz w:val="28"/>
          <w:szCs w:val="28"/>
        </w:rPr>
        <w:t>010</w:t>
      </w:r>
    </w:p>
    <w:p w:rsidR="00986E19" w:rsidRPr="00CF604A" w:rsidRDefault="00986E19" w:rsidP="00986E19">
      <w:pPr>
        <w:spacing w:after="0"/>
        <w:jc w:val="center"/>
        <w:rPr>
          <w:rFonts w:ascii="Times New Roman" w:hAnsi="Times New Roman"/>
          <w:b/>
          <w:sz w:val="28"/>
          <w:szCs w:val="28"/>
        </w:rPr>
      </w:pPr>
    </w:p>
    <w:p w:rsidR="00986E19" w:rsidRDefault="00986E19" w:rsidP="00986E19">
      <w:pPr>
        <w:spacing w:line="360" w:lineRule="auto"/>
        <w:jc w:val="center"/>
        <w:rPr>
          <w:rFonts w:ascii="Times New Roman" w:hAnsi="Times New Roman"/>
          <w:b/>
          <w:sz w:val="24"/>
          <w:szCs w:val="24"/>
        </w:rPr>
      </w:pPr>
    </w:p>
    <w:p w:rsidR="00986E19" w:rsidRDefault="00986E19" w:rsidP="00986E19">
      <w:pPr>
        <w:spacing w:line="360" w:lineRule="auto"/>
        <w:jc w:val="center"/>
        <w:rPr>
          <w:rFonts w:ascii="Times New Roman" w:hAnsi="Times New Roman"/>
          <w:b/>
          <w:sz w:val="24"/>
          <w:szCs w:val="24"/>
        </w:rPr>
      </w:pPr>
    </w:p>
    <w:p w:rsidR="00986E19" w:rsidRDefault="00986E19" w:rsidP="00986E19">
      <w:pPr>
        <w:spacing w:line="360" w:lineRule="auto"/>
        <w:jc w:val="center"/>
        <w:rPr>
          <w:rFonts w:ascii="Times New Roman" w:hAnsi="Times New Roman"/>
          <w:b/>
          <w:sz w:val="24"/>
          <w:szCs w:val="24"/>
        </w:rPr>
      </w:pPr>
    </w:p>
    <w:p w:rsidR="00986E19" w:rsidRDefault="00986E19" w:rsidP="00986E19">
      <w:pPr>
        <w:spacing w:line="360" w:lineRule="auto"/>
        <w:jc w:val="center"/>
        <w:rPr>
          <w:rFonts w:ascii="Times New Roman" w:hAnsi="Times New Roman"/>
          <w:b/>
          <w:sz w:val="24"/>
          <w:szCs w:val="24"/>
        </w:rPr>
      </w:pPr>
    </w:p>
    <w:p w:rsidR="00986E19" w:rsidRPr="00DA5368" w:rsidRDefault="00986E19" w:rsidP="00986E19">
      <w:pPr>
        <w:autoSpaceDE w:val="0"/>
        <w:autoSpaceDN w:val="0"/>
        <w:adjustRightInd w:val="0"/>
        <w:spacing w:after="0"/>
        <w:ind w:left="3402"/>
        <w:rPr>
          <w:rFonts w:ascii="Times New Roman" w:hAnsi="Times New Roman"/>
          <w:sz w:val="24"/>
          <w:szCs w:val="24"/>
        </w:rPr>
      </w:pPr>
      <w:r w:rsidRPr="00DA5368">
        <w:rPr>
          <w:rFonts w:ascii="Times New Roman" w:hAnsi="Times New Roman"/>
          <w:sz w:val="24"/>
          <w:szCs w:val="24"/>
        </w:rPr>
        <w:t xml:space="preserve">Tese apresentada ao Programa de Pós-Graduação em História </w:t>
      </w:r>
      <w:r>
        <w:rPr>
          <w:rFonts w:ascii="Times New Roman" w:hAnsi="Times New Roman"/>
          <w:sz w:val="24"/>
          <w:szCs w:val="24"/>
        </w:rPr>
        <w:t xml:space="preserve">Social </w:t>
      </w:r>
      <w:r w:rsidRPr="00DA5368">
        <w:rPr>
          <w:rFonts w:ascii="Times New Roman" w:hAnsi="Times New Roman"/>
          <w:sz w:val="24"/>
          <w:szCs w:val="24"/>
        </w:rPr>
        <w:t xml:space="preserve">da </w:t>
      </w:r>
      <w:r>
        <w:rPr>
          <w:rFonts w:ascii="Times New Roman" w:hAnsi="Times New Roman"/>
          <w:sz w:val="24"/>
          <w:szCs w:val="24"/>
        </w:rPr>
        <w:t>Universidade Federal Fluminensecomo requisito parcial para a obtenção do grau de Doutor em História, sob a orientação da Professora Doutora Virgínia Fontes.</w:t>
      </w:r>
    </w:p>
    <w:p w:rsidR="00986E19" w:rsidRPr="00DA5368" w:rsidRDefault="00986E19" w:rsidP="00986E19">
      <w:pPr>
        <w:autoSpaceDE w:val="0"/>
        <w:autoSpaceDN w:val="0"/>
        <w:adjustRightInd w:val="0"/>
        <w:spacing w:line="240" w:lineRule="auto"/>
        <w:ind w:left="3402"/>
        <w:rPr>
          <w:rFonts w:ascii="Times New Roman" w:hAnsi="Times New Roman"/>
          <w:sz w:val="24"/>
          <w:szCs w:val="24"/>
        </w:rPr>
      </w:pPr>
    </w:p>
    <w:p w:rsidR="00986E19" w:rsidRDefault="00986E19" w:rsidP="00986E19">
      <w:pPr>
        <w:spacing w:after="0" w:line="480" w:lineRule="auto"/>
        <w:jc w:val="center"/>
        <w:rPr>
          <w:rFonts w:ascii="Times New Roman" w:hAnsi="Times New Roman"/>
          <w:sz w:val="24"/>
          <w:szCs w:val="24"/>
        </w:rPr>
      </w:pPr>
    </w:p>
    <w:p w:rsidR="00986E19" w:rsidRDefault="00986E19" w:rsidP="00986E19">
      <w:pPr>
        <w:spacing w:after="0" w:line="480" w:lineRule="auto"/>
        <w:jc w:val="center"/>
        <w:rPr>
          <w:rFonts w:ascii="Times New Roman" w:hAnsi="Times New Roman"/>
          <w:sz w:val="24"/>
          <w:szCs w:val="24"/>
        </w:rPr>
      </w:pPr>
    </w:p>
    <w:p w:rsidR="00986E19" w:rsidRDefault="00986E19" w:rsidP="00986E19">
      <w:pPr>
        <w:spacing w:after="0" w:line="480" w:lineRule="auto"/>
        <w:jc w:val="center"/>
        <w:rPr>
          <w:rFonts w:ascii="Times New Roman" w:hAnsi="Times New Roman"/>
          <w:sz w:val="24"/>
          <w:szCs w:val="24"/>
        </w:rPr>
      </w:pPr>
    </w:p>
    <w:p w:rsidR="00507E7D" w:rsidRDefault="00507E7D" w:rsidP="00986E19">
      <w:pPr>
        <w:spacing w:after="0" w:line="480" w:lineRule="auto"/>
        <w:jc w:val="center"/>
        <w:rPr>
          <w:rFonts w:ascii="Times New Roman" w:hAnsi="Times New Roman"/>
          <w:sz w:val="24"/>
          <w:szCs w:val="24"/>
        </w:rPr>
      </w:pPr>
    </w:p>
    <w:p w:rsidR="00986E19" w:rsidRDefault="00986E19" w:rsidP="00986E19">
      <w:pPr>
        <w:spacing w:after="0" w:line="480" w:lineRule="auto"/>
        <w:jc w:val="center"/>
        <w:rPr>
          <w:rFonts w:ascii="Times New Roman" w:hAnsi="Times New Roman"/>
          <w:sz w:val="24"/>
          <w:szCs w:val="24"/>
        </w:rPr>
      </w:pPr>
      <w:r>
        <w:rPr>
          <w:rFonts w:ascii="Times New Roman" w:hAnsi="Times New Roman"/>
          <w:sz w:val="24"/>
          <w:szCs w:val="24"/>
        </w:rPr>
        <w:t>Niterói</w:t>
      </w:r>
    </w:p>
    <w:p w:rsidR="00986E19" w:rsidRDefault="00986E19" w:rsidP="00986E19">
      <w:pPr>
        <w:spacing w:after="0" w:line="480" w:lineRule="auto"/>
        <w:jc w:val="center"/>
        <w:rPr>
          <w:rFonts w:ascii="Times New Roman" w:hAnsi="Times New Roman"/>
          <w:sz w:val="24"/>
          <w:szCs w:val="24"/>
        </w:rPr>
      </w:pPr>
      <w:r>
        <w:rPr>
          <w:rFonts w:ascii="Times New Roman" w:hAnsi="Times New Roman"/>
          <w:sz w:val="24"/>
          <w:szCs w:val="24"/>
        </w:rPr>
        <w:t>2015</w:t>
      </w: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D70716" w:rsidRPr="00D70716" w:rsidRDefault="00D70716" w:rsidP="00986E19">
      <w:pPr>
        <w:spacing w:line="360" w:lineRule="auto"/>
        <w:jc w:val="center"/>
        <w:rPr>
          <w:rFonts w:ascii="Times New Roman" w:hAnsi="Times New Roman"/>
          <w:b/>
          <w:sz w:val="24"/>
          <w:szCs w:val="24"/>
        </w:rPr>
      </w:pPr>
      <w:r w:rsidRPr="00D70716">
        <w:rPr>
          <w:rFonts w:ascii="Times New Roman" w:hAnsi="Times New Roman"/>
          <w:b/>
          <w:bCs/>
          <w:sz w:val="24"/>
          <w:szCs w:val="24"/>
        </w:rPr>
        <w:t>Ficha Catalográfica elaborada pela Biblioteca Central do Gragoatá</w:t>
      </w:r>
    </w:p>
    <w:p w:rsidR="00D70716" w:rsidRDefault="00DB7322" w:rsidP="00986E19">
      <w:pPr>
        <w:spacing w:line="360" w:lineRule="auto"/>
        <w:jc w:val="center"/>
        <w:rPr>
          <w:rFonts w:ascii="Times New Roman" w:hAnsi="Times New Roman"/>
          <w:b/>
          <w:sz w:val="28"/>
          <w:szCs w:val="28"/>
        </w:rPr>
      </w:pPr>
      <w:r>
        <w:rPr>
          <w:rFonts w:ascii="Times New Roman" w:hAnsi="Times New Roman"/>
          <w:b/>
          <w:noProof/>
          <w:sz w:val="28"/>
          <w:szCs w:val="28"/>
          <w:lang w:eastAsia="pt-BR"/>
        </w:rPr>
        <w:pict>
          <v:shapetype id="_x0000_t202" coordsize="21600,21600" o:spt="202" path="m,l,21600r21600,l21600,xe">
            <v:stroke joinstyle="miter"/>
            <v:path gradientshapeok="t" o:connecttype="rect"/>
          </v:shapetype>
          <v:shape id="_x0000_s1042" type="#_x0000_t202" style="position:absolute;left:0;text-align:left;margin-left:22.45pt;margin-top:23.7pt;width:374.55pt;height:236.5pt;z-index:251665408;mso-wrap-distance-left:9.05pt;mso-wrap-distance-right:9.05pt">
            <v:fill color2="black"/>
            <v:textbox style="mso-next-textbox:#_x0000_s1042">
              <w:txbxContent>
                <w:p w:rsidR="00DD31B9" w:rsidRPr="00D70716" w:rsidRDefault="00DD31B9" w:rsidP="00FA1601">
                  <w:pPr>
                    <w:pStyle w:val="Ttulo1"/>
                    <w:keepNext/>
                    <w:numPr>
                      <w:ilvl w:val="0"/>
                      <w:numId w:val="26"/>
                    </w:numPr>
                    <w:suppressAutoHyphens/>
                    <w:spacing w:before="0" w:beforeAutospacing="0" w:after="0" w:afterAutospacing="0"/>
                    <w:ind w:left="709" w:hanging="709"/>
                  </w:pPr>
                  <w:r w:rsidRPr="00D70716">
                    <w:rPr>
                      <w:b w:val="0"/>
                      <w:sz w:val="22"/>
                      <w:szCs w:val="22"/>
                    </w:rPr>
                    <w:t>G964Guiot, André Pereira</w:t>
                  </w:r>
                  <w:r w:rsidRPr="00D70716">
                    <w:rPr>
                      <w:sz w:val="22"/>
                      <w:szCs w:val="22"/>
                    </w:rPr>
                    <w:t xml:space="preserve">. </w:t>
                  </w:r>
                </w:p>
                <w:p w:rsidR="00DD31B9" w:rsidRPr="00D70716" w:rsidRDefault="00DD31B9" w:rsidP="00D70716">
                  <w:pPr>
                    <w:pStyle w:val="SemEspaamento1"/>
                    <w:ind w:left="709"/>
                    <w:rPr>
                      <w:rFonts w:ascii="Times New Roman" w:hAnsi="Times New Roman" w:cs="Times New Roman"/>
                    </w:rPr>
                  </w:pPr>
                  <w:r w:rsidRPr="00D70716">
                    <w:rPr>
                      <w:rFonts w:ascii="Times New Roman" w:hAnsi="Times New Roman" w:cs="Times New Roman"/>
                    </w:rPr>
                    <w:t xml:space="preserve">    Dominação burguesa no Brasil:</w:t>
                  </w:r>
                  <w:r w:rsidRPr="00D70716">
                    <w:rPr>
                      <w:rFonts w:ascii="Times New Roman" w:eastAsia="Calibri" w:hAnsi="Times New Roman" w:cs="Times New Roman"/>
                    </w:rPr>
                    <w:t xml:space="preserve"> estado e sociedade civil no Conselho de Desenvolvimento Econômico e Social (CDES) entre 2003 e 2010</w:t>
                  </w:r>
                  <w:r w:rsidRPr="00D70716">
                    <w:rPr>
                      <w:rFonts w:ascii="Times New Roman" w:hAnsi="Times New Roman" w:cs="Times New Roman"/>
                    </w:rPr>
                    <w:t>/ André Pereira Guiot. – 2015.</w:t>
                  </w:r>
                </w:p>
                <w:p w:rsidR="00DD31B9" w:rsidRPr="00D70716" w:rsidRDefault="00DD31B9" w:rsidP="00D70716">
                  <w:pPr>
                    <w:pStyle w:val="Recuodecorpodetexto"/>
                    <w:rPr>
                      <w:sz w:val="22"/>
                      <w:szCs w:val="22"/>
                    </w:rPr>
                  </w:pPr>
                  <w:r>
                    <w:rPr>
                      <w:sz w:val="22"/>
                      <w:szCs w:val="22"/>
                    </w:rPr>
                    <w:t>422</w:t>
                  </w:r>
                  <w:r w:rsidRPr="00D70716">
                    <w:rPr>
                      <w:sz w:val="22"/>
                      <w:szCs w:val="22"/>
                    </w:rPr>
                    <w:t>f. ; il.</w:t>
                  </w:r>
                </w:p>
                <w:p w:rsidR="00DD31B9" w:rsidRPr="00D70716" w:rsidRDefault="00DD31B9" w:rsidP="00D70716">
                  <w:pPr>
                    <w:autoSpaceDE w:val="0"/>
                    <w:rPr>
                      <w:rFonts w:ascii="Times New Roman" w:hAnsi="Times New Roman"/>
                    </w:rPr>
                  </w:pPr>
                  <w:r w:rsidRPr="00D70716">
                    <w:rPr>
                      <w:rFonts w:ascii="Times New Roman" w:hAnsi="Times New Roman"/>
                    </w:rPr>
                    <w:t xml:space="preserve">                 Orientadora: Virgínia Fontes</w:t>
                  </w:r>
                  <w:r w:rsidRPr="00D70716">
                    <w:rPr>
                      <w:rFonts w:ascii="Times New Roman" w:hAnsi="Times New Roman"/>
                      <w:color w:val="000000"/>
                    </w:rPr>
                    <w:t>.</w:t>
                  </w:r>
                </w:p>
                <w:p w:rsidR="00DD31B9" w:rsidRPr="00D70716" w:rsidRDefault="00DD31B9" w:rsidP="00D70716">
                  <w:pPr>
                    <w:ind w:left="709" w:hanging="709"/>
                    <w:rPr>
                      <w:rFonts w:ascii="Times New Roman" w:hAnsi="Times New Roman"/>
                    </w:rPr>
                  </w:pPr>
                  <w:r w:rsidRPr="00D70716">
                    <w:rPr>
                      <w:rFonts w:ascii="Times New Roman" w:hAnsi="Times New Roman"/>
                    </w:rPr>
                    <w:t xml:space="preserve">                 Tese (Doutorado) – Universidade Federal Fluminense, Instituto de Ciências Humanas e Filosofia, Departamento de História, 2015.</w:t>
                  </w:r>
                </w:p>
                <w:p w:rsidR="00DD31B9" w:rsidRPr="00D70716" w:rsidRDefault="00DD31B9" w:rsidP="00D70716">
                  <w:pPr>
                    <w:pStyle w:val="Recuodecorpodetexto"/>
                    <w:ind w:left="993" w:hanging="86"/>
                    <w:rPr>
                      <w:sz w:val="22"/>
                      <w:szCs w:val="22"/>
                    </w:rPr>
                  </w:pPr>
                  <w:r>
                    <w:rPr>
                      <w:sz w:val="22"/>
                      <w:szCs w:val="22"/>
                    </w:rPr>
                    <w:t xml:space="preserve"> Bibliografia: f. 360-371</w:t>
                  </w:r>
                  <w:r w:rsidRPr="00D70716">
                    <w:rPr>
                      <w:sz w:val="22"/>
                      <w:szCs w:val="22"/>
                    </w:rPr>
                    <w:t>.</w:t>
                  </w:r>
                </w:p>
                <w:p w:rsidR="00DD31B9" w:rsidRPr="00D70716" w:rsidRDefault="00DD31B9" w:rsidP="00D70716">
                  <w:pPr>
                    <w:pStyle w:val="Recuodecorpodetexto"/>
                    <w:tabs>
                      <w:tab w:val="left" w:pos="1276"/>
                    </w:tabs>
                    <w:ind w:left="967"/>
                    <w:rPr>
                      <w:sz w:val="22"/>
                      <w:szCs w:val="22"/>
                    </w:rPr>
                  </w:pPr>
                </w:p>
                <w:p w:rsidR="00DD31B9" w:rsidRPr="00D70716" w:rsidRDefault="00DD31B9" w:rsidP="00D70716">
                  <w:pPr>
                    <w:pStyle w:val="Recuodecorpodetexto"/>
                    <w:ind w:left="993"/>
                    <w:rPr>
                      <w:sz w:val="22"/>
                      <w:szCs w:val="22"/>
                    </w:rPr>
                  </w:pPr>
                  <w:r w:rsidRPr="00D70716">
                    <w:rPr>
                      <w:sz w:val="22"/>
                      <w:szCs w:val="22"/>
                    </w:rPr>
                    <w:t>1. Conselho de Desenvolvimento Econômico e Social (Brasil).</w:t>
                  </w:r>
                </w:p>
                <w:p w:rsidR="00DD31B9" w:rsidRPr="00D70716" w:rsidRDefault="00DD31B9" w:rsidP="00D70716">
                  <w:pPr>
                    <w:pStyle w:val="Recuodecorpodetexto"/>
                    <w:ind w:left="709"/>
                    <w:rPr>
                      <w:sz w:val="22"/>
                      <w:szCs w:val="22"/>
                    </w:rPr>
                  </w:pPr>
                  <w:r w:rsidRPr="00D70716">
                    <w:rPr>
                      <w:sz w:val="22"/>
                      <w:szCs w:val="22"/>
                    </w:rPr>
                    <w:t xml:space="preserve">2. Empresário. 3. Empresa. 4. Hegemonia. 5. Silva, Luiz Inácio Lula da, 1945- ; política e governo. I. Fontes, Virgínia. II. Universidade Federal Fluminense. Instituto de Ciências Humanas e Filosofia. III. Título.    </w:t>
                  </w:r>
                  <w:r w:rsidRPr="00D70716">
                    <w:rPr>
                      <w:sz w:val="22"/>
                      <w:szCs w:val="22"/>
                    </w:rPr>
                    <w:tab/>
                  </w:r>
                </w:p>
                <w:p w:rsidR="00DD31B9" w:rsidRDefault="00DD31B9" w:rsidP="00D70716">
                  <w:pPr>
                    <w:pStyle w:val="Recuodecorpodetexto"/>
                    <w:ind w:left="709"/>
                    <w:rPr>
                      <w:sz w:val="22"/>
                      <w:szCs w:val="22"/>
                    </w:rPr>
                  </w:pPr>
                  <w:r w:rsidRPr="00D70716">
                    <w:rPr>
                      <w:sz w:val="22"/>
                      <w:szCs w:val="22"/>
                    </w:rPr>
                    <w:tab/>
                  </w:r>
                  <w:r w:rsidRPr="00D70716">
                    <w:rPr>
                      <w:sz w:val="22"/>
                      <w:szCs w:val="22"/>
                    </w:rPr>
                    <w:br/>
                  </w:r>
                  <w:r>
                    <w:rPr>
                      <w:sz w:val="22"/>
                      <w:szCs w:val="22"/>
                    </w:rPr>
                    <w:t xml:space="preserve">                                                                CDD 320.981</w:t>
                  </w:r>
                </w:p>
                <w:p w:rsidR="00DD31B9" w:rsidRDefault="00DD31B9" w:rsidP="00D70716">
                  <w:pPr>
                    <w:pStyle w:val="Recuodecorpodetexto"/>
                    <w:tabs>
                      <w:tab w:val="left" w:pos="1276"/>
                    </w:tabs>
                    <w:ind w:left="1027"/>
                    <w:rPr>
                      <w:sz w:val="22"/>
                      <w:szCs w:val="22"/>
                    </w:rPr>
                  </w:pPr>
                </w:p>
                <w:p w:rsidR="00DD31B9" w:rsidRDefault="00DD31B9" w:rsidP="00D70716">
                  <w:pPr>
                    <w:pStyle w:val="Recuodecorpodetexto"/>
                    <w:tabs>
                      <w:tab w:val="left" w:pos="1276"/>
                    </w:tabs>
                    <w:rPr>
                      <w:sz w:val="22"/>
                      <w:szCs w:val="22"/>
                    </w:rPr>
                  </w:pPr>
                </w:p>
                <w:p w:rsidR="00DD31B9" w:rsidRDefault="00DD31B9" w:rsidP="00D70716">
                  <w:pPr>
                    <w:pStyle w:val="Recuodecorpodetexto"/>
                    <w:tabs>
                      <w:tab w:val="left" w:pos="1276"/>
                    </w:tabs>
                    <w:rPr>
                      <w:sz w:val="22"/>
                      <w:szCs w:val="22"/>
                    </w:rPr>
                  </w:pPr>
                </w:p>
                <w:p w:rsidR="00DD31B9" w:rsidRDefault="00DD31B9" w:rsidP="00D70716">
                  <w:pPr>
                    <w:pStyle w:val="Recuodecorpodetexto"/>
                    <w:tabs>
                      <w:tab w:val="left" w:pos="1276"/>
                    </w:tabs>
                    <w:rPr>
                      <w:sz w:val="22"/>
                      <w:szCs w:val="22"/>
                    </w:rPr>
                  </w:pPr>
                </w:p>
                <w:p w:rsidR="00DD31B9" w:rsidRDefault="00DD31B9" w:rsidP="00D70716">
                  <w:pPr>
                    <w:pStyle w:val="Recuodecorpodetexto"/>
                    <w:tabs>
                      <w:tab w:val="left" w:pos="1276"/>
                    </w:tabs>
                    <w:rPr>
                      <w:sz w:val="22"/>
                      <w:szCs w:val="22"/>
                    </w:rPr>
                  </w:pPr>
                </w:p>
                <w:p w:rsidR="00DD31B9" w:rsidRDefault="00DD31B9" w:rsidP="00D70716">
                  <w:pPr>
                    <w:pStyle w:val="Recuodecorpodetexto"/>
                    <w:tabs>
                      <w:tab w:val="left" w:pos="1276"/>
                    </w:tabs>
                    <w:rPr>
                      <w:sz w:val="22"/>
                      <w:szCs w:val="22"/>
                    </w:rPr>
                  </w:pPr>
                </w:p>
                <w:p w:rsidR="00DD31B9" w:rsidRDefault="00DD31B9" w:rsidP="00D70716">
                  <w:pPr>
                    <w:pStyle w:val="Recuodecorpodetexto"/>
                    <w:tabs>
                      <w:tab w:val="left" w:pos="1276"/>
                    </w:tabs>
                    <w:ind w:left="967"/>
                    <w:rPr>
                      <w:sz w:val="22"/>
                      <w:szCs w:val="22"/>
                    </w:rPr>
                  </w:pPr>
                </w:p>
                <w:p w:rsidR="00DD31B9" w:rsidRDefault="00DD31B9" w:rsidP="00D70716">
                  <w:pPr>
                    <w:pStyle w:val="Recuodecorpodetexto"/>
                    <w:tabs>
                      <w:tab w:val="left" w:pos="1276"/>
                    </w:tabs>
                    <w:ind w:left="967"/>
                  </w:pPr>
                </w:p>
              </w:txbxContent>
            </v:textbox>
            <w10:wrap type="square"/>
          </v:shape>
        </w:pict>
      </w: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D70716" w:rsidRDefault="00D70716" w:rsidP="00986E19">
      <w:pPr>
        <w:spacing w:line="360" w:lineRule="auto"/>
        <w:jc w:val="center"/>
        <w:rPr>
          <w:rFonts w:ascii="Times New Roman" w:hAnsi="Times New Roman"/>
          <w:b/>
          <w:sz w:val="28"/>
          <w:szCs w:val="28"/>
        </w:rPr>
      </w:pPr>
    </w:p>
    <w:p w:rsidR="00986E19" w:rsidRPr="00D756BA" w:rsidRDefault="00986E19" w:rsidP="00986E19">
      <w:pPr>
        <w:spacing w:line="360" w:lineRule="auto"/>
        <w:jc w:val="center"/>
        <w:rPr>
          <w:rFonts w:ascii="Times New Roman" w:hAnsi="Times New Roman"/>
          <w:sz w:val="24"/>
          <w:szCs w:val="24"/>
        </w:rPr>
      </w:pPr>
      <w:r>
        <w:rPr>
          <w:rFonts w:ascii="Times New Roman" w:hAnsi="Times New Roman"/>
          <w:b/>
          <w:sz w:val="28"/>
          <w:szCs w:val="28"/>
        </w:rPr>
        <w:lastRenderedPageBreak/>
        <w:t>ANDRÉ PEREIRA GUIOT</w:t>
      </w:r>
    </w:p>
    <w:p w:rsidR="00986E19" w:rsidRDefault="00986E19" w:rsidP="00986E19">
      <w:pPr>
        <w:spacing w:line="360" w:lineRule="auto"/>
        <w:jc w:val="center"/>
        <w:rPr>
          <w:rFonts w:ascii="Times New Roman" w:hAnsi="Times New Roman"/>
          <w:b/>
          <w:sz w:val="24"/>
          <w:szCs w:val="24"/>
        </w:rPr>
      </w:pPr>
    </w:p>
    <w:p w:rsidR="00986E19" w:rsidRPr="00CF604A" w:rsidRDefault="00986E19" w:rsidP="00986E19">
      <w:pPr>
        <w:spacing w:line="360" w:lineRule="auto"/>
        <w:jc w:val="center"/>
        <w:rPr>
          <w:rFonts w:ascii="Times New Roman" w:hAnsi="Times New Roman"/>
          <w:sz w:val="32"/>
          <w:szCs w:val="32"/>
        </w:rPr>
      </w:pPr>
      <w:r>
        <w:rPr>
          <w:rFonts w:ascii="Times New Roman" w:hAnsi="Times New Roman"/>
          <w:b/>
          <w:sz w:val="32"/>
          <w:szCs w:val="32"/>
        </w:rPr>
        <w:t>DOMINAÇÃO BURGUESA NO BRASIL -</w:t>
      </w:r>
    </w:p>
    <w:p w:rsidR="00986E19" w:rsidRPr="00CF604A" w:rsidRDefault="00986E19" w:rsidP="00986E19">
      <w:pPr>
        <w:spacing w:after="0"/>
        <w:jc w:val="center"/>
        <w:rPr>
          <w:rFonts w:ascii="Times New Roman" w:hAnsi="Times New Roman"/>
          <w:b/>
          <w:sz w:val="28"/>
          <w:szCs w:val="28"/>
        </w:rPr>
      </w:pPr>
      <w:r>
        <w:rPr>
          <w:rFonts w:ascii="Times New Roman" w:hAnsi="Times New Roman"/>
          <w:b/>
          <w:sz w:val="28"/>
          <w:szCs w:val="28"/>
        </w:rPr>
        <w:t xml:space="preserve">ESTADO E SOCIEDADE CIVIL NO CONSELHO DE DESENVOLVIMENTO ECONÔMICO E SOCIAL (CDES) ENTRE 2003 </w:t>
      </w:r>
      <w:r w:rsidRPr="00AF4373">
        <w:rPr>
          <w:rFonts w:ascii="Times New Roman" w:hAnsi="Times New Roman"/>
          <w:b/>
          <w:sz w:val="24"/>
          <w:szCs w:val="24"/>
        </w:rPr>
        <w:t>E</w:t>
      </w:r>
      <w:r w:rsidRPr="00624E37">
        <w:rPr>
          <w:rFonts w:ascii="Times New Roman" w:hAnsi="Times New Roman"/>
          <w:sz w:val="28"/>
          <w:szCs w:val="28"/>
        </w:rPr>
        <w:t>2</w:t>
      </w:r>
      <w:r>
        <w:rPr>
          <w:rFonts w:ascii="Times New Roman" w:hAnsi="Times New Roman"/>
          <w:b/>
          <w:sz w:val="28"/>
          <w:szCs w:val="28"/>
        </w:rPr>
        <w:t>010</w:t>
      </w:r>
    </w:p>
    <w:p w:rsidR="00986E19" w:rsidRDefault="00986E19" w:rsidP="00986E19">
      <w:pPr>
        <w:spacing w:line="360" w:lineRule="auto"/>
        <w:jc w:val="center"/>
        <w:rPr>
          <w:rFonts w:ascii="Times New Roman" w:hAnsi="Times New Roman"/>
          <w:b/>
          <w:sz w:val="24"/>
          <w:szCs w:val="24"/>
        </w:rPr>
      </w:pPr>
    </w:p>
    <w:p w:rsidR="00986E19" w:rsidRPr="00DA5368" w:rsidRDefault="00986E19" w:rsidP="00986E19">
      <w:pPr>
        <w:autoSpaceDE w:val="0"/>
        <w:autoSpaceDN w:val="0"/>
        <w:adjustRightInd w:val="0"/>
        <w:spacing w:after="0"/>
        <w:ind w:left="3402"/>
        <w:rPr>
          <w:rFonts w:ascii="Times New Roman" w:hAnsi="Times New Roman"/>
          <w:sz w:val="24"/>
          <w:szCs w:val="24"/>
        </w:rPr>
      </w:pPr>
      <w:r w:rsidRPr="00DA5368">
        <w:rPr>
          <w:rFonts w:ascii="Times New Roman" w:hAnsi="Times New Roman"/>
          <w:sz w:val="24"/>
          <w:szCs w:val="24"/>
        </w:rPr>
        <w:t xml:space="preserve">Tese apresentada ao Programa de Pós-Graduação em História </w:t>
      </w:r>
      <w:r>
        <w:rPr>
          <w:rFonts w:ascii="Times New Roman" w:hAnsi="Times New Roman"/>
          <w:sz w:val="24"/>
          <w:szCs w:val="24"/>
        </w:rPr>
        <w:t xml:space="preserve">Social </w:t>
      </w:r>
      <w:r w:rsidRPr="00DA5368">
        <w:rPr>
          <w:rFonts w:ascii="Times New Roman" w:hAnsi="Times New Roman"/>
          <w:sz w:val="24"/>
          <w:szCs w:val="24"/>
        </w:rPr>
        <w:t xml:space="preserve">da </w:t>
      </w:r>
      <w:r>
        <w:rPr>
          <w:rFonts w:ascii="Times New Roman" w:hAnsi="Times New Roman"/>
          <w:sz w:val="24"/>
          <w:szCs w:val="24"/>
        </w:rPr>
        <w:t>Universidade Federal Fluminensecomo requisito parcial para a obtenção do grau de Doutor em História.</w:t>
      </w:r>
    </w:p>
    <w:p w:rsidR="00986E19" w:rsidRDefault="00986E19" w:rsidP="00986E19">
      <w:pPr>
        <w:spacing w:after="0" w:line="480" w:lineRule="auto"/>
        <w:rPr>
          <w:rFonts w:ascii="Times New Roman" w:hAnsi="Times New Roman"/>
          <w:sz w:val="24"/>
          <w:szCs w:val="24"/>
        </w:rPr>
      </w:pPr>
    </w:p>
    <w:p w:rsidR="00986E19" w:rsidRDefault="00986E19" w:rsidP="00986E19">
      <w:pPr>
        <w:spacing w:after="0" w:line="480" w:lineRule="auto"/>
        <w:rPr>
          <w:rFonts w:ascii="Times New Roman" w:hAnsi="Times New Roman"/>
          <w:sz w:val="24"/>
          <w:szCs w:val="24"/>
        </w:rPr>
      </w:pPr>
    </w:p>
    <w:p w:rsidR="00986E19" w:rsidRDefault="00986E19" w:rsidP="00986E19">
      <w:pPr>
        <w:spacing w:after="0" w:line="480" w:lineRule="auto"/>
        <w:jc w:val="center"/>
        <w:rPr>
          <w:rFonts w:ascii="Times New Roman" w:hAnsi="Times New Roman"/>
          <w:sz w:val="24"/>
          <w:szCs w:val="24"/>
        </w:rPr>
      </w:pPr>
      <w:r>
        <w:rPr>
          <w:rFonts w:ascii="Times New Roman" w:hAnsi="Times New Roman"/>
          <w:sz w:val="24"/>
          <w:szCs w:val="24"/>
        </w:rPr>
        <w:t>BANCA EXAMINADORA:</w:t>
      </w:r>
    </w:p>
    <w:p w:rsidR="00986E19" w:rsidRDefault="00986E19" w:rsidP="00986E19">
      <w:pPr>
        <w:spacing w:after="0" w:line="480" w:lineRule="auto"/>
        <w:jc w:val="center"/>
        <w:rPr>
          <w:rFonts w:ascii="Times New Roman" w:hAnsi="Times New Roman"/>
          <w:sz w:val="24"/>
          <w:szCs w:val="24"/>
        </w:rPr>
      </w:pPr>
    </w:p>
    <w:p w:rsidR="00986E19" w:rsidRDefault="00986E19" w:rsidP="00986E19">
      <w:pPr>
        <w:spacing w:after="0" w:line="360" w:lineRule="auto"/>
        <w:jc w:val="center"/>
        <w:rPr>
          <w:rFonts w:ascii="Times New Roman" w:hAnsi="Times New Roman"/>
          <w:sz w:val="24"/>
          <w:szCs w:val="24"/>
        </w:rPr>
      </w:pPr>
      <w:r>
        <w:rPr>
          <w:rFonts w:ascii="Times New Roman" w:hAnsi="Times New Roman"/>
          <w:sz w:val="24"/>
          <w:szCs w:val="24"/>
        </w:rPr>
        <w:t>_________________________________________________</w:t>
      </w:r>
    </w:p>
    <w:p w:rsidR="00986E19" w:rsidRDefault="00986E19" w:rsidP="00986E19">
      <w:pPr>
        <w:spacing w:after="0" w:line="360" w:lineRule="auto"/>
        <w:jc w:val="center"/>
        <w:rPr>
          <w:rFonts w:ascii="Times New Roman" w:hAnsi="Times New Roman"/>
          <w:sz w:val="24"/>
          <w:szCs w:val="24"/>
        </w:rPr>
      </w:pPr>
      <w:r>
        <w:rPr>
          <w:rFonts w:ascii="Times New Roman" w:hAnsi="Times New Roman"/>
          <w:sz w:val="24"/>
          <w:szCs w:val="24"/>
        </w:rPr>
        <w:t>Profª Drª Virgínia Fontes – Orientadora (UFF)</w:t>
      </w:r>
    </w:p>
    <w:p w:rsidR="00986E19" w:rsidRDefault="00986E19" w:rsidP="00986E19">
      <w:pPr>
        <w:spacing w:after="0" w:line="480" w:lineRule="auto"/>
        <w:jc w:val="center"/>
        <w:rPr>
          <w:rFonts w:ascii="Times New Roman" w:hAnsi="Times New Roman"/>
          <w:sz w:val="24"/>
          <w:szCs w:val="24"/>
        </w:rPr>
      </w:pPr>
    </w:p>
    <w:p w:rsidR="00986E19" w:rsidRDefault="00986E19" w:rsidP="00986E19">
      <w:pPr>
        <w:spacing w:after="0" w:line="360" w:lineRule="auto"/>
        <w:jc w:val="center"/>
        <w:rPr>
          <w:rFonts w:ascii="Times New Roman" w:hAnsi="Times New Roman"/>
          <w:sz w:val="24"/>
          <w:szCs w:val="24"/>
        </w:rPr>
      </w:pPr>
      <w:r>
        <w:rPr>
          <w:rFonts w:ascii="Times New Roman" w:hAnsi="Times New Roman"/>
          <w:sz w:val="24"/>
          <w:szCs w:val="24"/>
        </w:rPr>
        <w:t>__________________________________________________</w:t>
      </w:r>
    </w:p>
    <w:p w:rsidR="00986E19" w:rsidRDefault="00986E19" w:rsidP="00986E19">
      <w:pPr>
        <w:spacing w:after="0" w:line="360" w:lineRule="auto"/>
        <w:jc w:val="center"/>
        <w:rPr>
          <w:rFonts w:ascii="Times New Roman" w:hAnsi="Times New Roman"/>
          <w:sz w:val="24"/>
          <w:szCs w:val="24"/>
        </w:rPr>
      </w:pPr>
      <w:r>
        <w:rPr>
          <w:rFonts w:ascii="Times New Roman" w:hAnsi="Times New Roman"/>
          <w:sz w:val="24"/>
          <w:szCs w:val="24"/>
        </w:rPr>
        <w:t>Profº Dr. Eurelino Coelho (UEFS)</w:t>
      </w:r>
    </w:p>
    <w:p w:rsidR="00986E19" w:rsidRDefault="00986E19" w:rsidP="00986E19">
      <w:pPr>
        <w:spacing w:after="0" w:line="480" w:lineRule="auto"/>
        <w:jc w:val="center"/>
        <w:rPr>
          <w:rFonts w:ascii="Times New Roman" w:hAnsi="Times New Roman"/>
          <w:sz w:val="24"/>
          <w:szCs w:val="24"/>
        </w:rPr>
      </w:pPr>
    </w:p>
    <w:p w:rsidR="00986E19" w:rsidRDefault="00986E19" w:rsidP="00986E19">
      <w:pPr>
        <w:spacing w:after="0" w:line="360" w:lineRule="auto"/>
        <w:jc w:val="center"/>
        <w:rPr>
          <w:rFonts w:ascii="Times New Roman" w:hAnsi="Times New Roman"/>
          <w:sz w:val="24"/>
          <w:szCs w:val="24"/>
        </w:rPr>
      </w:pPr>
      <w:r>
        <w:rPr>
          <w:rFonts w:ascii="Times New Roman" w:hAnsi="Times New Roman"/>
          <w:sz w:val="24"/>
          <w:szCs w:val="24"/>
        </w:rPr>
        <w:t>__________________________________________________</w:t>
      </w:r>
    </w:p>
    <w:p w:rsidR="00986E19" w:rsidRDefault="00986E19" w:rsidP="00986E19">
      <w:pPr>
        <w:spacing w:after="0" w:line="360" w:lineRule="auto"/>
        <w:jc w:val="center"/>
        <w:rPr>
          <w:rFonts w:ascii="Times New Roman" w:hAnsi="Times New Roman"/>
          <w:sz w:val="24"/>
          <w:szCs w:val="24"/>
        </w:rPr>
      </w:pPr>
      <w:r>
        <w:rPr>
          <w:rFonts w:ascii="Times New Roman" w:hAnsi="Times New Roman"/>
          <w:sz w:val="24"/>
          <w:szCs w:val="24"/>
        </w:rPr>
        <w:t>Profº Dr. Rodrigo Castelo (UNIRIO)</w:t>
      </w:r>
    </w:p>
    <w:p w:rsidR="00986E19" w:rsidRDefault="00986E19" w:rsidP="00986E19">
      <w:pPr>
        <w:spacing w:after="0" w:line="480" w:lineRule="auto"/>
        <w:jc w:val="center"/>
        <w:rPr>
          <w:rFonts w:ascii="Times New Roman" w:hAnsi="Times New Roman"/>
          <w:sz w:val="24"/>
          <w:szCs w:val="24"/>
        </w:rPr>
      </w:pPr>
    </w:p>
    <w:p w:rsidR="00986E19" w:rsidRDefault="00986E19" w:rsidP="00986E19">
      <w:pPr>
        <w:spacing w:after="0" w:line="360" w:lineRule="auto"/>
        <w:jc w:val="center"/>
        <w:rPr>
          <w:rFonts w:ascii="Times New Roman" w:hAnsi="Times New Roman"/>
          <w:sz w:val="24"/>
          <w:szCs w:val="24"/>
        </w:rPr>
      </w:pPr>
      <w:r>
        <w:rPr>
          <w:rFonts w:ascii="Times New Roman" w:hAnsi="Times New Roman"/>
          <w:sz w:val="24"/>
          <w:szCs w:val="24"/>
        </w:rPr>
        <w:t>_________________________________________________</w:t>
      </w:r>
    </w:p>
    <w:p w:rsidR="00986E19" w:rsidRDefault="00986E19" w:rsidP="00986E19">
      <w:pPr>
        <w:spacing w:after="0" w:line="360" w:lineRule="auto"/>
        <w:jc w:val="center"/>
        <w:rPr>
          <w:rFonts w:ascii="Times New Roman" w:hAnsi="Times New Roman"/>
          <w:sz w:val="24"/>
          <w:szCs w:val="24"/>
        </w:rPr>
      </w:pPr>
      <w:r>
        <w:rPr>
          <w:rFonts w:ascii="Times New Roman" w:hAnsi="Times New Roman"/>
          <w:sz w:val="24"/>
          <w:szCs w:val="24"/>
        </w:rPr>
        <w:t>Profª Drª Sonia Regina de Mendonça (UFF)</w:t>
      </w:r>
    </w:p>
    <w:p w:rsidR="00986E19" w:rsidRDefault="00986E19" w:rsidP="00986E19">
      <w:pPr>
        <w:spacing w:after="0" w:line="480" w:lineRule="auto"/>
        <w:jc w:val="center"/>
        <w:rPr>
          <w:rFonts w:ascii="Times New Roman" w:hAnsi="Times New Roman"/>
          <w:sz w:val="24"/>
          <w:szCs w:val="24"/>
        </w:rPr>
      </w:pPr>
    </w:p>
    <w:p w:rsidR="00986E19" w:rsidRDefault="00986E19" w:rsidP="00986E19">
      <w:pPr>
        <w:spacing w:after="0" w:line="360" w:lineRule="auto"/>
        <w:jc w:val="center"/>
        <w:rPr>
          <w:rFonts w:ascii="Times New Roman" w:hAnsi="Times New Roman"/>
          <w:sz w:val="24"/>
          <w:szCs w:val="24"/>
        </w:rPr>
      </w:pPr>
      <w:r>
        <w:rPr>
          <w:rFonts w:ascii="Times New Roman" w:hAnsi="Times New Roman"/>
          <w:sz w:val="24"/>
          <w:szCs w:val="24"/>
        </w:rPr>
        <w:t>________________________________________________</w:t>
      </w:r>
    </w:p>
    <w:p w:rsidR="00986E19" w:rsidRDefault="00986E19" w:rsidP="00986E19">
      <w:pPr>
        <w:spacing w:after="0" w:line="360" w:lineRule="auto"/>
        <w:jc w:val="center"/>
        <w:rPr>
          <w:rFonts w:ascii="Times New Roman" w:hAnsi="Times New Roman"/>
          <w:sz w:val="24"/>
          <w:szCs w:val="24"/>
        </w:rPr>
      </w:pPr>
      <w:r>
        <w:rPr>
          <w:rFonts w:ascii="Times New Roman" w:hAnsi="Times New Roman"/>
          <w:sz w:val="24"/>
          <w:szCs w:val="24"/>
        </w:rPr>
        <w:t>Profº Dr. Marcelo Badaró Mattos (UFF)</w:t>
      </w:r>
    </w:p>
    <w:p w:rsidR="00986E19" w:rsidRDefault="00986E19" w:rsidP="00986E19">
      <w:pPr>
        <w:spacing w:after="0" w:line="360" w:lineRule="auto"/>
        <w:jc w:val="center"/>
        <w:rPr>
          <w:rFonts w:ascii="Times New Roman" w:hAnsi="Times New Roman"/>
          <w:sz w:val="24"/>
          <w:szCs w:val="24"/>
        </w:rPr>
      </w:pPr>
    </w:p>
    <w:p w:rsidR="005F0283" w:rsidRDefault="005F0283" w:rsidP="00986E19">
      <w:pPr>
        <w:spacing w:after="0" w:line="360" w:lineRule="auto"/>
        <w:jc w:val="center"/>
        <w:rPr>
          <w:rFonts w:ascii="Times New Roman" w:hAnsi="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4961"/>
      </w:tblGrid>
      <w:tr w:rsidR="005B5298" w:rsidRPr="005B5298" w:rsidTr="005B5298">
        <w:tc>
          <w:tcPr>
            <w:tcW w:w="3652" w:type="dxa"/>
          </w:tcPr>
          <w:p w:rsidR="005B5298" w:rsidRDefault="005B5298" w:rsidP="00DB50D3">
            <w:pPr>
              <w:spacing w:after="0" w:line="360" w:lineRule="auto"/>
              <w:jc w:val="right"/>
              <w:rPr>
                <w:rFonts w:ascii="Times New Roman" w:hAnsi="Times New Roman"/>
                <w:i/>
                <w:sz w:val="24"/>
                <w:szCs w:val="24"/>
              </w:rPr>
            </w:pPr>
          </w:p>
        </w:tc>
        <w:tc>
          <w:tcPr>
            <w:tcW w:w="4961" w:type="dxa"/>
          </w:tcPr>
          <w:p w:rsidR="005B5298" w:rsidRPr="005B5298" w:rsidRDefault="005B5298" w:rsidP="005B5298">
            <w:pPr>
              <w:spacing w:after="0"/>
              <w:jc w:val="right"/>
              <w:rPr>
                <w:rFonts w:ascii="Times New Roman" w:hAnsi="Times New Roman"/>
                <w:i/>
                <w:sz w:val="20"/>
                <w:szCs w:val="20"/>
              </w:rPr>
            </w:pPr>
            <w:r w:rsidRPr="005B5298">
              <w:rPr>
                <w:rFonts w:ascii="Times New Roman" w:hAnsi="Times New Roman"/>
                <w:i/>
                <w:sz w:val="20"/>
                <w:szCs w:val="20"/>
              </w:rPr>
              <w:t>Os socialistas burgueses querem as condições de vida da</w:t>
            </w:r>
          </w:p>
          <w:p w:rsidR="005B5298" w:rsidRDefault="00124FA7" w:rsidP="005B5298">
            <w:pPr>
              <w:spacing w:after="0"/>
              <w:jc w:val="right"/>
              <w:rPr>
                <w:rFonts w:ascii="Times New Roman" w:hAnsi="Times New Roman"/>
                <w:i/>
                <w:sz w:val="20"/>
                <w:szCs w:val="20"/>
              </w:rPr>
            </w:pPr>
            <w:r>
              <w:rPr>
                <w:rFonts w:ascii="Times New Roman" w:hAnsi="Times New Roman"/>
                <w:i/>
                <w:sz w:val="20"/>
                <w:szCs w:val="20"/>
              </w:rPr>
              <w:t>s</w:t>
            </w:r>
            <w:r w:rsidR="005B5298" w:rsidRPr="005B5298">
              <w:rPr>
                <w:rFonts w:ascii="Times New Roman" w:hAnsi="Times New Roman"/>
                <w:i/>
                <w:sz w:val="20"/>
                <w:szCs w:val="20"/>
              </w:rPr>
              <w:t>ociedade moderna, sem os conflitos e os perigos que dela necessariamente decorrem. Desejam a sociedade atual, subtraindo dela os elementos revolucionários e que contribuem para a sua dissolução. Querem a burguesia sem o proletariado.(...) Quando convida o proletariado a concretizar seus sistemas e ingressar na Nova Jerusalém, no fundo ele exige apenas que o proletariado se paralise na atual sociedade, mas abandone suas opiniões hostis sobre a mesma. (...)Por mudanças das condições materiais de vida, esse socialismo não entende, de modo algum, a abolição das relações burguesas de produção, só possível por via revolucionária, mas melhorias administrativas a serem realizadas no âmbito das mesmas relações de produção; que, portanto, não mudan nada na relação entre capital e trabalho assalariado e, quando muito, diminuem os custos da dominação para a burguesia e simplificam o trabalho administrativo de seu Esta</w:t>
            </w:r>
            <w:r w:rsidR="005B5298">
              <w:rPr>
                <w:rFonts w:ascii="Times New Roman" w:hAnsi="Times New Roman"/>
                <w:i/>
                <w:sz w:val="20"/>
                <w:szCs w:val="20"/>
              </w:rPr>
              <w:t>do.</w:t>
            </w:r>
          </w:p>
          <w:p w:rsidR="005B5298" w:rsidRDefault="005B5298" w:rsidP="00D55F25">
            <w:pPr>
              <w:spacing w:before="240" w:after="0" w:line="240" w:lineRule="auto"/>
              <w:jc w:val="right"/>
              <w:rPr>
                <w:rFonts w:ascii="Times New Roman" w:hAnsi="Times New Roman"/>
                <w:i/>
                <w:sz w:val="20"/>
                <w:szCs w:val="20"/>
              </w:rPr>
            </w:pPr>
            <w:r w:rsidRPr="005B5298">
              <w:rPr>
                <w:rFonts w:ascii="Times New Roman" w:hAnsi="Times New Roman"/>
                <w:sz w:val="20"/>
                <w:szCs w:val="20"/>
                <w:lang w:val="en-US"/>
              </w:rPr>
              <w:t xml:space="preserve">(MARX, Karl e ENGELS, Friedrich. </w:t>
            </w:r>
            <w:r w:rsidRPr="00D55F25">
              <w:rPr>
                <w:rFonts w:ascii="Times New Roman" w:hAnsi="Times New Roman"/>
                <w:sz w:val="20"/>
                <w:szCs w:val="20"/>
              </w:rPr>
              <w:t>O Manifesto do Parti</w:t>
            </w:r>
            <w:r w:rsidR="00D55F25" w:rsidRPr="00D55F25">
              <w:rPr>
                <w:rFonts w:ascii="Times New Roman" w:hAnsi="Times New Roman"/>
                <w:sz w:val="20"/>
                <w:szCs w:val="20"/>
              </w:rPr>
              <w:t>d</w:t>
            </w:r>
            <w:r w:rsidRPr="00D55F25">
              <w:rPr>
                <w:rFonts w:ascii="Times New Roman" w:hAnsi="Times New Roman"/>
                <w:sz w:val="20"/>
                <w:szCs w:val="20"/>
              </w:rPr>
              <w:t>o Comunista</w:t>
            </w:r>
            <w:r w:rsidR="00D55F25">
              <w:rPr>
                <w:rFonts w:ascii="Times New Roman" w:hAnsi="Times New Roman"/>
                <w:i/>
                <w:sz w:val="20"/>
                <w:szCs w:val="20"/>
              </w:rPr>
              <w:t xml:space="preserve">. </w:t>
            </w:r>
            <w:r w:rsidR="00D55F25">
              <w:rPr>
                <w:rFonts w:ascii="Times New Roman" w:hAnsi="Times New Roman"/>
                <w:sz w:val="20"/>
                <w:szCs w:val="20"/>
              </w:rPr>
              <w:t xml:space="preserve">In: REIS FILHO, Daniel Aarão (org). </w:t>
            </w:r>
            <w:r w:rsidR="00D55F25" w:rsidRPr="00D55F25">
              <w:rPr>
                <w:rFonts w:ascii="Times New Roman" w:hAnsi="Times New Roman"/>
                <w:i/>
                <w:sz w:val="20"/>
                <w:szCs w:val="20"/>
              </w:rPr>
              <w:t>O Manifesto Comunista 150 anos depois: Karl Marx, Friedrich Engels</w:t>
            </w:r>
            <w:r w:rsidR="00D55F25">
              <w:rPr>
                <w:rFonts w:ascii="Times New Roman" w:hAnsi="Times New Roman"/>
                <w:sz w:val="20"/>
                <w:szCs w:val="20"/>
              </w:rPr>
              <w:t>. RJ: Contraponto, p. 36</w:t>
            </w:r>
            <w:r w:rsidRPr="00D55F25">
              <w:rPr>
                <w:rFonts w:ascii="Times New Roman" w:hAnsi="Times New Roman"/>
                <w:sz w:val="20"/>
                <w:szCs w:val="20"/>
              </w:rPr>
              <w:t>)</w:t>
            </w:r>
            <w:r w:rsidR="00D55F25">
              <w:rPr>
                <w:rFonts w:ascii="Times New Roman" w:hAnsi="Times New Roman"/>
                <w:sz w:val="20"/>
                <w:szCs w:val="20"/>
              </w:rPr>
              <w:t>.</w:t>
            </w:r>
          </w:p>
          <w:p w:rsidR="005B5298" w:rsidRDefault="005B5298" w:rsidP="005B5298">
            <w:pPr>
              <w:spacing w:after="0"/>
              <w:jc w:val="right"/>
              <w:rPr>
                <w:rFonts w:ascii="Times New Roman" w:hAnsi="Times New Roman"/>
                <w:i/>
                <w:sz w:val="20"/>
                <w:szCs w:val="20"/>
              </w:rPr>
            </w:pPr>
          </w:p>
          <w:p w:rsidR="005B5298" w:rsidRDefault="005B5298" w:rsidP="005B5298">
            <w:pPr>
              <w:spacing w:after="0"/>
              <w:jc w:val="right"/>
              <w:rPr>
                <w:rFonts w:ascii="Times New Roman" w:hAnsi="Times New Roman"/>
                <w:i/>
                <w:sz w:val="20"/>
                <w:szCs w:val="20"/>
              </w:rPr>
            </w:pPr>
          </w:p>
          <w:p w:rsidR="005B5298" w:rsidRDefault="005B5298" w:rsidP="005B5298">
            <w:pPr>
              <w:spacing w:after="0"/>
              <w:jc w:val="right"/>
              <w:rPr>
                <w:rFonts w:ascii="Times New Roman" w:hAnsi="Times New Roman"/>
                <w:i/>
                <w:sz w:val="20"/>
                <w:szCs w:val="20"/>
              </w:rPr>
            </w:pPr>
          </w:p>
          <w:p w:rsidR="005B5298" w:rsidRDefault="005B5298" w:rsidP="005B5298">
            <w:pPr>
              <w:spacing w:after="0"/>
              <w:jc w:val="right"/>
              <w:rPr>
                <w:rFonts w:ascii="Times New Roman" w:hAnsi="Times New Roman"/>
                <w:i/>
                <w:sz w:val="20"/>
                <w:szCs w:val="20"/>
              </w:rPr>
            </w:pPr>
            <w:r>
              <w:rPr>
                <w:rFonts w:ascii="Times New Roman" w:hAnsi="Times New Roman"/>
                <w:i/>
                <w:sz w:val="20"/>
                <w:szCs w:val="20"/>
              </w:rPr>
              <w:t>O mito de que a conciliação elabora as condições históricas de um novo ponto de partida e prepara o caminho da reforma nem merece discussão. A conciliação é, em si e por si mesma, contra-reforma, o expediente para banir e excluir a reforma social da história viva.</w:t>
            </w:r>
          </w:p>
          <w:p w:rsidR="005B5298" w:rsidRDefault="005B5298" w:rsidP="005B5298">
            <w:pPr>
              <w:spacing w:before="240" w:after="0" w:line="240" w:lineRule="auto"/>
              <w:jc w:val="right"/>
              <w:rPr>
                <w:rFonts w:ascii="Times New Roman" w:hAnsi="Times New Roman"/>
                <w:sz w:val="20"/>
                <w:szCs w:val="20"/>
              </w:rPr>
            </w:pPr>
            <w:r>
              <w:rPr>
                <w:rFonts w:ascii="Times New Roman" w:hAnsi="Times New Roman"/>
                <w:sz w:val="20"/>
                <w:szCs w:val="20"/>
              </w:rPr>
              <w:t xml:space="preserve">(FERNANDES, Florestan. </w:t>
            </w:r>
            <w:r w:rsidRPr="005B5298">
              <w:rPr>
                <w:rFonts w:ascii="Times New Roman" w:hAnsi="Times New Roman"/>
                <w:i/>
                <w:sz w:val="20"/>
                <w:szCs w:val="20"/>
              </w:rPr>
              <w:t>Nova República?</w:t>
            </w:r>
            <w:r>
              <w:rPr>
                <w:rFonts w:ascii="Times New Roman" w:hAnsi="Times New Roman"/>
                <w:sz w:val="20"/>
                <w:szCs w:val="20"/>
              </w:rPr>
              <w:t xml:space="preserve"> Rio de Janeiro: Jorge Zahar Ed. 1986, p. 70-71)</w:t>
            </w:r>
          </w:p>
          <w:p w:rsidR="004641CA" w:rsidRDefault="004641CA" w:rsidP="005B5298">
            <w:pPr>
              <w:spacing w:before="240" w:after="0" w:line="240" w:lineRule="auto"/>
              <w:jc w:val="right"/>
              <w:rPr>
                <w:rFonts w:ascii="Times New Roman" w:hAnsi="Times New Roman"/>
                <w:sz w:val="20"/>
                <w:szCs w:val="20"/>
              </w:rPr>
            </w:pPr>
          </w:p>
          <w:p w:rsidR="004641CA" w:rsidRDefault="004641CA" w:rsidP="005B5298">
            <w:pPr>
              <w:spacing w:before="240" w:after="0" w:line="240" w:lineRule="auto"/>
              <w:jc w:val="right"/>
              <w:rPr>
                <w:rFonts w:ascii="Times New Roman" w:hAnsi="Times New Roman"/>
                <w:i/>
                <w:sz w:val="20"/>
                <w:szCs w:val="20"/>
              </w:rPr>
            </w:pPr>
            <w:r>
              <w:rPr>
                <w:rFonts w:ascii="Times New Roman" w:hAnsi="Times New Roman"/>
                <w:i/>
                <w:sz w:val="20"/>
                <w:szCs w:val="20"/>
              </w:rPr>
              <w:t>A democracia vinculada à opressão econômica, social e política tem de ceder terreno à democracia que se vincula à emancipação civil dos oprimidos e à autonomia dos proletários. Desse ângulo, a democracia não é uma questão abstrata. Ela é uma questão concreta e histórica. A burguesia que falhou no conquistá-la não pode pretender infundir-lhe a sua marca de classe, o seu sinete ideológico, a sua consagração política.</w:t>
            </w:r>
          </w:p>
          <w:p w:rsidR="004641CA" w:rsidRPr="004641CA" w:rsidRDefault="004641CA" w:rsidP="00F46595">
            <w:pPr>
              <w:spacing w:before="240" w:after="0" w:line="240" w:lineRule="auto"/>
              <w:jc w:val="right"/>
              <w:rPr>
                <w:rFonts w:ascii="Times New Roman" w:hAnsi="Times New Roman"/>
                <w:sz w:val="24"/>
                <w:szCs w:val="24"/>
              </w:rPr>
            </w:pPr>
            <w:r w:rsidRPr="004641CA">
              <w:rPr>
                <w:rFonts w:ascii="Times New Roman" w:hAnsi="Times New Roman"/>
                <w:sz w:val="20"/>
                <w:szCs w:val="20"/>
              </w:rPr>
              <w:t>(</w:t>
            </w:r>
            <w:r w:rsidR="00F46595">
              <w:rPr>
                <w:rFonts w:ascii="Times New Roman" w:hAnsi="Times New Roman"/>
                <w:sz w:val="20"/>
                <w:szCs w:val="20"/>
              </w:rPr>
              <w:t xml:space="preserve">FERNANDES, Florestan. </w:t>
            </w:r>
            <w:r w:rsidR="00F46595" w:rsidRPr="005B5298">
              <w:rPr>
                <w:rFonts w:ascii="Times New Roman" w:hAnsi="Times New Roman"/>
                <w:i/>
                <w:sz w:val="20"/>
                <w:szCs w:val="20"/>
              </w:rPr>
              <w:t>Nova República?</w:t>
            </w:r>
            <w:r w:rsidR="00F46595">
              <w:rPr>
                <w:rFonts w:ascii="Times New Roman" w:hAnsi="Times New Roman"/>
                <w:sz w:val="20"/>
                <w:szCs w:val="20"/>
              </w:rPr>
              <w:t xml:space="preserve"> Rio de Janeiro: Jorge Zahar Ed. 1986, p. 59</w:t>
            </w:r>
            <w:r w:rsidRPr="004641CA">
              <w:rPr>
                <w:rFonts w:ascii="Times New Roman" w:hAnsi="Times New Roman"/>
                <w:sz w:val="20"/>
                <w:szCs w:val="20"/>
              </w:rPr>
              <w:t>)</w:t>
            </w:r>
          </w:p>
        </w:tc>
      </w:tr>
    </w:tbl>
    <w:p w:rsidR="00DB50D3" w:rsidRPr="00DB50D3" w:rsidRDefault="00DB50D3" w:rsidP="00DB50D3">
      <w:pPr>
        <w:spacing w:after="0" w:line="360" w:lineRule="auto"/>
        <w:jc w:val="right"/>
        <w:rPr>
          <w:rFonts w:ascii="Times New Roman" w:hAnsi="Times New Roman"/>
          <w:i/>
          <w:sz w:val="24"/>
          <w:szCs w:val="24"/>
        </w:rPr>
      </w:pPr>
      <w:r>
        <w:rPr>
          <w:rFonts w:ascii="Times New Roman" w:hAnsi="Times New Roman"/>
          <w:i/>
          <w:sz w:val="24"/>
          <w:szCs w:val="24"/>
        </w:rPr>
        <w:t>.</w:t>
      </w:r>
    </w:p>
    <w:p w:rsidR="001923EC" w:rsidRDefault="001923EC" w:rsidP="00986E19">
      <w:pPr>
        <w:spacing w:after="0" w:line="360" w:lineRule="auto"/>
        <w:jc w:val="center"/>
        <w:rPr>
          <w:rFonts w:ascii="Times New Roman" w:hAnsi="Times New Roman"/>
          <w:b/>
          <w:sz w:val="24"/>
          <w:szCs w:val="24"/>
        </w:rPr>
      </w:pPr>
    </w:p>
    <w:p w:rsidR="001923EC" w:rsidRDefault="001923EC" w:rsidP="00986E19">
      <w:pPr>
        <w:spacing w:after="0" w:line="360" w:lineRule="auto"/>
        <w:jc w:val="center"/>
        <w:rPr>
          <w:rFonts w:ascii="Times New Roman" w:hAnsi="Times New Roman"/>
          <w:b/>
          <w:sz w:val="24"/>
          <w:szCs w:val="24"/>
        </w:rPr>
      </w:pPr>
    </w:p>
    <w:p w:rsidR="001923EC" w:rsidRDefault="001923EC" w:rsidP="00986E19">
      <w:pPr>
        <w:spacing w:after="0" w:line="360" w:lineRule="auto"/>
        <w:jc w:val="center"/>
        <w:rPr>
          <w:rFonts w:ascii="Times New Roman" w:hAnsi="Times New Roman"/>
          <w:b/>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4641CA" w:rsidRDefault="004641CA" w:rsidP="001923EC">
      <w:pPr>
        <w:spacing w:after="0" w:line="360" w:lineRule="auto"/>
        <w:jc w:val="right"/>
        <w:rPr>
          <w:rFonts w:ascii="Times New Roman" w:hAnsi="Times New Roman"/>
          <w:i/>
          <w:sz w:val="24"/>
          <w:szCs w:val="24"/>
        </w:rPr>
      </w:pPr>
    </w:p>
    <w:p w:rsidR="001923EC" w:rsidRDefault="00EF3C4D" w:rsidP="001923EC">
      <w:pPr>
        <w:spacing w:after="0" w:line="360" w:lineRule="auto"/>
        <w:jc w:val="right"/>
        <w:rPr>
          <w:rFonts w:ascii="Times New Roman" w:hAnsi="Times New Roman"/>
          <w:i/>
          <w:sz w:val="24"/>
          <w:szCs w:val="24"/>
        </w:rPr>
      </w:pPr>
      <w:r>
        <w:rPr>
          <w:rFonts w:ascii="Times New Roman" w:hAnsi="Times New Roman"/>
          <w:i/>
          <w:sz w:val="24"/>
          <w:szCs w:val="24"/>
        </w:rPr>
        <w:t>À</w:t>
      </w:r>
      <w:r w:rsidR="001923EC">
        <w:rPr>
          <w:rFonts w:ascii="Times New Roman" w:hAnsi="Times New Roman"/>
          <w:i/>
          <w:sz w:val="24"/>
          <w:szCs w:val="24"/>
        </w:rPr>
        <w:t xml:space="preserve"> Ana Paula,</w:t>
      </w:r>
      <w:r w:rsidR="004641CA">
        <w:rPr>
          <w:rFonts w:ascii="Times New Roman" w:hAnsi="Times New Roman"/>
          <w:i/>
          <w:sz w:val="24"/>
          <w:szCs w:val="24"/>
        </w:rPr>
        <w:t xml:space="preserve"> companheira,</w:t>
      </w:r>
      <w:r w:rsidR="00BA388F">
        <w:rPr>
          <w:rFonts w:ascii="Times New Roman" w:hAnsi="Times New Roman"/>
          <w:i/>
          <w:sz w:val="24"/>
          <w:szCs w:val="24"/>
        </w:rPr>
        <w:t xml:space="preserve"> amiga </w:t>
      </w:r>
      <w:r w:rsidR="004641CA">
        <w:rPr>
          <w:rFonts w:ascii="Times New Roman" w:hAnsi="Times New Roman"/>
          <w:i/>
          <w:sz w:val="24"/>
          <w:szCs w:val="24"/>
        </w:rPr>
        <w:t xml:space="preserve">e paixão </w:t>
      </w:r>
      <w:r w:rsidR="00BA388F">
        <w:rPr>
          <w:rFonts w:ascii="Times New Roman" w:hAnsi="Times New Roman"/>
          <w:i/>
          <w:sz w:val="24"/>
          <w:szCs w:val="24"/>
        </w:rPr>
        <w:t>de sempre.</w:t>
      </w:r>
    </w:p>
    <w:p w:rsidR="00BA388F" w:rsidRDefault="00BA388F" w:rsidP="001923EC">
      <w:pPr>
        <w:spacing w:after="0" w:line="360" w:lineRule="auto"/>
        <w:jc w:val="right"/>
        <w:rPr>
          <w:rFonts w:ascii="Times New Roman" w:hAnsi="Times New Roman"/>
          <w:i/>
          <w:sz w:val="24"/>
          <w:szCs w:val="24"/>
        </w:rPr>
      </w:pPr>
    </w:p>
    <w:p w:rsidR="00BA388F" w:rsidRDefault="001923EC" w:rsidP="00BA388F">
      <w:pPr>
        <w:spacing w:after="0"/>
        <w:jc w:val="right"/>
        <w:rPr>
          <w:rFonts w:ascii="Times New Roman" w:hAnsi="Times New Roman"/>
          <w:i/>
          <w:sz w:val="24"/>
          <w:szCs w:val="24"/>
        </w:rPr>
      </w:pPr>
      <w:r>
        <w:rPr>
          <w:rFonts w:ascii="Times New Roman" w:hAnsi="Times New Roman"/>
          <w:i/>
          <w:sz w:val="24"/>
          <w:szCs w:val="24"/>
        </w:rPr>
        <w:t xml:space="preserve">Aos </w:t>
      </w:r>
      <w:r w:rsidR="00BA388F">
        <w:rPr>
          <w:rFonts w:ascii="Times New Roman" w:hAnsi="Times New Roman"/>
          <w:i/>
          <w:sz w:val="24"/>
          <w:szCs w:val="24"/>
        </w:rPr>
        <w:t>nossos</w:t>
      </w:r>
      <w:r>
        <w:rPr>
          <w:rFonts w:ascii="Times New Roman" w:hAnsi="Times New Roman"/>
          <w:i/>
          <w:sz w:val="24"/>
          <w:szCs w:val="24"/>
        </w:rPr>
        <w:t xml:space="preserve"> filhos André e Ana Beatriz</w:t>
      </w:r>
    </w:p>
    <w:p w:rsidR="001923EC" w:rsidRPr="001923EC" w:rsidRDefault="00BA388F" w:rsidP="00BA388F">
      <w:pPr>
        <w:spacing w:after="0"/>
        <w:jc w:val="right"/>
        <w:rPr>
          <w:rFonts w:ascii="Times New Roman" w:hAnsi="Times New Roman"/>
          <w:i/>
          <w:sz w:val="24"/>
          <w:szCs w:val="24"/>
        </w:rPr>
      </w:pPr>
      <w:r>
        <w:rPr>
          <w:rFonts w:ascii="Times New Roman" w:hAnsi="Times New Roman"/>
          <w:i/>
          <w:sz w:val="24"/>
          <w:szCs w:val="24"/>
        </w:rPr>
        <w:t xml:space="preserve">que alegram nossas vidas. </w:t>
      </w:r>
    </w:p>
    <w:p w:rsidR="001923EC" w:rsidRDefault="001923EC" w:rsidP="00986E19">
      <w:pPr>
        <w:spacing w:after="0" w:line="360" w:lineRule="auto"/>
        <w:jc w:val="center"/>
        <w:rPr>
          <w:rFonts w:ascii="Times New Roman" w:hAnsi="Times New Roman"/>
          <w:b/>
          <w:sz w:val="24"/>
          <w:szCs w:val="24"/>
        </w:rPr>
      </w:pPr>
    </w:p>
    <w:p w:rsidR="002D6438" w:rsidRDefault="002D6438" w:rsidP="00FC6829">
      <w:pPr>
        <w:jc w:val="center"/>
        <w:rPr>
          <w:rFonts w:ascii="Times New Roman" w:hAnsi="Times New Roman"/>
          <w:b/>
          <w:sz w:val="24"/>
          <w:szCs w:val="24"/>
        </w:rPr>
      </w:pPr>
    </w:p>
    <w:p w:rsidR="002D6438" w:rsidRDefault="002D6438" w:rsidP="00FC6829">
      <w:pPr>
        <w:jc w:val="center"/>
        <w:rPr>
          <w:rFonts w:ascii="Times New Roman" w:hAnsi="Times New Roman"/>
          <w:b/>
          <w:sz w:val="24"/>
          <w:szCs w:val="24"/>
        </w:rPr>
      </w:pPr>
    </w:p>
    <w:p w:rsidR="002D6438" w:rsidRDefault="002D6438" w:rsidP="00FC6829">
      <w:pPr>
        <w:jc w:val="center"/>
        <w:rPr>
          <w:rFonts w:ascii="Times New Roman" w:hAnsi="Times New Roman"/>
          <w:b/>
          <w:sz w:val="24"/>
          <w:szCs w:val="24"/>
        </w:rPr>
      </w:pPr>
    </w:p>
    <w:p w:rsidR="00FC6829" w:rsidRDefault="00FC6829" w:rsidP="00FC6829">
      <w:pPr>
        <w:jc w:val="center"/>
        <w:rPr>
          <w:rFonts w:ascii="Times New Roman" w:hAnsi="Times New Roman"/>
          <w:sz w:val="24"/>
          <w:szCs w:val="24"/>
        </w:rPr>
      </w:pPr>
      <w:r>
        <w:rPr>
          <w:rFonts w:ascii="Times New Roman" w:hAnsi="Times New Roman"/>
          <w:b/>
          <w:sz w:val="24"/>
          <w:szCs w:val="24"/>
        </w:rPr>
        <w:lastRenderedPageBreak/>
        <w:t>AGRADECIMENTOS</w:t>
      </w:r>
    </w:p>
    <w:p w:rsidR="00FC6829" w:rsidRDefault="00FC6829" w:rsidP="00FC6829">
      <w:pPr>
        <w:jc w:val="center"/>
        <w:rPr>
          <w:rFonts w:ascii="Times New Roman" w:hAnsi="Times New Roman"/>
          <w:sz w:val="24"/>
          <w:szCs w:val="24"/>
        </w:rPr>
      </w:pPr>
    </w:p>
    <w:p w:rsidR="00FC6829" w:rsidRDefault="00FC6829" w:rsidP="00FC6829">
      <w:pPr>
        <w:spacing w:after="0" w:line="360" w:lineRule="auto"/>
        <w:jc w:val="both"/>
        <w:rPr>
          <w:rFonts w:ascii="Times New Roman" w:hAnsi="Times New Roman"/>
          <w:sz w:val="24"/>
          <w:szCs w:val="24"/>
        </w:rPr>
      </w:pPr>
      <w:r>
        <w:rPr>
          <w:rFonts w:ascii="Times New Roman" w:hAnsi="Times New Roman"/>
          <w:sz w:val="24"/>
          <w:szCs w:val="24"/>
        </w:rPr>
        <w:tab/>
        <w:t>Muitas das questões e inquietações trazidas por esta tese foram atravessadas pelas reflexões levantadas e analisadas magistralmente pelos trabalhos da amiga e orientadora Virgínia Fontes. Devo dizer então que Virgínia sempre esteve presente na elaboração desta tese: como referência teórico-política de análise marxista e como orientadora que aponta</w:t>
      </w:r>
      <w:r w:rsidR="003073B7">
        <w:rPr>
          <w:rFonts w:ascii="Times New Roman" w:hAnsi="Times New Roman"/>
          <w:sz w:val="24"/>
          <w:szCs w:val="24"/>
        </w:rPr>
        <w:t>va</w:t>
      </w:r>
      <w:r>
        <w:rPr>
          <w:rFonts w:ascii="Times New Roman" w:hAnsi="Times New Roman"/>
          <w:sz w:val="24"/>
          <w:szCs w:val="24"/>
        </w:rPr>
        <w:t xml:space="preserve"> e dialoga</w:t>
      </w:r>
      <w:r w:rsidR="003073B7">
        <w:rPr>
          <w:rFonts w:ascii="Times New Roman" w:hAnsi="Times New Roman"/>
          <w:sz w:val="24"/>
          <w:szCs w:val="24"/>
        </w:rPr>
        <w:t>va</w:t>
      </w:r>
      <w:r>
        <w:rPr>
          <w:rFonts w:ascii="Times New Roman" w:hAnsi="Times New Roman"/>
          <w:sz w:val="24"/>
          <w:szCs w:val="24"/>
        </w:rPr>
        <w:t xml:space="preserve"> com questões cirúrgicas que envolv</w:t>
      </w:r>
      <w:r w:rsidR="003073B7">
        <w:rPr>
          <w:rFonts w:ascii="Times New Roman" w:hAnsi="Times New Roman"/>
          <w:sz w:val="24"/>
          <w:szCs w:val="24"/>
        </w:rPr>
        <w:t>ia</w:t>
      </w:r>
      <w:r>
        <w:rPr>
          <w:rFonts w:ascii="Times New Roman" w:hAnsi="Times New Roman"/>
          <w:sz w:val="24"/>
          <w:szCs w:val="24"/>
        </w:rPr>
        <w:t xml:space="preserve">m a pesquisa, que </w:t>
      </w:r>
      <w:r w:rsidR="003073B7">
        <w:rPr>
          <w:rFonts w:ascii="Times New Roman" w:hAnsi="Times New Roman"/>
          <w:sz w:val="24"/>
          <w:szCs w:val="24"/>
        </w:rPr>
        <w:t>me levava</w:t>
      </w:r>
      <w:r>
        <w:rPr>
          <w:rFonts w:ascii="Times New Roman" w:hAnsi="Times New Roman"/>
          <w:sz w:val="24"/>
          <w:szCs w:val="24"/>
        </w:rPr>
        <w:t xml:space="preserve"> explorar as contradições abarcadas ou apagadas pela documentação. Pensar dialeticamente as contradições do mundo no capitalismo, as formas de mercantilização da vida social e a reflexão historiográfica refinada, crítica, militante, foi um grande aprendizado ao seu lado. Sendo mais fiel, o trabalho de “orientação” com Virgínia foi muito mais que um aprendizado acadêmico e envolveu o alargamento crítico da minha visão de mundo e um trato sincero e afetuoso nas relações interpessoais. Obrigado Virgínia.</w:t>
      </w:r>
    </w:p>
    <w:p w:rsidR="00FC6829" w:rsidRDefault="00FC6829" w:rsidP="00FC6829">
      <w:pPr>
        <w:spacing w:after="0" w:line="360" w:lineRule="auto"/>
        <w:jc w:val="both"/>
        <w:rPr>
          <w:rFonts w:ascii="Times New Roman" w:hAnsi="Times New Roman"/>
          <w:sz w:val="24"/>
          <w:szCs w:val="24"/>
        </w:rPr>
      </w:pPr>
      <w:r>
        <w:rPr>
          <w:rFonts w:ascii="Times New Roman" w:hAnsi="Times New Roman"/>
          <w:sz w:val="24"/>
          <w:szCs w:val="24"/>
        </w:rPr>
        <w:tab/>
        <w:t xml:space="preserve">Aos professores que compuseram a Banca de Qualificação, Marcelo Badaró Mattos e Sonia Regina de Mendonça pelas valiosíssimas intervenções quanto ao aprimoramento do material e aos rumos necessários que a tese </w:t>
      </w:r>
      <w:r w:rsidR="007A6D92">
        <w:rPr>
          <w:rFonts w:ascii="Times New Roman" w:hAnsi="Times New Roman"/>
          <w:sz w:val="24"/>
          <w:szCs w:val="24"/>
        </w:rPr>
        <w:t>deveria assumir naquele momento, bem como às observações e análises traçadas por ocasião da Banca de Defesa.</w:t>
      </w:r>
      <w:r>
        <w:rPr>
          <w:rFonts w:ascii="Times New Roman" w:hAnsi="Times New Roman"/>
          <w:sz w:val="24"/>
          <w:szCs w:val="24"/>
        </w:rPr>
        <w:t xml:space="preserve"> Aluno de ambos desde a graduação, a especialização e o mestrado, nutro grande admiração e agradecimento, mas também pela excelência das produções acadêmicas que desenvolvem, no campo do marxismo, no Departamento de História da UFF.</w:t>
      </w:r>
    </w:p>
    <w:p w:rsidR="007A6D92" w:rsidRDefault="007A6D92" w:rsidP="00FC6829">
      <w:pPr>
        <w:spacing w:after="0" w:line="360" w:lineRule="auto"/>
        <w:jc w:val="both"/>
        <w:rPr>
          <w:rFonts w:ascii="Times New Roman" w:hAnsi="Times New Roman"/>
          <w:sz w:val="24"/>
          <w:szCs w:val="24"/>
        </w:rPr>
      </w:pPr>
      <w:r>
        <w:rPr>
          <w:rFonts w:ascii="Times New Roman" w:hAnsi="Times New Roman"/>
          <w:sz w:val="24"/>
          <w:szCs w:val="24"/>
        </w:rPr>
        <w:tab/>
        <w:t xml:space="preserve">Aos professores Rodrigo Castelo e Eurelino Coelho pelas </w:t>
      </w:r>
      <w:r w:rsidR="00A70652">
        <w:rPr>
          <w:rFonts w:ascii="Times New Roman" w:hAnsi="Times New Roman"/>
          <w:sz w:val="24"/>
          <w:szCs w:val="24"/>
        </w:rPr>
        <w:t xml:space="preserve">pertinentes e </w:t>
      </w:r>
      <w:r>
        <w:rPr>
          <w:rFonts w:ascii="Times New Roman" w:hAnsi="Times New Roman"/>
          <w:sz w:val="24"/>
          <w:szCs w:val="24"/>
        </w:rPr>
        <w:t>preciosas intervenções, análises e questionamentos por ocasião da Banca de Defesa da tese</w:t>
      </w:r>
      <w:r w:rsidR="00A70652">
        <w:rPr>
          <w:rFonts w:ascii="Times New Roman" w:hAnsi="Times New Roman"/>
          <w:sz w:val="24"/>
          <w:szCs w:val="24"/>
        </w:rPr>
        <w:t>, capazes de aguçar e oferecer reflexões necessárias ao aprofundamento e ampliação da</w:t>
      </w:r>
      <w:r w:rsidR="00AA5711">
        <w:rPr>
          <w:rFonts w:ascii="Times New Roman" w:hAnsi="Times New Roman"/>
          <w:sz w:val="24"/>
          <w:szCs w:val="24"/>
        </w:rPr>
        <w:t xml:space="preserve">s principais questões e preocupações que envolvem </w:t>
      </w:r>
      <w:r w:rsidR="00A70652">
        <w:rPr>
          <w:rFonts w:ascii="Times New Roman" w:hAnsi="Times New Roman"/>
          <w:sz w:val="24"/>
          <w:szCs w:val="24"/>
        </w:rPr>
        <w:t>este trabalho</w:t>
      </w:r>
      <w:r w:rsidR="00AA5711">
        <w:rPr>
          <w:rFonts w:ascii="Times New Roman" w:hAnsi="Times New Roman"/>
          <w:sz w:val="24"/>
          <w:szCs w:val="24"/>
        </w:rPr>
        <w:t>.</w:t>
      </w:r>
    </w:p>
    <w:p w:rsidR="00FC6829" w:rsidRDefault="00213009" w:rsidP="00FC6829">
      <w:pPr>
        <w:spacing w:after="0" w:line="360" w:lineRule="auto"/>
        <w:jc w:val="both"/>
        <w:rPr>
          <w:rFonts w:ascii="Times New Roman" w:hAnsi="Times New Roman"/>
          <w:sz w:val="24"/>
          <w:szCs w:val="24"/>
        </w:rPr>
      </w:pPr>
      <w:r>
        <w:rPr>
          <w:rFonts w:ascii="Times New Roman" w:hAnsi="Times New Roman"/>
          <w:sz w:val="24"/>
          <w:szCs w:val="24"/>
        </w:rPr>
        <w:tab/>
        <w:t xml:space="preserve"> Cabe aqui lembrar </w:t>
      </w:r>
      <w:r w:rsidR="00FC6829">
        <w:rPr>
          <w:rFonts w:ascii="Times New Roman" w:hAnsi="Times New Roman"/>
          <w:sz w:val="24"/>
          <w:szCs w:val="24"/>
        </w:rPr>
        <w:t>os amigos que me ajudaram nesta empreitada. Eles estão organizados em dois grupos de que participei no período do curso de doutorado. No Grupo de Trabalho e Orientação (GTO), sob coordenação da Profª Virgínia, gostaria de agradecer aos amigos João Paulo, Pedro Henrique Campos e Thiago Ribeiro, importantes interlocutores deste trabalho, mas também os foram Anderson Tavares, Danilo Spinosa,</w:t>
      </w:r>
      <w:r w:rsidR="002D332C">
        <w:rPr>
          <w:rFonts w:ascii="Times New Roman" w:hAnsi="Times New Roman"/>
          <w:sz w:val="24"/>
          <w:szCs w:val="24"/>
        </w:rPr>
        <w:t xml:space="preserve"> Flávio Calheiros,</w:t>
      </w:r>
      <w:r w:rsidR="00FC6829">
        <w:rPr>
          <w:rFonts w:ascii="Times New Roman" w:hAnsi="Times New Roman"/>
          <w:sz w:val="24"/>
          <w:szCs w:val="24"/>
        </w:rPr>
        <w:t xml:space="preserve"> Rejane Hoeveler e Rodrigo Teixeira. No Núcleo de Pesquisas Estado e Poder no Brasil, </w:t>
      </w:r>
      <w:r w:rsidR="008E3292">
        <w:rPr>
          <w:rFonts w:ascii="Times New Roman" w:hAnsi="Times New Roman"/>
          <w:sz w:val="24"/>
          <w:szCs w:val="24"/>
        </w:rPr>
        <w:t>foi de grande valia</w:t>
      </w:r>
      <w:r w:rsidR="00FC6829">
        <w:rPr>
          <w:rFonts w:ascii="Times New Roman" w:hAnsi="Times New Roman"/>
          <w:sz w:val="24"/>
          <w:szCs w:val="24"/>
        </w:rPr>
        <w:t xml:space="preserve"> os debates com Camila Pinheiro, Nathália Nicolau, Maurício Margalho, Melissa Natividade, Pedro Cassiano e Ricardo </w:t>
      </w:r>
      <w:r w:rsidR="00FC6829">
        <w:rPr>
          <w:rFonts w:ascii="Times New Roman" w:hAnsi="Times New Roman"/>
          <w:sz w:val="24"/>
          <w:szCs w:val="24"/>
        </w:rPr>
        <w:lastRenderedPageBreak/>
        <w:t xml:space="preserve">Augusto. Vale mencionar </w:t>
      </w:r>
      <w:r w:rsidR="008E3292">
        <w:rPr>
          <w:rFonts w:ascii="Times New Roman" w:hAnsi="Times New Roman"/>
          <w:sz w:val="24"/>
          <w:szCs w:val="24"/>
        </w:rPr>
        <w:t>a rica</w:t>
      </w:r>
      <w:r w:rsidR="00FC6829">
        <w:rPr>
          <w:rFonts w:ascii="Times New Roman" w:hAnsi="Times New Roman"/>
          <w:sz w:val="24"/>
          <w:szCs w:val="24"/>
        </w:rPr>
        <w:t xml:space="preserve"> e </w:t>
      </w:r>
      <w:r>
        <w:rPr>
          <w:rFonts w:ascii="Times New Roman" w:hAnsi="Times New Roman"/>
          <w:sz w:val="24"/>
          <w:szCs w:val="24"/>
        </w:rPr>
        <w:t>consistente</w:t>
      </w:r>
      <w:r w:rsidR="00FC6829">
        <w:rPr>
          <w:rFonts w:ascii="Times New Roman" w:hAnsi="Times New Roman"/>
          <w:sz w:val="24"/>
          <w:szCs w:val="24"/>
        </w:rPr>
        <w:t xml:space="preserve"> contribuição na formação teórica e h</w:t>
      </w:r>
      <w:r>
        <w:rPr>
          <w:rFonts w:ascii="Times New Roman" w:hAnsi="Times New Roman"/>
          <w:sz w:val="24"/>
          <w:szCs w:val="24"/>
        </w:rPr>
        <w:t>istoriográfica deste doutorando da Pro</w:t>
      </w:r>
      <w:r w:rsidR="00FC6829">
        <w:rPr>
          <w:rFonts w:ascii="Times New Roman" w:hAnsi="Times New Roman"/>
          <w:sz w:val="24"/>
          <w:szCs w:val="24"/>
        </w:rPr>
        <w:t xml:space="preserve">fª Sonia Mendonça, coordenadora do Núcleo, uma grande amiga, além de ser uma referência </w:t>
      </w:r>
      <w:r w:rsidR="008E3292">
        <w:rPr>
          <w:rFonts w:ascii="Times New Roman" w:hAnsi="Times New Roman"/>
          <w:sz w:val="24"/>
          <w:szCs w:val="24"/>
        </w:rPr>
        <w:t>obrigatória</w:t>
      </w:r>
      <w:r w:rsidR="00FC6829">
        <w:rPr>
          <w:rFonts w:ascii="Times New Roman" w:hAnsi="Times New Roman"/>
          <w:sz w:val="24"/>
          <w:szCs w:val="24"/>
        </w:rPr>
        <w:t xml:space="preserve"> entre os historiadores</w:t>
      </w:r>
      <w:r w:rsidR="008E3292">
        <w:rPr>
          <w:rFonts w:ascii="Times New Roman" w:hAnsi="Times New Roman"/>
          <w:sz w:val="24"/>
          <w:szCs w:val="24"/>
        </w:rPr>
        <w:t>gramscianos que estudam o Estado no Brasil.</w:t>
      </w:r>
      <w:r w:rsidR="0092747D">
        <w:rPr>
          <w:rFonts w:ascii="Times New Roman" w:hAnsi="Times New Roman"/>
          <w:sz w:val="24"/>
          <w:szCs w:val="24"/>
        </w:rPr>
        <w:t xml:space="preserve"> Esta tese está largamente apoiada </w:t>
      </w:r>
      <w:r w:rsidR="000146AA">
        <w:rPr>
          <w:rFonts w:ascii="Times New Roman" w:hAnsi="Times New Roman"/>
          <w:sz w:val="24"/>
          <w:szCs w:val="24"/>
        </w:rPr>
        <w:t xml:space="preserve">tanto no método de trabalho e pesquisa </w:t>
      </w:r>
      <w:r w:rsidR="0092747D">
        <w:rPr>
          <w:rFonts w:ascii="Times New Roman" w:hAnsi="Times New Roman"/>
          <w:sz w:val="24"/>
          <w:szCs w:val="24"/>
        </w:rPr>
        <w:t>conduzido por Sonia Mendonça</w:t>
      </w:r>
      <w:r w:rsidR="000146AA">
        <w:rPr>
          <w:rFonts w:ascii="Times New Roman" w:hAnsi="Times New Roman"/>
          <w:sz w:val="24"/>
          <w:szCs w:val="24"/>
        </w:rPr>
        <w:t>, quanto no seu entendimento em relação a alguns conceitos gramscianos.</w:t>
      </w:r>
    </w:p>
    <w:p w:rsidR="00FC6829" w:rsidRDefault="00FC6829" w:rsidP="00FC6829">
      <w:pPr>
        <w:spacing w:after="0" w:line="360" w:lineRule="auto"/>
        <w:jc w:val="both"/>
        <w:rPr>
          <w:rFonts w:ascii="Times New Roman" w:hAnsi="Times New Roman"/>
          <w:sz w:val="24"/>
          <w:szCs w:val="24"/>
        </w:rPr>
      </w:pPr>
      <w:r>
        <w:rPr>
          <w:rFonts w:ascii="Times New Roman" w:hAnsi="Times New Roman"/>
          <w:sz w:val="24"/>
          <w:szCs w:val="24"/>
        </w:rPr>
        <w:tab/>
        <w:t xml:space="preserve">Os agradecimentos se estendem à Capes, pelo recebimento da bolsa de estudos e à Secretaria Municipal </w:t>
      </w:r>
      <w:r w:rsidR="008E3292">
        <w:rPr>
          <w:rFonts w:ascii="Times New Roman" w:hAnsi="Times New Roman"/>
          <w:sz w:val="24"/>
          <w:szCs w:val="24"/>
        </w:rPr>
        <w:t>de Educação de Duque de Caxias, que</w:t>
      </w:r>
      <w:r>
        <w:rPr>
          <w:rFonts w:ascii="Times New Roman" w:hAnsi="Times New Roman"/>
          <w:sz w:val="24"/>
          <w:szCs w:val="24"/>
        </w:rPr>
        <w:t xml:space="preserve"> concedeu-me licença remunerada para os estudos. Sem estes apoios esta caminhada teria sido muito difícil, senão impossível de se realizar.</w:t>
      </w:r>
    </w:p>
    <w:p w:rsidR="00FC6829" w:rsidRDefault="00FC6829" w:rsidP="00FC6829">
      <w:pPr>
        <w:spacing w:after="0" w:line="360" w:lineRule="auto"/>
        <w:jc w:val="both"/>
        <w:rPr>
          <w:rFonts w:ascii="Times New Roman" w:hAnsi="Times New Roman"/>
          <w:sz w:val="24"/>
          <w:szCs w:val="24"/>
        </w:rPr>
      </w:pPr>
      <w:r>
        <w:rPr>
          <w:rFonts w:ascii="Times New Roman" w:hAnsi="Times New Roman"/>
          <w:sz w:val="24"/>
          <w:szCs w:val="24"/>
        </w:rPr>
        <w:tab/>
        <w:t>Gostaria de agradecer também ao meu amigo Wallace Moraes, companheiro de longos e duros debates, mas sempre respeitosos, acerca de temas políticos e teóricos diversos. Wallace também contribuiu para o aperfeiçoamento do projeto de doutorado. A alusão amistosa e colaborativa vale também para Leonardo Brito, co</w:t>
      </w:r>
      <w:r w:rsidR="000B2D91">
        <w:rPr>
          <w:rFonts w:ascii="Times New Roman" w:hAnsi="Times New Roman"/>
          <w:sz w:val="24"/>
          <w:szCs w:val="24"/>
        </w:rPr>
        <w:t xml:space="preserve">mpanheiro de preocupações afins e ao Profº Dr. Gelsom </w:t>
      </w:r>
      <w:r w:rsidR="007A6D92">
        <w:rPr>
          <w:rFonts w:ascii="Times New Roman" w:hAnsi="Times New Roman"/>
          <w:sz w:val="24"/>
          <w:szCs w:val="24"/>
        </w:rPr>
        <w:t>Rozentino de Almeida (UERJ/FFP),</w:t>
      </w:r>
      <w:r w:rsidR="000B2D91">
        <w:rPr>
          <w:rFonts w:ascii="Times New Roman" w:hAnsi="Times New Roman"/>
          <w:sz w:val="24"/>
          <w:szCs w:val="24"/>
        </w:rPr>
        <w:t xml:space="preserve"> a quem devo a indicação do objeto de estudo desta tese.</w:t>
      </w:r>
    </w:p>
    <w:p w:rsidR="00FC6829" w:rsidRDefault="003073B7" w:rsidP="00FC6829">
      <w:pPr>
        <w:spacing w:after="0" w:line="360" w:lineRule="auto"/>
        <w:jc w:val="both"/>
        <w:rPr>
          <w:rFonts w:ascii="Times New Roman" w:hAnsi="Times New Roman"/>
          <w:sz w:val="24"/>
          <w:szCs w:val="24"/>
        </w:rPr>
      </w:pPr>
      <w:r>
        <w:rPr>
          <w:rFonts w:ascii="Times New Roman" w:hAnsi="Times New Roman"/>
          <w:sz w:val="24"/>
          <w:szCs w:val="24"/>
        </w:rPr>
        <w:tab/>
        <w:t>Ao sobrinho Lucas Fortunat</w:t>
      </w:r>
      <w:r w:rsidR="00FC6829">
        <w:rPr>
          <w:rFonts w:ascii="Times New Roman" w:hAnsi="Times New Roman"/>
          <w:sz w:val="24"/>
          <w:szCs w:val="24"/>
        </w:rPr>
        <w:t xml:space="preserve">o, agradeço por ter me socorrido </w:t>
      </w:r>
      <w:r w:rsidR="008E3292">
        <w:rPr>
          <w:rFonts w:ascii="Times New Roman" w:hAnsi="Times New Roman"/>
          <w:sz w:val="24"/>
          <w:szCs w:val="24"/>
        </w:rPr>
        <w:t xml:space="preserve">na elaboração de algumas figuras </w:t>
      </w:r>
      <w:r w:rsidR="00FC6829">
        <w:rPr>
          <w:rFonts w:ascii="Times New Roman" w:hAnsi="Times New Roman"/>
          <w:sz w:val="24"/>
          <w:szCs w:val="24"/>
        </w:rPr>
        <w:t>e tabelas.</w:t>
      </w:r>
    </w:p>
    <w:p w:rsidR="00FC6829" w:rsidRDefault="00FC6829" w:rsidP="00FC6829">
      <w:pPr>
        <w:spacing w:after="0" w:line="360" w:lineRule="auto"/>
        <w:jc w:val="both"/>
        <w:rPr>
          <w:rFonts w:ascii="Times New Roman" w:hAnsi="Times New Roman"/>
          <w:sz w:val="24"/>
          <w:szCs w:val="24"/>
        </w:rPr>
      </w:pPr>
      <w:r>
        <w:rPr>
          <w:rFonts w:ascii="Times New Roman" w:hAnsi="Times New Roman"/>
          <w:sz w:val="24"/>
          <w:szCs w:val="24"/>
        </w:rPr>
        <w:tab/>
        <w:t xml:space="preserve">Todo esse esforço foi cotidianamente impulsionado pelo oxigênio que anima a minha vida: meus filhos André e Ana Beatriz e minha esposa Ana Paula. A eles dedico esta tese.    </w:t>
      </w:r>
    </w:p>
    <w:p w:rsidR="00FC6829" w:rsidRPr="00940ED2" w:rsidRDefault="00FC6829" w:rsidP="00FC6829">
      <w:pPr>
        <w:spacing w:after="0" w:line="360" w:lineRule="auto"/>
        <w:jc w:val="both"/>
        <w:rPr>
          <w:rFonts w:ascii="Times New Roman" w:hAnsi="Times New Roman"/>
          <w:sz w:val="24"/>
          <w:szCs w:val="24"/>
        </w:rPr>
      </w:pPr>
      <w:r>
        <w:rPr>
          <w:rFonts w:ascii="Times New Roman" w:hAnsi="Times New Roman"/>
          <w:sz w:val="24"/>
          <w:szCs w:val="24"/>
        </w:rPr>
        <w:tab/>
      </w:r>
    </w:p>
    <w:p w:rsidR="00BA388F" w:rsidRDefault="00BA388F" w:rsidP="00986E19">
      <w:pPr>
        <w:spacing w:after="0" w:line="360" w:lineRule="auto"/>
        <w:jc w:val="center"/>
        <w:rPr>
          <w:rFonts w:ascii="Times New Roman" w:hAnsi="Times New Roman"/>
          <w:b/>
          <w:sz w:val="24"/>
          <w:szCs w:val="24"/>
        </w:rPr>
      </w:pPr>
    </w:p>
    <w:p w:rsidR="00FC6829" w:rsidRDefault="00FC6829" w:rsidP="00986E19">
      <w:pPr>
        <w:spacing w:after="0" w:line="360" w:lineRule="auto"/>
        <w:jc w:val="center"/>
        <w:rPr>
          <w:rFonts w:ascii="Times New Roman" w:hAnsi="Times New Roman"/>
          <w:b/>
          <w:sz w:val="24"/>
          <w:szCs w:val="24"/>
        </w:rPr>
      </w:pPr>
    </w:p>
    <w:p w:rsidR="00FC6829" w:rsidRDefault="00FC6829" w:rsidP="00986E19">
      <w:pPr>
        <w:spacing w:after="0" w:line="360" w:lineRule="auto"/>
        <w:jc w:val="center"/>
        <w:rPr>
          <w:rFonts w:ascii="Times New Roman" w:hAnsi="Times New Roman"/>
          <w:b/>
          <w:sz w:val="24"/>
          <w:szCs w:val="24"/>
        </w:rPr>
      </w:pPr>
    </w:p>
    <w:p w:rsidR="00FC6829" w:rsidRDefault="00FC6829" w:rsidP="00986E19">
      <w:pPr>
        <w:spacing w:after="0" w:line="360" w:lineRule="auto"/>
        <w:jc w:val="center"/>
        <w:rPr>
          <w:rFonts w:ascii="Times New Roman" w:hAnsi="Times New Roman"/>
          <w:b/>
          <w:sz w:val="24"/>
          <w:szCs w:val="24"/>
        </w:rPr>
      </w:pPr>
    </w:p>
    <w:p w:rsidR="00FC6829" w:rsidRDefault="00FC6829" w:rsidP="00986E19">
      <w:pPr>
        <w:spacing w:after="0" w:line="360" w:lineRule="auto"/>
        <w:jc w:val="center"/>
        <w:rPr>
          <w:rFonts w:ascii="Times New Roman" w:hAnsi="Times New Roman"/>
          <w:b/>
          <w:sz w:val="24"/>
          <w:szCs w:val="24"/>
        </w:rPr>
      </w:pPr>
    </w:p>
    <w:p w:rsidR="00FC6829" w:rsidRDefault="00FC6829" w:rsidP="00986E19">
      <w:pPr>
        <w:spacing w:after="0" w:line="360" w:lineRule="auto"/>
        <w:jc w:val="center"/>
        <w:rPr>
          <w:rFonts w:ascii="Times New Roman" w:hAnsi="Times New Roman"/>
          <w:b/>
          <w:sz w:val="24"/>
          <w:szCs w:val="24"/>
        </w:rPr>
      </w:pPr>
    </w:p>
    <w:p w:rsidR="00FC6829" w:rsidRDefault="00FC6829" w:rsidP="00986E19">
      <w:pPr>
        <w:spacing w:after="0" w:line="360" w:lineRule="auto"/>
        <w:jc w:val="center"/>
        <w:rPr>
          <w:rFonts w:ascii="Times New Roman" w:hAnsi="Times New Roman"/>
          <w:b/>
          <w:sz w:val="24"/>
          <w:szCs w:val="24"/>
        </w:rPr>
      </w:pPr>
    </w:p>
    <w:p w:rsidR="00FC6829" w:rsidRDefault="00FC6829" w:rsidP="00986E19">
      <w:pPr>
        <w:spacing w:after="0" w:line="360" w:lineRule="auto"/>
        <w:jc w:val="center"/>
        <w:rPr>
          <w:rFonts w:ascii="Times New Roman" w:hAnsi="Times New Roman"/>
          <w:b/>
          <w:sz w:val="24"/>
          <w:szCs w:val="24"/>
        </w:rPr>
      </w:pPr>
    </w:p>
    <w:p w:rsidR="00FC6829" w:rsidRDefault="00FC6829" w:rsidP="00986E19">
      <w:pPr>
        <w:spacing w:after="0" w:line="360" w:lineRule="auto"/>
        <w:jc w:val="center"/>
        <w:rPr>
          <w:rFonts w:ascii="Times New Roman" w:hAnsi="Times New Roman"/>
          <w:b/>
          <w:sz w:val="24"/>
          <w:szCs w:val="24"/>
        </w:rPr>
      </w:pPr>
    </w:p>
    <w:p w:rsidR="00FC6829" w:rsidRDefault="00FC6829" w:rsidP="00986E19">
      <w:pPr>
        <w:spacing w:after="0" w:line="360" w:lineRule="auto"/>
        <w:jc w:val="center"/>
        <w:rPr>
          <w:rFonts w:ascii="Times New Roman" w:hAnsi="Times New Roman"/>
          <w:b/>
          <w:sz w:val="24"/>
          <w:szCs w:val="24"/>
        </w:rPr>
      </w:pPr>
    </w:p>
    <w:p w:rsidR="00FC6829" w:rsidRDefault="00FC6829" w:rsidP="00986E19">
      <w:pPr>
        <w:spacing w:after="0" w:line="360" w:lineRule="auto"/>
        <w:jc w:val="center"/>
        <w:rPr>
          <w:rFonts w:ascii="Times New Roman" w:hAnsi="Times New Roman"/>
          <w:b/>
          <w:sz w:val="24"/>
          <w:szCs w:val="24"/>
        </w:rPr>
      </w:pPr>
    </w:p>
    <w:p w:rsidR="00FC6829" w:rsidRDefault="00FC6829" w:rsidP="00986E19">
      <w:pPr>
        <w:spacing w:after="0" w:line="360" w:lineRule="auto"/>
        <w:jc w:val="center"/>
        <w:rPr>
          <w:rFonts w:ascii="Times New Roman" w:hAnsi="Times New Roman"/>
          <w:b/>
          <w:sz w:val="24"/>
          <w:szCs w:val="24"/>
        </w:rPr>
      </w:pPr>
    </w:p>
    <w:p w:rsidR="00986E19" w:rsidRDefault="00986E19" w:rsidP="00986E19">
      <w:pPr>
        <w:spacing w:after="0" w:line="360" w:lineRule="auto"/>
        <w:jc w:val="center"/>
        <w:rPr>
          <w:rFonts w:ascii="Times New Roman" w:hAnsi="Times New Roman"/>
          <w:b/>
          <w:sz w:val="24"/>
          <w:szCs w:val="24"/>
        </w:rPr>
      </w:pPr>
      <w:r w:rsidRPr="006B65C5">
        <w:rPr>
          <w:rFonts w:ascii="Times New Roman" w:hAnsi="Times New Roman"/>
          <w:b/>
          <w:sz w:val="24"/>
          <w:szCs w:val="24"/>
        </w:rPr>
        <w:lastRenderedPageBreak/>
        <w:t>Resumo</w:t>
      </w:r>
    </w:p>
    <w:p w:rsidR="00B4660C" w:rsidRPr="006B65C5" w:rsidRDefault="00B4660C" w:rsidP="00986E19">
      <w:pPr>
        <w:spacing w:after="0" w:line="360" w:lineRule="auto"/>
        <w:jc w:val="center"/>
        <w:rPr>
          <w:rFonts w:ascii="Times New Roman" w:hAnsi="Times New Roman"/>
          <w:b/>
          <w:sz w:val="24"/>
          <w:szCs w:val="24"/>
        </w:rPr>
      </w:pPr>
    </w:p>
    <w:p w:rsidR="00986E19" w:rsidRDefault="00986E19" w:rsidP="00986E19">
      <w:pPr>
        <w:spacing w:after="0" w:line="360" w:lineRule="auto"/>
        <w:jc w:val="both"/>
        <w:rPr>
          <w:rFonts w:ascii="Times New Roman" w:hAnsi="Times New Roman"/>
          <w:sz w:val="24"/>
          <w:szCs w:val="24"/>
        </w:rPr>
      </w:pPr>
    </w:p>
    <w:p w:rsidR="003073B7" w:rsidRDefault="003073B7" w:rsidP="003073B7">
      <w:pPr>
        <w:spacing w:after="0" w:line="360" w:lineRule="auto"/>
        <w:jc w:val="both"/>
        <w:rPr>
          <w:rFonts w:ascii="Times New Roman" w:hAnsi="Times New Roman"/>
          <w:sz w:val="24"/>
          <w:szCs w:val="24"/>
        </w:rPr>
      </w:pPr>
      <w:r>
        <w:rPr>
          <w:rFonts w:ascii="Times New Roman" w:hAnsi="Times New Roman"/>
          <w:sz w:val="24"/>
          <w:szCs w:val="24"/>
        </w:rPr>
        <w:t>A tese resulta de uma pesquisa sobre o Conselho de Desenvolvimento Econômico e Social (CDES) entre 2003 e 2010, embasada no arcabouço teórico marxista de Antonio Gramsci. Ela nasce de uma inquietação que acompanha minha trajetória de pesquisas e leituras há algum tempo e se relaciona às formas e mecanismos pelos quais as classes e frações de classes dominantes no capitalismo contemporâneo (e no Brasil recente em particular) inscrevem seus projetos econômicos e políticos no seio do aparelho de Estado, através de potentes aparelhos privados de hegemonia. Ela mescla, portanto, motivações de ordem teórico-política e tenta contribuir para o estudo de algumas facetas do Estado no Brasil durante os governos Lula da Silva. Nesse período convergiram reivindicações e demandas das distintas entidades da sociedade civil, mas que podem grosso modo sertraduzid</w:t>
      </w:r>
      <w:r w:rsidR="00CA37CD">
        <w:rPr>
          <w:rFonts w:ascii="Times New Roman" w:hAnsi="Times New Roman"/>
          <w:sz w:val="24"/>
          <w:szCs w:val="24"/>
        </w:rPr>
        <w:t>a</w:t>
      </w:r>
      <w:r>
        <w:rPr>
          <w:rFonts w:ascii="Times New Roman" w:hAnsi="Times New Roman"/>
          <w:sz w:val="24"/>
          <w:szCs w:val="24"/>
        </w:rPr>
        <w:t xml:space="preserve">s no aprofundamento da aproximação programática de forças sociais díspares, principalmente entre as lideranças do empresariado e da cúpula da burocracia sindical laboral na </w:t>
      </w:r>
      <w:r w:rsidRPr="003073B7">
        <w:rPr>
          <w:rFonts w:ascii="Times New Roman" w:hAnsi="Times New Roman"/>
          <w:sz w:val="24"/>
          <w:szCs w:val="24"/>
        </w:rPr>
        <w:t>consolidação de uma hegemonia cuja justificativa social revestia-se de uma aura</w:t>
      </w:r>
      <w:r>
        <w:rPr>
          <w:rFonts w:ascii="Times New Roman" w:hAnsi="Times New Roman"/>
          <w:sz w:val="24"/>
          <w:szCs w:val="24"/>
        </w:rPr>
        <w:t xml:space="preserve"> de desenvolvimento capitalista “com inclusão social”. O Conselho de Desenvolvimento Econômico e Social (CDES) configurou-se como </w:t>
      </w:r>
      <w:r>
        <w:rPr>
          <w:rFonts w:ascii="Times New Roman" w:hAnsi="Times New Roman"/>
          <w:i/>
          <w:sz w:val="24"/>
          <w:szCs w:val="24"/>
        </w:rPr>
        <w:t>um dos palcos</w:t>
      </w:r>
      <w:r>
        <w:rPr>
          <w:rFonts w:ascii="Times New Roman" w:hAnsi="Times New Roman"/>
          <w:sz w:val="24"/>
          <w:szCs w:val="24"/>
        </w:rPr>
        <w:t xml:space="preserve"> de atuação </w:t>
      </w:r>
      <w:r w:rsidRPr="003073B7">
        <w:rPr>
          <w:rFonts w:ascii="Times New Roman" w:hAnsi="Times New Roman"/>
          <w:sz w:val="24"/>
          <w:szCs w:val="24"/>
        </w:rPr>
        <w:t xml:space="preserve">e amálgama </w:t>
      </w:r>
      <w:r>
        <w:rPr>
          <w:rFonts w:ascii="Times New Roman" w:hAnsi="Times New Roman"/>
          <w:sz w:val="24"/>
          <w:szCs w:val="24"/>
        </w:rPr>
        <w:t xml:space="preserve">destas forças sociais no interior do aparato estatal com o propósito de </w:t>
      </w:r>
      <w:r>
        <w:rPr>
          <w:rFonts w:ascii="Times New Roman" w:hAnsi="Times New Roman"/>
          <w:i/>
          <w:sz w:val="24"/>
          <w:szCs w:val="24"/>
        </w:rPr>
        <w:t xml:space="preserve">maturar </w:t>
      </w:r>
      <w:r>
        <w:rPr>
          <w:rFonts w:ascii="Times New Roman" w:hAnsi="Times New Roman"/>
          <w:sz w:val="24"/>
          <w:szCs w:val="24"/>
        </w:rPr>
        <w:t>e</w:t>
      </w:r>
      <w:r>
        <w:rPr>
          <w:rFonts w:ascii="Times New Roman" w:hAnsi="Times New Roman"/>
          <w:i/>
          <w:sz w:val="24"/>
          <w:szCs w:val="24"/>
        </w:rPr>
        <w:t xml:space="preserve"> aperfeiçoar </w:t>
      </w:r>
      <w:r w:rsidRPr="003073B7">
        <w:rPr>
          <w:rFonts w:ascii="Times New Roman" w:hAnsi="Times New Roman"/>
          <w:sz w:val="24"/>
          <w:szCs w:val="24"/>
        </w:rPr>
        <w:t>a</w:t>
      </w:r>
      <w:r>
        <w:rPr>
          <w:rFonts w:ascii="Times New Roman" w:hAnsi="Times New Roman"/>
          <w:sz w:val="24"/>
          <w:szCs w:val="24"/>
        </w:rPr>
        <w:t xml:space="preserve"> ampliação das formas de reprodução da acumulação capitalista, sob direção empresarial </w:t>
      </w:r>
      <w:r w:rsidRPr="003073B7">
        <w:rPr>
          <w:rFonts w:ascii="Times New Roman" w:hAnsi="Times New Roman"/>
          <w:sz w:val="24"/>
          <w:szCs w:val="24"/>
        </w:rPr>
        <w:t>de grandes monopólios</w:t>
      </w:r>
      <w:r>
        <w:rPr>
          <w:rFonts w:ascii="Times New Roman" w:hAnsi="Times New Roman"/>
          <w:sz w:val="24"/>
          <w:szCs w:val="24"/>
        </w:rPr>
        <w:t>, com feição distributiva oriunda da ressignificação rebaixada das reivindicações populares.</w:t>
      </w:r>
    </w:p>
    <w:p w:rsidR="00986E19" w:rsidRDefault="00986E19" w:rsidP="00986E19">
      <w:pPr>
        <w:spacing w:after="0" w:line="360" w:lineRule="auto"/>
        <w:jc w:val="both"/>
        <w:rPr>
          <w:rFonts w:ascii="Times New Roman" w:hAnsi="Times New Roman"/>
          <w:sz w:val="24"/>
          <w:szCs w:val="24"/>
        </w:rPr>
      </w:pPr>
    </w:p>
    <w:p w:rsidR="00986E19" w:rsidRDefault="00986E19" w:rsidP="00986E19">
      <w:pPr>
        <w:spacing w:after="0" w:line="360" w:lineRule="auto"/>
        <w:jc w:val="both"/>
        <w:rPr>
          <w:rFonts w:ascii="Times New Roman" w:hAnsi="Times New Roman"/>
          <w:sz w:val="24"/>
          <w:szCs w:val="24"/>
        </w:rPr>
      </w:pPr>
    </w:p>
    <w:p w:rsidR="00986E19" w:rsidRDefault="003073B7" w:rsidP="00986E19">
      <w:pPr>
        <w:spacing w:after="0" w:line="360" w:lineRule="auto"/>
        <w:jc w:val="both"/>
        <w:rPr>
          <w:rFonts w:ascii="Times New Roman" w:hAnsi="Times New Roman"/>
          <w:sz w:val="24"/>
          <w:szCs w:val="24"/>
        </w:rPr>
      </w:pPr>
      <w:r w:rsidRPr="003073B7">
        <w:rPr>
          <w:rFonts w:ascii="Times New Roman" w:hAnsi="Times New Roman"/>
          <w:b/>
          <w:sz w:val="24"/>
          <w:szCs w:val="24"/>
        </w:rPr>
        <w:t>Palavras-chaves</w:t>
      </w:r>
      <w:r>
        <w:rPr>
          <w:rFonts w:ascii="Times New Roman" w:hAnsi="Times New Roman"/>
          <w:sz w:val="24"/>
          <w:szCs w:val="24"/>
        </w:rPr>
        <w:t>: CDES – empresariado – hegemonia – governos Lula da Silva</w:t>
      </w:r>
    </w:p>
    <w:p w:rsidR="00986E19" w:rsidRDefault="00986E19" w:rsidP="00986E19">
      <w:pPr>
        <w:spacing w:after="0" w:line="360" w:lineRule="auto"/>
        <w:jc w:val="both"/>
        <w:rPr>
          <w:rFonts w:ascii="Times New Roman" w:hAnsi="Times New Roman"/>
          <w:sz w:val="24"/>
          <w:szCs w:val="24"/>
        </w:rPr>
      </w:pPr>
    </w:p>
    <w:p w:rsidR="00986E19" w:rsidRDefault="00986E19" w:rsidP="00986E19">
      <w:pPr>
        <w:spacing w:after="0" w:line="360" w:lineRule="auto"/>
        <w:jc w:val="both"/>
        <w:rPr>
          <w:rFonts w:ascii="Times New Roman" w:hAnsi="Times New Roman"/>
          <w:sz w:val="24"/>
          <w:szCs w:val="24"/>
        </w:rPr>
      </w:pPr>
    </w:p>
    <w:p w:rsidR="00986E19" w:rsidRDefault="00986E19" w:rsidP="00986E19">
      <w:pPr>
        <w:spacing w:after="0" w:line="360" w:lineRule="auto"/>
        <w:jc w:val="both"/>
        <w:rPr>
          <w:rFonts w:ascii="Times New Roman" w:hAnsi="Times New Roman"/>
          <w:sz w:val="24"/>
          <w:szCs w:val="24"/>
        </w:rPr>
      </w:pPr>
    </w:p>
    <w:p w:rsidR="00986E19" w:rsidRDefault="00986E19" w:rsidP="00986E19">
      <w:pPr>
        <w:spacing w:after="0" w:line="360" w:lineRule="auto"/>
        <w:jc w:val="both"/>
        <w:rPr>
          <w:rFonts w:ascii="Times New Roman" w:hAnsi="Times New Roman"/>
          <w:sz w:val="24"/>
          <w:szCs w:val="24"/>
        </w:rPr>
      </w:pPr>
    </w:p>
    <w:p w:rsidR="00986E19" w:rsidRDefault="00986E19" w:rsidP="00986E19">
      <w:pPr>
        <w:spacing w:after="0" w:line="360" w:lineRule="auto"/>
        <w:jc w:val="both"/>
        <w:rPr>
          <w:rFonts w:ascii="Times New Roman" w:hAnsi="Times New Roman"/>
          <w:sz w:val="24"/>
          <w:szCs w:val="24"/>
        </w:rPr>
      </w:pPr>
    </w:p>
    <w:p w:rsidR="00FC6829" w:rsidRDefault="00FC6829" w:rsidP="00986E19">
      <w:pPr>
        <w:spacing w:after="0" w:line="360" w:lineRule="auto"/>
        <w:jc w:val="both"/>
        <w:rPr>
          <w:rFonts w:ascii="Times New Roman" w:hAnsi="Times New Roman"/>
          <w:sz w:val="24"/>
          <w:szCs w:val="24"/>
        </w:rPr>
      </w:pPr>
    </w:p>
    <w:p w:rsidR="003073B7" w:rsidRDefault="003073B7" w:rsidP="00986E19">
      <w:pPr>
        <w:spacing w:after="0" w:line="360" w:lineRule="auto"/>
        <w:jc w:val="both"/>
        <w:rPr>
          <w:rFonts w:ascii="Times New Roman" w:hAnsi="Times New Roman"/>
          <w:sz w:val="24"/>
          <w:szCs w:val="24"/>
        </w:rPr>
      </w:pPr>
    </w:p>
    <w:p w:rsidR="00986E19" w:rsidRDefault="00986E19" w:rsidP="00986E19">
      <w:pPr>
        <w:spacing w:after="0" w:line="360" w:lineRule="auto"/>
        <w:jc w:val="both"/>
        <w:rPr>
          <w:rFonts w:ascii="Times New Roman" w:hAnsi="Times New Roman"/>
          <w:sz w:val="24"/>
          <w:szCs w:val="24"/>
        </w:rPr>
      </w:pPr>
    </w:p>
    <w:p w:rsidR="004F736A" w:rsidRDefault="004F736A" w:rsidP="00986E19">
      <w:pPr>
        <w:spacing w:after="0" w:line="360" w:lineRule="auto"/>
        <w:jc w:val="both"/>
        <w:rPr>
          <w:rFonts w:ascii="Times New Roman" w:hAnsi="Times New Roman"/>
          <w:sz w:val="24"/>
          <w:szCs w:val="24"/>
        </w:rPr>
      </w:pPr>
    </w:p>
    <w:p w:rsidR="00AE708D" w:rsidRPr="00F20A37" w:rsidRDefault="00AE708D" w:rsidP="00AE708D">
      <w:pPr>
        <w:spacing w:after="0" w:line="360" w:lineRule="auto"/>
        <w:jc w:val="center"/>
        <w:rPr>
          <w:rFonts w:ascii="Times New Roman" w:hAnsi="Times New Roman"/>
          <w:b/>
          <w:sz w:val="24"/>
          <w:szCs w:val="24"/>
          <w:lang w:val="en-US"/>
        </w:rPr>
      </w:pPr>
      <w:r w:rsidRPr="00F20A37">
        <w:rPr>
          <w:rFonts w:ascii="Times New Roman" w:hAnsi="Times New Roman"/>
          <w:b/>
          <w:sz w:val="24"/>
          <w:szCs w:val="24"/>
          <w:lang w:val="en-US"/>
        </w:rPr>
        <w:t>Abstract</w:t>
      </w:r>
    </w:p>
    <w:p w:rsidR="00B4660C" w:rsidRPr="00F20A37" w:rsidRDefault="00B4660C" w:rsidP="00AE708D">
      <w:pPr>
        <w:spacing w:after="0" w:line="360" w:lineRule="auto"/>
        <w:jc w:val="center"/>
        <w:rPr>
          <w:rFonts w:ascii="Times New Roman" w:hAnsi="Times New Roman"/>
          <w:b/>
          <w:sz w:val="24"/>
          <w:szCs w:val="24"/>
          <w:lang w:val="en-US"/>
        </w:rPr>
      </w:pPr>
    </w:p>
    <w:p w:rsidR="00727858" w:rsidRDefault="00727858" w:rsidP="00727858">
      <w:pPr>
        <w:pStyle w:val="NormalWeb"/>
        <w:shd w:val="clear" w:color="auto" w:fill="FFFFFF"/>
        <w:spacing w:before="280" w:line="360" w:lineRule="auto"/>
        <w:jc w:val="both"/>
        <w:rPr>
          <w:color w:val="000000"/>
          <w:lang w:val="en-US"/>
        </w:rPr>
      </w:pPr>
      <w:r>
        <w:rPr>
          <w:color w:val="000000"/>
          <w:lang w:val="en-US"/>
        </w:rPr>
        <w:t>The thesis results from a research about the Economic and Social Development Council (ESDC) between 2003 and 2010, based on Antonio Gramsci's marxist teorethical framework. It borns from a concern since some time related to the forms and mechanisms through which ruling classes and their fractions in contemporary capitalism (and in recent brazilian history, particularly) insert their political and economic projects inside state apparatuses, through powerful private apparatuses of hegemony. So, the thesis mixes theoretical and political motivations and try to contribute to the study of some faces of the state in Brazil along Lula da Silva's Administrations. In that period, converged demands and claims from differents civil society entities, that,</w:t>
      </w:r>
      <w:r>
        <w:rPr>
          <w:rStyle w:val="apple-converted-space"/>
          <w:color w:val="000000"/>
          <w:lang w:val="en-US"/>
        </w:rPr>
        <w:t> </w:t>
      </w:r>
      <w:r>
        <w:rPr>
          <w:i/>
          <w:iCs/>
          <w:color w:val="000000"/>
          <w:lang w:val="en-US"/>
        </w:rPr>
        <w:t>grosso modo</w:t>
      </w:r>
      <w:r>
        <w:rPr>
          <w:color w:val="000000"/>
          <w:lang w:val="en-US"/>
        </w:rPr>
        <w:t>, can be translated in the deepening of the programatic rapprochement between differents social forces, mainly between business community leaderships and the summit of sindical labour bureaucracy, settinp a hegemony that social justification shows it self with an aura of capitalist development “with social inclusion”. The Economic and Social Development Council (ESDC) figures as</w:t>
      </w:r>
      <w:r>
        <w:rPr>
          <w:rStyle w:val="apple-converted-space"/>
          <w:color w:val="000000"/>
          <w:lang w:val="en-US"/>
        </w:rPr>
        <w:t> </w:t>
      </w:r>
      <w:r>
        <w:rPr>
          <w:i/>
          <w:iCs/>
          <w:color w:val="000000"/>
          <w:lang w:val="en-US"/>
        </w:rPr>
        <w:t>one of the acting proscenia</w:t>
      </w:r>
      <w:r>
        <w:rPr>
          <w:rStyle w:val="apple-converted-space"/>
          <w:color w:val="000000"/>
          <w:lang w:val="en-US"/>
        </w:rPr>
        <w:t xml:space="preserve"> and amalgamating place </w:t>
      </w:r>
      <w:r>
        <w:rPr>
          <w:color w:val="000000"/>
          <w:lang w:val="en-US"/>
        </w:rPr>
        <w:t xml:space="preserve">of those social forces inside state apparatuses, purposing to maturate and to improve the expansion of forms of capitalist accumulation reproduction, under huge monopolies business community direction, with distributive feature originated from the downgraded resignification of popular </w:t>
      </w:r>
      <w:r w:rsidR="003073B7">
        <w:rPr>
          <w:color w:val="000000"/>
          <w:lang w:val="en-US"/>
        </w:rPr>
        <w:t>claims</w:t>
      </w:r>
      <w:r>
        <w:rPr>
          <w:color w:val="000000"/>
          <w:lang w:val="en-US"/>
        </w:rPr>
        <w:t>.</w:t>
      </w:r>
    </w:p>
    <w:p w:rsidR="00727858" w:rsidRDefault="00727858" w:rsidP="00727858">
      <w:pPr>
        <w:pStyle w:val="NormalWeb"/>
        <w:shd w:val="clear" w:color="auto" w:fill="FFFFFF"/>
        <w:spacing w:before="280" w:line="360" w:lineRule="auto"/>
        <w:jc w:val="both"/>
        <w:rPr>
          <w:rFonts w:ascii="Segoe UI" w:hAnsi="Segoe UI" w:cs="Segoe UI"/>
          <w:color w:val="000000"/>
          <w:lang w:val="en-US"/>
        </w:rPr>
      </w:pPr>
    </w:p>
    <w:p w:rsidR="00727858" w:rsidRDefault="00727858" w:rsidP="00727858">
      <w:pPr>
        <w:pStyle w:val="NormalWeb"/>
        <w:shd w:val="clear" w:color="auto" w:fill="FFFFFF"/>
        <w:spacing w:before="280" w:line="360" w:lineRule="auto"/>
        <w:jc w:val="both"/>
        <w:rPr>
          <w:color w:val="000000"/>
          <w:lang w:val="en-US"/>
        </w:rPr>
      </w:pPr>
      <w:r>
        <w:rPr>
          <w:b/>
          <w:color w:val="000000"/>
          <w:lang w:val="en-US"/>
        </w:rPr>
        <w:t>Keywords:</w:t>
      </w:r>
      <w:r>
        <w:rPr>
          <w:color w:val="000000"/>
          <w:lang w:val="en-US"/>
        </w:rPr>
        <w:t xml:space="preserve"> ESDC – business community – hegemony – Lula da Silva's Administrations</w:t>
      </w:r>
    </w:p>
    <w:p w:rsidR="00986E19" w:rsidRDefault="00986E19" w:rsidP="00986E19">
      <w:pPr>
        <w:pStyle w:val="NormalWeb"/>
        <w:shd w:val="clear" w:color="auto" w:fill="FFFFFF"/>
        <w:spacing w:before="0" w:beforeAutospacing="0" w:after="0" w:afterAutospacing="0" w:line="360" w:lineRule="auto"/>
        <w:jc w:val="both"/>
        <w:rPr>
          <w:color w:val="000000"/>
          <w:lang w:val="en-US"/>
        </w:rPr>
      </w:pPr>
    </w:p>
    <w:p w:rsidR="00986E19" w:rsidRDefault="00986E19" w:rsidP="00986E19">
      <w:pPr>
        <w:pStyle w:val="NormalWeb"/>
        <w:shd w:val="clear" w:color="auto" w:fill="FFFFFF"/>
        <w:spacing w:before="0" w:beforeAutospacing="0" w:after="0" w:afterAutospacing="0" w:line="360" w:lineRule="auto"/>
        <w:jc w:val="both"/>
        <w:rPr>
          <w:color w:val="000000"/>
          <w:lang w:val="en-US"/>
        </w:rPr>
      </w:pPr>
    </w:p>
    <w:p w:rsidR="00986E19" w:rsidRDefault="00986E19" w:rsidP="00986E19">
      <w:pPr>
        <w:pStyle w:val="NormalWeb"/>
        <w:shd w:val="clear" w:color="auto" w:fill="FFFFFF"/>
        <w:spacing w:before="0" w:beforeAutospacing="0" w:after="0" w:afterAutospacing="0" w:line="360" w:lineRule="auto"/>
        <w:jc w:val="both"/>
        <w:rPr>
          <w:color w:val="000000"/>
          <w:lang w:val="en-US"/>
        </w:rPr>
      </w:pPr>
    </w:p>
    <w:p w:rsidR="00986E19" w:rsidRDefault="00986E19" w:rsidP="00986E19">
      <w:pPr>
        <w:pStyle w:val="NormalWeb"/>
        <w:shd w:val="clear" w:color="auto" w:fill="FFFFFF"/>
        <w:spacing w:before="0" w:beforeAutospacing="0" w:after="0" w:afterAutospacing="0" w:line="360" w:lineRule="auto"/>
        <w:jc w:val="both"/>
        <w:rPr>
          <w:color w:val="000000"/>
          <w:lang w:val="en-US"/>
        </w:rPr>
      </w:pPr>
    </w:p>
    <w:p w:rsidR="005F0283" w:rsidRDefault="005F0283" w:rsidP="00986E19">
      <w:pPr>
        <w:pStyle w:val="NormalWeb"/>
        <w:shd w:val="clear" w:color="auto" w:fill="FFFFFF"/>
        <w:spacing w:before="0" w:beforeAutospacing="0" w:after="0" w:afterAutospacing="0" w:line="360" w:lineRule="auto"/>
        <w:jc w:val="both"/>
        <w:rPr>
          <w:color w:val="000000"/>
          <w:lang w:val="en-US"/>
        </w:rPr>
      </w:pPr>
    </w:p>
    <w:p w:rsidR="005F0283" w:rsidRDefault="005F0283" w:rsidP="00986E19">
      <w:pPr>
        <w:pStyle w:val="NormalWeb"/>
        <w:shd w:val="clear" w:color="auto" w:fill="FFFFFF"/>
        <w:spacing w:before="0" w:beforeAutospacing="0" w:after="0" w:afterAutospacing="0" w:line="360" w:lineRule="auto"/>
        <w:jc w:val="both"/>
        <w:rPr>
          <w:color w:val="000000"/>
          <w:lang w:val="en-US"/>
        </w:rPr>
      </w:pPr>
    </w:p>
    <w:p w:rsidR="005F0283" w:rsidRDefault="005F0283" w:rsidP="00986E19">
      <w:pPr>
        <w:pStyle w:val="NormalWeb"/>
        <w:shd w:val="clear" w:color="auto" w:fill="FFFFFF"/>
        <w:spacing w:before="0" w:beforeAutospacing="0" w:after="0" w:afterAutospacing="0" w:line="360" w:lineRule="auto"/>
        <w:jc w:val="both"/>
        <w:rPr>
          <w:color w:val="000000"/>
          <w:lang w:val="en-US"/>
        </w:rPr>
      </w:pPr>
    </w:p>
    <w:p w:rsidR="00986E19" w:rsidRDefault="00986E19" w:rsidP="00986E19">
      <w:pPr>
        <w:pStyle w:val="NormalWeb"/>
        <w:shd w:val="clear" w:color="auto" w:fill="FFFFFF"/>
        <w:spacing w:before="0" w:beforeAutospacing="0" w:after="0" w:afterAutospacing="0" w:line="360" w:lineRule="auto"/>
        <w:jc w:val="both"/>
        <w:rPr>
          <w:color w:val="000000"/>
          <w:lang w:val="en-US"/>
        </w:rPr>
      </w:pPr>
    </w:p>
    <w:p w:rsidR="00AE708D" w:rsidRDefault="00AE708D" w:rsidP="00986E19">
      <w:pPr>
        <w:pStyle w:val="NormalWeb"/>
        <w:shd w:val="clear" w:color="auto" w:fill="FFFFFF"/>
        <w:spacing w:before="0" w:beforeAutospacing="0" w:after="0" w:afterAutospacing="0" w:line="360" w:lineRule="auto"/>
        <w:jc w:val="both"/>
        <w:rPr>
          <w:color w:val="000000"/>
          <w:lang w:val="en-US"/>
        </w:rPr>
      </w:pPr>
    </w:p>
    <w:p w:rsidR="00175E42" w:rsidRPr="003F2E78" w:rsidRDefault="00175E42" w:rsidP="00175E42">
      <w:pPr>
        <w:spacing w:after="0"/>
        <w:jc w:val="center"/>
        <w:rPr>
          <w:rFonts w:ascii="Times New Roman" w:hAnsi="Times New Roman"/>
          <w:b/>
          <w:sz w:val="24"/>
          <w:szCs w:val="24"/>
        </w:rPr>
      </w:pPr>
      <w:r w:rsidRPr="003F2E78">
        <w:rPr>
          <w:rFonts w:ascii="Times New Roman" w:hAnsi="Times New Roman"/>
          <w:b/>
          <w:sz w:val="24"/>
          <w:szCs w:val="24"/>
        </w:rPr>
        <w:t>LISTA DE FIGURAS</w:t>
      </w:r>
    </w:p>
    <w:p w:rsidR="00175E42" w:rsidRPr="004939B2" w:rsidRDefault="00175E42" w:rsidP="00175E42">
      <w:pPr>
        <w:spacing w:after="120"/>
        <w:jc w:val="center"/>
        <w:rPr>
          <w:rFonts w:ascii="Times New Roman" w:hAnsi="Times New Roman"/>
          <w:sz w:val="24"/>
          <w:szCs w:val="24"/>
        </w:rPr>
      </w:pPr>
    </w:p>
    <w:tbl>
      <w:tblPr>
        <w:tblStyle w:val="Tabelacomgrade"/>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42"/>
        <w:gridCol w:w="6804"/>
        <w:gridCol w:w="709"/>
      </w:tblGrid>
      <w:tr w:rsidR="00175E42" w:rsidTr="00AD7F63">
        <w:tc>
          <w:tcPr>
            <w:tcW w:w="1242" w:type="dxa"/>
          </w:tcPr>
          <w:p w:rsidR="00175E42" w:rsidRPr="00BA4235" w:rsidRDefault="00175E42" w:rsidP="00AD7F63">
            <w:pPr>
              <w:jc w:val="both"/>
              <w:rPr>
                <w:rFonts w:ascii="Times New Roman" w:hAnsi="Times New Roman"/>
                <w:sz w:val="24"/>
                <w:szCs w:val="24"/>
              </w:rPr>
            </w:pPr>
            <w:r>
              <w:rPr>
                <w:rFonts w:ascii="Times New Roman" w:hAnsi="Times New Roman"/>
                <w:sz w:val="24"/>
                <w:szCs w:val="24"/>
              </w:rPr>
              <w:t>Figura 2</w:t>
            </w:r>
            <w:r w:rsidRPr="00BA4235">
              <w:rPr>
                <w:rFonts w:ascii="Times New Roman" w:hAnsi="Times New Roman"/>
                <w:sz w:val="24"/>
                <w:szCs w:val="24"/>
              </w:rPr>
              <w:t>.1</w:t>
            </w:r>
          </w:p>
        </w:tc>
        <w:tc>
          <w:tcPr>
            <w:tcW w:w="6804" w:type="dxa"/>
          </w:tcPr>
          <w:p w:rsidR="00175E42" w:rsidRPr="00BA4235" w:rsidRDefault="00175E42" w:rsidP="00AD7F63">
            <w:pPr>
              <w:spacing w:after="120"/>
              <w:rPr>
                <w:rFonts w:ascii="Times New Roman" w:hAnsi="Times New Roman"/>
                <w:sz w:val="24"/>
                <w:szCs w:val="24"/>
              </w:rPr>
            </w:pPr>
            <w:r w:rsidRPr="00CB57BF">
              <w:rPr>
                <w:rFonts w:ascii="Times New Roman" w:hAnsi="Times New Roman"/>
                <w:sz w:val="24"/>
                <w:szCs w:val="24"/>
              </w:rPr>
              <w:t>Rede representativa do Capital Financeiro no CDES (2003-2010)</w:t>
            </w:r>
            <w:r>
              <w:rPr>
                <w:rFonts w:ascii="Times New Roman" w:hAnsi="Times New Roman"/>
                <w:sz w:val="24"/>
                <w:szCs w:val="24"/>
              </w:rPr>
              <w:t>.....</w:t>
            </w:r>
          </w:p>
        </w:tc>
        <w:tc>
          <w:tcPr>
            <w:tcW w:w="709" w:type="dxa"/>
          </w:tcPr>
          <w:p w:rsidR="00175E42" w:rsidRPr="00BA4235" w:rsidRDefault="00E8461B" w:rsidP="00F6589E">
            <w:pPr>
              <w:rPr>
                <w:rFonts w:ascii="Times New Roman" w:hAnsi="Times New Roman"/>
                <w:sz w:val="24"/>
                <w:szCs w:val="24"/>
              </w:rPr>
            </w:pPr>
            <w:r>
              <w:rPr>
                <w:rFonts w:ascii="Times New Roman" w:hAnsi="Times New Roman"/>
                <w:sz w:val="24"/>
                <w:szCs w:val="24"/>
              </w:rPr>
              <w:t>14</w:t>
            </w:r>
            <w:r w:rsidR="00F6589E">
              <w:rPr>
                <w:rFonts w:ascii="Times New Roman" w:hAnsi="Times New Roman"/>
                <w:sz w:val="24"/>
                <w:szCs w:val="24"/>
              </w:rPr>
              <w:t>4</w:t>
            </w:r>
          </w:p>
        </w:tc>
      </w:tr>
      <w:tr w:rsidR="00175E42" w:rsidTr="00AD7F63">
        <w:tc>
          <w:tcPr>
            <w:tcW w:w="1242" w:type="dxa"/>
          </w:tcPr>
          <w:p w:rsidR="00175E42" w:rsidRPr="00BA4235" w:rsidRDefault="00175E42" w:rsidP="00AD7F63">
            <w:pPr>
              <w:jc w:val="both"/>
              <w:rPr>
                <w:rFonts w:ascii="Times New Roman" w:hAnsi="Times New Roman"/>
                <w:sz w:val="24"/>
                <w:szCs w:val="24"/>
              </w:rPr>
            </w:pPr>
            <w:r>
              <w:rPr>
                <w:rFonts w:ascii="Times New Roman" w:hAnsi="Times New Roman"/>
                <w:sz w:val="24"/>
                <w:szCs w:val="24"/>
              </w:rPr>
              <w:t>Figura 2</w:t>
            </w:r>
            <w:r w:rsidRPr="00BA4235">
              <w:rPr>
                <w:rFonts w:ascii="Times New Roman" w:hAnsi="Times New Roman"/>
                <w:sz w:val="24"/>
                <w:szCs w:val="24"/>
              </w:rPr>
              <w:t>.</w:t>
            </w:r>
            <w:r>
              <w:rPr>
                <w:rFonts w:ascii="Times New Roman" w:hAnsi="Times New Roman"/>
                <w:sz w:val="24"/>
                <w:szCs w:val="24"/>
              </w:rPr>
              <w:t>2</w:t>
            </w:r>
          </w:p>
        </w:tc>
        <w:tc>
          <w:tcPr>
            <w:tcW w:w="6804" w:type="dxa"/>
          </w:tcPr>
          <w:p w:rsidR="00175E42" w:rsidRPr="00BA4235" w:rsidRDefault="00175E42" w:rsidP="00AD7F63">
            <w:pPr>
              <w:spacing w:after="0" w:line="240" w:lineRule="auto"/>
              <w:rPr>
                <w:rFonts w:ascii="Times New Roman" w:hAnsi="Times New Roman"/>
                <w:sz w:val="24"/>
                <w:szCs w:val="24"/>
              </w:rPr>
            </w:pPr>
            <w:r w:rsidRPr="00CB57BF">
              <w:rPr>
                <w:rFonts w:ascii="Times New Roman" w:hAnsi="Times New Roman"/>
                <w:sz w:val="24"/>
                <w:szCs w:val="24"/>
              </w:rPr>
              <w:t>Laços da conselheira Viviane Senna e do Instituto Ayrton Senna com entidades da sociedade civil e com o meio empresarial</w:t>
            </w:r>
            <w:r>
              <w:rPr>
                <w:rFonts w:ascii="Times New Roman" w:hAnsi="Times New Roman"/>
                <w:sz w:val="24"/>
                <w:szCs w:val="24"/>
              </w:rPr>
              <w:t>..............</w:t>
            </w:r>
          </w:p>
        </w:tc>
        <w:tc>
          <w:tcPr>
            <w:tcW w:w="709" w:type="dxa"/>
          </w:tcPr>
          <w:p w:rsidR="00175E42" w:rsidRPr="00BA4235" w:rsidRDefault="00E8461B" w:rsidP="00AD7F63">
            <w:pPr>
              <w:spacing w:before="240"/>
              <w:rPr>
                <w:rFonts w:ascii="Times New Roman" w:hAnsi="Times New Roman"/>
                <w:sz w:val="24"/>
                <w:szCs w:val="24"/>
              </w:rPr>
            </w:pPr>
            <w:r>
              <w:rPr>
                <w:rFonts w:ascii="Times New Roman" w:hAnsi="Times New Roman"/>
                <w:sz w:val="24"/>
                <w:szCs w:val="24"/>
              </w:rPr>
              <w:t>149</w:t>
            </w:r>
          </w:p>
        </w:tc>
      </w:tr>
      <w:tr w:rsidR="00175E42" w:rsidTr="00AD7F63">
        <w:tc>
          <w:tcPr>
            <w:tcW w:w="1242" w:type="dxa"/>
          </w:tcPr>
          <w:p w:rsidR="00175E42" w:rsidRPr="00BA4235" w:rsidRDefault="00175E42" w:rsidP="00AD7F63">
            <w:pPr>
              <w:jc w:val="both"/>
              <w:rPr>
                <w:rFonts w:ascii="Times New Roman" w:hAnsi="Times New Roman"/>
                <w:sz w:val="24"/>
                <w:szCs w:val="24"/>
              </w:rPr>
            </w:pPr>
            <w:r>
              <w:rPr>
                <w:rFonts w:ascii="Times New Roman" w:hAnsi="Times New Roman"/>
                <w:sz w:val="24"/>
                <w:szCs w:val="24"/>
              </w:rPr>
              <w:t>Figura 3.1</w:t>
            </w:r>
          </w:p>
        </w:tc>
        <w:tc>
          <w:tcPr>
            <w:tcW w:w="6804" w:type="dxa"/>
          </w:tcPr>
          <w:p w:rsidR="00175E42" w:rsidRPr="00966024" w:rsidRDefault="00175E42" w:rsidP="00AD7F63">
            <w:pPr>
              <w:spacing w:after="120"/>
              <w:rPr>
                <w:rFonts w:ascii="Times New Roman" w:hAnsi="Times New Roman"/>
                <w:sz w:val="24"/>
                <w:szCs w:val="24"/>
              </w:rPr>
            </w:pPr>
            <w:r w:rsidRPr="00966024">
              <w:rPr>
                <w:rFonts w:ascii="Times New Roman" w:hAnsi="Times New Roman"/>
                <w:sz w:val="24"/>
                <w:szCs w:val="24"/>
              </w:rPr>
              <w:t>O Processo de Construção da AND</w:t>
            </w:r>
            <w:r>
              <w:rPr>
                <w:rFonts w:ascii="Times New Roman" w:hAnsi="Times New Roman"/>
                <w:sz w:val="24"/>
                <w:szCs w:val="24"/>
              </w:rPr>
              <w:t>.....................................................</w:t>
            </w:r>
          </w:p>
        </w:tc>
        <w:tc>
          <w:tcPr>
            <w:tcW w:w="709" w:type="dxa"/>
          </w:tcPr>
          <w:p w:rsidR="00175E42" w:rsidRDefault="00E8461B" w:rsidP="00AD7F63">
            <w:r>
              <w:rPr>
                <w:rFonts w:ascii="Times New Roman" w:hAnsi="Times New Roman"/>
                <w:sz w:val="24"/>
                <w:szCs w:val="24"/>
              </w:rPr>
              <w:t>248</w:t>
            </w:r>
          </w:p>
        </w:tc>
      </w:tr>
    </w:tbl>
    <w:p w:rsidR="00175E42" w:rsidRDefault="00175E42" w:rsidP="00175E42">
      <w:pPr>
        <w:spacing w:after="0"/>
        <w:jc w:val="both"/>
        <w:rPr>
          <w:rFonts w:ascii="Times New Roman" w:hAnsi="Times New Roman"/>
          <w:b/>
          <w:sz w:val="24"/>
          <w:szCs w:val="24"/>
        </w:rPr>
      </w:pPr>
    </w:p>
    <w:p w:rsidR="00175E42" w:rsidRDefault="00175E42" w:rsidP="00175E42">
      <w:pPr>
        <w:spacing w:after="0"/>
        <w:jc w:val="both"/>
        <w:rPr>
          <w:rFonts w:ascii="Times New Roman" w:hAnsi="Times New Roman"/>
          <w:b/>
          <w:sz w:val="24"/>
          <w:szCs w:val="24"/>
        </w:rPr>
      </w:pPr>
    </w:p>
    <w:p w:rsidR="00175E42" w:rsidRDefault="00175E42" w:rsidP="00175E42">
      <w:pPr>
        <w:jc w:val="center"/>
        <w:rPr>
          <w:rFonts w:ascii="Times New Roman" w:hAnsi="Times New Roman"/>
          <w:b/>
          <w:sz w:val="24"/>
          <w:szCs w:val="24"/>
        </w:rPr>
      </w:pPr>
      <w:r w:rsidRPr="003F2E78">
        <w:rPr>
          <w:rFonts w:ascii="Times New Roman" w:hAnsi="Times New Roman"/>
          <w:b/>
          <w:sz w:val="24"/>
          <w:szCs w:val="24"/>
        </w:rPr>
        <w:t>LISTA DE ORGANOGRAMAS E FLUXOGRAMAS</w:t>
      </w:r>
    </w:p>
    <w:p w:rsidR="00175E42" w:rsidRPr="004939B2" w:rsidRDefault="00175E42" w:rsidP="00175E42">
      <w:pPr>
        <w:spacing w:after="0"/>
        <w:jc w:val="center"/>
        <w:rPr>
          <w:rFonts w:ascii="Times New Roman" w:hAnsi="Times New Roman"/>
          <w:sz w:val="24"/>
          <w:szCs w:val="24"/>
        </w:rPr>
      </w:pPr>
    </w:p>
    <w:tbl>
      <w:tblPr>
        <w:tblStyle w:val="Tabelacomgrade"/>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6237"/>
        <w:gridCol w:w="709"/>
      </w:tblGrid>
      <w:tr w:rsidR="00175E42" w:rsidTr="00AD7F63">
        <w:tc>
          <w:tcPr>
            <w:tcW w:w="1809" w:type="dxa"/>
          </w:tcPr>
          <w:p w:rsidR="00175E42" w:rsidRPr="00BA4235" w:rsidRDefault="00175E42" w:rsidP="00AD7F63">
            <w:pPr>
              <w:jc w:val="both"/>
              <w:rPr>
                <w:rFonts w:ascii="Times New Roman" w:hAnsi="Times New Roman"/>
                <w:sz w:val="24"/>
                <w:szCs w:val="24"/>
              </w:rPr>
            </w:pPr>
            <w:r>
              <w:rPr>
                <w:rFonts w:ascii="Times New Roman" w:hAnsi="Times New Roman"/>
                <w:sz w:val="24"/>
                <w:szCs w:val="24"/>
              </w:rPr>
              <w:t>Organograma</w:t>
            </w:r>
          </w:p>
        </w:tc>
        <w:tc>
          <w:tcPr>
            <w:tcW w:w="6237" w:type="dxa"/>
          </w:tcPr>
          <w:p w:rsidR="00175E42" w:rsidRPr="00BA4235" w:rsidRDefault="00175E42" w:rsidP="00AD7F63">
            <w:pPr>
              <w:spacing w:after="120"/>
              <w:rPr>
                <w:rFonts w:ascii="Times New Roman" w:hAnsi="Times New Roman"/>
                <w:sz w:val="24"/>
                <w:szCs w:val="24"/>
              </w:rPr>
            </w:pPr>
            <w:r w:rsidRPr="00CB57BF">
              <w:rPr>
                <w:rFonts w:ascii="Times New Roman" w:hAnsi="Times New Roman"/>
                <w:sz w:val="24"/>
                <w:szCs w:val="24"/>
              </w:rPr>
              <w:t>Organograma do CDES (2005-2010)</w:t>
            </w:r>
            <w:r>
              <w:rPr>
                <w:rFonts w:ascii="Times New Roman" w:hAnsi="Times New Roman"/>
                <w:sz w:val="24"/>
                <w:szCs w:val="24"/>
              </w:rPr>
              <w:t>........................................</w:t>
            </w:r>
          </w:p>
        </w:tc>
        <w:tc>
          <w:tcPr>
            <w:tcW w:w="709" w:type="dxa"/>
          </w:tcPr>
          <w:p w:rsidR="00175E42" w:rsidRPr="00BA4235" w:rsidRDefault="00E8461B" w:rsidP="00AD7F63">
            <w:pPr>
              <w:rPr>
                <w:rFonts w:ascii="Times New Roman" w:hAnsi="Times New Roman"/>
                <w:sz w:val="24"/>
                <w:szCs w:val="24"/>
              </w:rPr>
            </w:pPr>
            <w:r>
              <w:rPr>
                <w:rFonts w:ascii="Times New Roman" w:hAnsi="Times New Roman"/>
                <w:sz w:val="24"/>
                <w:szCs w:val="24"/>
              </w:rPr>
              <w:t>047</w:t>
            </w:r>
          </w:p>
        </w:tc>
      </w:tr>
      <w:tr w:rsidR="00175E42" w:rsidTr="00AD7F63">
        <w:tc>
          <w:tcPr>
            <w:tcW w:w="1809" w:type="dxa"/>
          </w:tcPr>
          <w:p w:rsidR="00175E42" w:rsidRPr="00BA4235" w:rsidRDefault="00175E42" w:rsidP="00AD7F63">
            <w:pPr>
              <w:jc w:val="both"/>
              <w:rPr>
                <w:rFonts w:ascii="Times New Roman" w:hAnsi="Times New Roman"/>
                <w:sz w:val="24"/>
                <w:szCs w:val="24"/>
              </w:rPr>
            </w:pPr>
            <w:r>
              <w:rPr>
                <w:rFonts w:ascii="Times New Roman" w:hAnsi="Times New Roman"/>
                <w:sz w:val="24"/>
                <w:szCs w:val="24"/>
              </w:rPr>
              <w:t>Fluxograma 1</w:t>
            </w:r>
            <w:r w:rsidRPr="00BA4235">
              <w:rPr>
                <w:rFonts w:ascii="Times New Roman" w:hAnsi="Times New Roman"/>
                <w:sz w:val="24"/>
                <w:szCs w:val="24"/>
              </w:rPr>
              <w:t>.</w:t>
            </w:r>
            <w:r>
              <w:rPr>
                <w:rFonts w:ascii="Times New Roman" w:hAnsi="Times New Roman"/>
                <w:sz w:val="24"/>
                <w:szCs w:val="24"/>
              </w:rPr>
              <w:t>1</w:t>
            </w:r>
          </w:p>
        </w:tc>
        <w:tc>
          <w:tcPr>
            <w:tcW w:w="6237" w:type="dxa"/>
          </w:tcPr>
          <w:p w:rsidR="00175E42" w:rsidRPr="00BA4235" w:rsidRDefault="00175E42" w:rsidP="00AD7F63">
            <w:pPr>
              <w:spacing w:after="120"/>
              <w:rPr>
                <w:rFonts w:ascii="Times New Roman" w:hAnsi="Times New Roman"/>
                <w:sz w:val="24"/>
                <w:szCs w:val="24"/>
              </w:rPr>
            </w:pPr>
            <w:r w:rsidRPr="00CB57BF">
              <w:rPr>
                <w:rFonts w:ascii="Times New Roman" w:hAnsi="Times New Roman"/>
                <w:sz w:val="24"/>
                <w:szCs w:val="24"/>
              </w:rPr>
              <w:t>Funcionamento do Observatório da Equidade</w:t>
            </w:r>
            <w:r>
              <w:rPr>
                <w:rFonts w:ascii="Times New Roman" w:hAnsi="Times New Roman"/>
                <w:sz w:val="24"/>
                <w:szCs w:val="24"/>
              </w:rPr>
              <w:t>...........................</w:t>
            </w:r>
          </w:p>
        </w:tc>
        <w:tc>
          <w:tcPr>
            <w:tcW w:w="709" w:type="dxa"/>
          </w:tcPr>
          <w:p w:rsidR="00175E42" w:rsidRPr="00BA4235" w:rsidRDefault="00E8461B" w:rsidP="00AD7F63">
            <w:pPr>
              <w:rPr>
                <w:rFonts w:ascii="Times New Roman" w:hAnsi="Times New Roman"/>
                <w:sz w:val="24"/>
                <w:szCs w:val="24"/>
              </w:rPr>
            </w:pPr>
            <w:r>
              <w:rPr>
                <w:rFonts w:ascii="Times New Roman" w:hAnsi="Times New Roman"/>
                <w:sz w:val="24"/>
                <w:szCs w:val="24"/>
              </w:rPr>
              <w:t>06</w:t>
            </w:r>
            <w:r w:rsidR="00F6589E">
              <w:rPr>
                <w:rFonts w:ascii="Times New Roman" w:hAnsi="Times New Roman"/>
                <w:sz w:val="24"/>
                <w:szCs w:val="24"/>
              </w:rPr>
              <w:t>2</w:t>
            </w:r>
          </w:p>
        </w:tc>
      </w:tr>
      <w:tr w:rsidR="00175E42" w:rsidTr="00AD7F63">
        <w:tc>
          <w:tcPr>
            <w:tcW w:w="1809" w:type="dxa"/>
          </w:tcPr>
          <w:p w:rsidR="00175E42" w:rsidRPr="00BA4235" w:rsidRDefault="00175E42" w:rsidP="00AD7F63">
            <w:pPr>
              <w:jc w:val="both"/>
              <w:rPr>
                <w:rFonts w:ascii="Times New Roman" w:hAnsi="Times New Roman"/>
                <w:sz w:val="24"/>
                <w:szCs w:val="24"/>
              </w:rPr>
            </w:pPr>
            <w:r>
              <w:rPr>
                <w:rFonts w:ascii="Times New Roman" w:hAnsi="Times New Roman"/>
                <w:sz w:val="24"/>
                <w:szCs w:val="24"/>
              </w:rPr>
              <w:t>Fluxograma 1</w:t>
            </w:r>
            <w:r w:rsidRPr="00BA4235">
              <w:rPr>
                <w:rFonts w:ascii="Times New Roman" w:hAnsi="Times New Roman"/>
                <w:sz w:val="24"/>
                <w:szCs w:val="24"/>
              </w:rPr>
              <w:t>.</w:t>
            </w:r>
            <w:r>
              <w:rPr>
                <w:rFonts w:ascii="Times New Roman" w:hAnsi="Times New Roman"/>
                <w:sz w:val="24"/>
                <w:szCs w:val="24"/>
              </w:rPr>
              <w:t>2</w:t>
            </w:r>
          </w:p>
        </w:tc>
        <w:tc>
          <w:tcPr>
            <w:tcW w:w="6237" w:type="dxa"/>
          </w:tcPr>
          <w:p w:rsidR="00175E42" w:rsidRPr="00BA4235" w:rsidRDefault="00175E42" w:rsidP="00AD7F63">
            <w:pPr>
              <w:spacing w:after="120"/>
              <w:rPr>
                <w:rFonts w:ascii="Times New Roman" w:hAnsi="Times New Roman"/>
                <w:sz w:val="24"/>
                <w:szCs w:val="24"/>
              </w:rPr>
            </w:pPr>
            <w:r w:rsidRPr="00CB57BF">
              <w:rPr>
                <w:rFonts w:ascii="Times New Roman" w:hAnsi="Times New Roman"/>
                <w:sz w:val="24"/>
                <w:szCs w:val="24"/>
              </w:rPr>
              <w:t>Metodologia Operacional do Observatório da Equidade</w:t>
            </w:r>
            <w:r>
              <w:rPr>
                <w:rFonts w:ascii="Times New Roman" w:hAnsi="Times New Roman"/>
                <w:sz w:val="24"/>
                <w:szCs w:val="24"/>
              </w:rPr>
              <w:t>...........</w:t>
            </w:r>
          </w:p>
        </w:tc>
        <w:tc>
          <w:tcPr>
            <w:tcW w:w="709" w:type="dxa"/>
          </w:tcPr>
          <w:p w:rsidR="00175E42" w:rsidRPr="00BA4235" w:rsidRDefault="00E8461B" w:rsidP="00AD7F63">
            <w:pPr>
              <w:rPr>
                <w:rFonts w:ascii="Times New Roman" w:hAnsi="Times New Roman"/>
                <w:sz w:val="24"/>
                <w:szCs w:val="24"/>
              </w:rPr>
            </w:pPr>
            <w:r>
              <w:rPr>
                <w:rFonts w:ascii="Times New Roman" w:hAnsi="Times New Roman"/>
                <w:sz w:val="24"/>
                <w:szCs w:val="24"/>
              </w:rPr>
              <w:t>062</w:t>
            </w:r>
          </w:p>
        </w:tc>
      </w:tr>
    </w:tbl>
    <w:p w:rsidR="00F46595" w:rsidRPr="00175E42" w:rsidRDefault="00F46595" w:rsidP="00407F7F">
      <w:pPr>
        <w:spacing w:after="0"/>
        <w:jc w:val="center"/>
        <w:rPr>
          <w:rFonts w:ascii="Times New Roman" w:hAnsi="Times New Roman"/>
          <w:b/>
          <w:sz w:val="24"/>
          <w:szCs w:val="24"/>
          <w:lang w:val="en-US"/>
        </w:rPr>
      </w:pPr>
    </w:p>
    <w:p w:rsidR="00407F7F" w:rsidRDefault="00407F7F" w:rsidP="00407F7F">
      <w:pPr>
        <w:spacing w:after="0"/>
        <w:jc w:val="center"/>
        <w:rPr>
          <w:rFonts w:ascii="Times New Roman" w:hAnsi="Times New Roman"/>
          <w:b/>
          <w:sz w:val="24"/>
          <w:szCs w:val="24"/>
        </w:rPr>
      </w:pPr>
      <w:r w:rsidRPr="003F2E78">
        <w:rPr>
          <w:rFonts w:ascii="Times New Roman" w:hAnsi="Times New Roman"/>
          <w:b/>
          <w:sz w:val="24"/>
          <w:szCs w:val="24"/>
        </w:rPr>
        <w:t>LISTA DE QUADROS</w:t>
      </w:r>
    </w:p>
    <w:p w:rsidR="00407F7F" w:rsidRPr="003F2E78" w:rsidRDefault="00407F7F" w:rsidP="00407F7F">
      <w:pPr>
        <w:spacing w:after="120"/>
        <w:jc w:val="center"/>
        <w:rPr>
          <w:rFonts w:ascii="Times New Roman" w:hAnsi="Times New Roman"/>
          <w:b/>
          <w:sz w:val="24"/>
          <w:szCs w:val="24"/>
        </w:rPr>
      </w:pPr>
    </w:p>
    <w:tbl>
      <w:tblPr>
        <w:tblStyle w:val="Tabelacomgrade"/>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6521"/>
        <w:gridCol w:w="708"/>
      </w:tblGrid>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w:t>
            </w:r>
            <w:r w:rsidRPr="00BA4235">
              <w:rPr>
                <w:rFonts w:ascii="Times New Roman" w:hAnsi="Times New Roman"/>
                <w:sz w:val="24"/>
                <w:szCs w:val="24"/>
              </w:rPr>
              <w:t xml:space="preserve"> 1.1</w:t>
            </w:r>
          </w:p>
        </w:tc>
        <w:tc>
          <w:tcPr>
            <w:tcW w:w="6521" w:type="dxa"/>
          </w:tcPr>
          <w:p w:rsidR="00407F7F" w:rsidRPr="00BA4235" w:rsidRDefault="00407F7F" w:rsidP="00F46595">
            <w:pPr>
              <w:spacing w:line="240" w:lineRule="auto"/>
              <w:rPr>
                <w:rFonts w:ascii="Times New Roman" w:hAnsi="Times New Roman"/>
                <w:sz w:val="24"/>
                <w:szCs w:val="24"/>
              </w:rPr>
            </w:pPr>
            <w:r w:rsidRPr="00C44D88">
              <w:rPr>
                <w:rFonts w:ascii="Times New Roman" w:hAnsi="Times New Roman"/>
                <w:sz w:val="24"/>
                <w:szCs w:val="24"/>
              </w:rPr>
              <w:t>Reuniões Plenárias do CDES: periodicidade e pautas (2003-2010)</w:t>
            </w:r>
            <w:r>
              <w:rPr>
                <w:rFonts w:ascii="Times New Roman" w:hAnsi="Times New Roman"/>
                <w:sz w:val="24"/>
                <w:szCs w:val="24"/>
              </w:rPr>
              <w:t>.............................................................</w:t>
            </w:r>
            <w:r w:rsidR="00F46595">
              <w:rPr>
                <w:rFonts w:ascii="Times New Roman" w:hAnsi="Times New Roman"/>
                <w:sz w:val="24"/>
                <w:szCs w:val="24"/>
              </w:rPr>
              <w:t>.................................</w:t>
            </w:r>
          </w:p>
        </w:tc>
        <w:tc>
          <w:tcPr>
            <w:tcW w:w="708" w:type="dxa"/>
          </w:tcPr>
          <w:p w:rsidR="00407F7F" w:rsidRPr="00BA4235" w:rsidRDefault="0084160C" w:rsidP="007B25CF">
            <w:pPr>
              <w:spacing w:before="240" w:line="240" w:lineRule="auto"/>
              <w:rPr>
                <w:rFonts w:ascii="Times New Roman" w:hAnsi="Times New Roman"/>
                <w:sz w:val="24"/>
                <w:szCs w:val="24"/>
              </w:rPr>
            </w:pPr>
            <w:r>
              <w:rPr>
                <w:rFonts w:ascii="Times New Roman" w:hAnsi="Times New Roman"/>
                <w:sz w:val="24"/>
                <w:szCs w:val="24"/>
              </w:rPr>
              <w:t>039</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2.1</w:t>
            </w:r>
          </w:p>
        </w:tc>
        <w:tc>
          <w:tcPr>
            <w:tcW w:w="6521" w:type="dxa"/>
          </w:tcPr>
          <w:p w:rsidR="00407F7F" w:rsidRPr="00BA4235" w:rsidRDefault="00407F7F" w:rsidP="00FF213F">
            <w:pPr>
              <w:spacing w:after="120" w:line="240" w:lineRule="auto"/>
              <w:rPr>
                <w:rFonts w:ascii="Times New Roman" w:hAnsi="Times New Roman"/>
                <w:sz w:val="24"/>
                <w:szCs w:val="24"/>
              </w:rPr>
            </w:pPr>
            <w:r w:rsidRPr="00CB57BF">
              <w:rPr>
                <w:rFonts w:ascii="Times New Roman" w:hAnsi="Times New Roman"/>
                <w:sz w:val="24"/>
                <w:szCs w:val="24"/>
              </w:rPr>
              <w:t>Centrais Sindicais presentes no CDES (2003-2010)</w:t>
            </w:r>
            <w:r>
              <w:rPr>
                <w:rFonts w:ascii="Times New Roman" w:hAnsi="Times New Roman"/>
                <w:sz w:val="24"/>
                <w:szCs w:val="24"/>
              </w:rPr>
              <w:t>......</w:t>
            </w:r>
            <w:r w:rsidR="00FF213F">
              <w:rPr>
                <w:rFonts w:ascii="Times New Roman" w:hAnsi="Times New Roman"/>
                <w:sz w:val="24"/>
                <w:szCs w:val="24"/>
              </w:rPr>
              <w:t>................</w:t>
            </w:r>
          </w:p>
        </w:tc>
        <w:tc>
          <w:tcPr>
            <w:tcW w:w="708" w:type="dxa"/>
          </w:tcPr>
          <w:p w:rsidR="00407F7F" w:rsidRPr="00BA4235" w:rsidRDefault="0084160C" w:rsidP="007B25CF">
            <w:pPr>
              <w:spacing w:line="240" w:lineRule="auto"/>
              <w:rPr>
                <w:rFonts w:ascii="Times New Roman" w:hAnsi="Times New Roman"/>
                <w:sz w:val="24"/>
                <w:szCs w:val="24"/>
              </w:rPr>
            </w:pPr>
            <w:r>
              <w:rPr>
                <w:rFonts w:ascii="Times New Roman" w:hAnsi="Times New Roman"/>
                <w:sz w:val="24"/>
                <w:szCs w:val="24"/>
              </w:rPr>
              <w:t>083</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w:t>
            </w:r>
            <w:r w:rsidRPr="00BA4235">
              <w:rPr>
                <w:rFonts w:ascii="Times New Roman" w:hAnsi="Times New Roman"/>
                <w:sz w:val="24"/>
                <w:szCs w:val="24"/>
              </w:rPr>
              <w:t>.</w:t>
            </w:r>
            <w:r>
              <w:rPr>
                <w:rFonts w:ascii="Times New Roman" w:hAnsi="Times New Roman"/>
                <w:sz w:val="24"/>
                <w:szCs w:val="24"/>
              </w:rPr>
              <w:t>2</w:t>
            </w:r>
          </w:p>
        </w:tc>
        <w:tc>
          <w:tcPr>
            <w:tcW w:w="6521" w:type="dxa"/>
          </w:tcPr>
          <w:p w:rsidR="00407F7F" w:rsidRPr="00BA4235" w:rsidRDefault="00407F7F" w:rsidP="0084160C">
            <w:pPr>
              <w:spacing w:after="0" w:line="240" w:lineRule="auto"/>
              <w:rPr>
                <w:rFonts w:ascii="Times New Roman" w:hAnsi="Times New Roman"/>
                <w:sz w:val="24"/>
                <w:szCs w:val="24"/>
              </w:rPr>
            </w:pPr>
            <w:r w:rsidRPr="00CB57BF">
              <w:rPr>
                <w:rFonts w:ascii="Times New Roman" w:hAnsi="Times New Roman"/>
                <w:sz w:val="24"/>
                <w:szCs w:val="24"/>
              </w:rPr>
              <w:t>Vinculações de conselheiros-sindicalistas com Fundos de Pensão</w:t>
            </w:r>
          </w:p>
        </w:tc>
        <w:tc>
          <w:tcPr>
            <w:tcW w:w="708" w:type="dxa"/>
          </w:tcPr>
          <w:p w:rsidR="00407F7F" w:rsidRPr="00BA4235" w:rsidRDefault="0084160C" w:rsidP="007B25CF">
            <w:pPr>
              <w:spacing w:line="240" w:lineRule="auto"/>
              <w:rPr>
                <w:rFonts w:ascii="Times New Roman" w:hAnsi="Times New Roman"/>
                <w:sz w:val="24"/>
                <w:szCs w:val="24"/>
              </w:rPr>
            </w:pPr>
            <w:r>
              <w:rPr>
                <w:rFonts w:ascii="Times New Roman" w:hAnsi="Times New Roman"/>
                <w:sz w:val="24"/>
                <w:szCs w:val="24"/>
              </w:rPr>
              <w:t>085</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Quadro2.3</w:t>
            </w:r>
          </w:p>
        </w:tc>
        <w:tc>
          <w:tcPr>
            <w:tcW w:w="6521" w:type="dxa"/>
          </w:tcPr>
          <w:p w:rsidR="00407F7F" w:rsidRPr="00BA4235" w:rsidRDefault="00407F7F" w:rsidP="00FF213F">
            <w:pPr>
              <w:spacing w:after="120"/>
              <w:rPr>
                <w:rFonts w:ascii="Times New Roman" w:hAnsi="Times New Roman"/>
                <w:sz w:val="24"/>
                <w:szCs w:val="24"/>
              </w:rPr>
            </w:pPr>
            <w:r w:rsidRPr="00CB57BF">
              <w:rPr>
                <w:rFonts w:ascii="Times New Roman" w:hAnsi="Times New Roman"/>
                <w:sz w:val="24"/>
                <w:szCs w:val="24"/>
              </w:rPr>
              <w:t>As “Demais Entidades da Sociedade Civil” (2003-2010)</w:t>
            </w:r>
            <w:r w:rsidR="00FF213F">
              <w:rPr>
                <w:rFonts w:ascii="Times New Roman" w:hAnsi="Times New Roman"/>
                <w:sz w:val="24"/>
                <w:szCs w:val="24"/>
              </w:rPr>
              <w:t xml:space="preserve"> ............</w:t>
            </w:r>
            <w:r>
              <w:rPr>
                <w:rFonts w:ascii="Times New Roman" w:hAnsi="Times New Roman"/>
                <w:sz w:val="24"/>
                <w:szCs w:val="24"/>
              </w:rPr>
              <w:t>.</w:t>
            </w:r>
          </w:p>
        </w:tc>
        <w:tc>
          <w:tcPr>
            <w:tcW w:w="708" w:type="dxa"/>
          </w:tcPr>
          <w:p w:rsidR="00407F7F" w:rsidRPr="00BA4235" w:rsidRDefault="0084160C" w:rsidP="007B25CF">
            <w:pPr>
              <w:spacing w:line="240" w:lineRule="auto"/>
              <w:rPr>
                <w:rFonts w:ascii="Times New Roman" w:hAnsi="Times New Roman"/>
                <w:sz w:val="24"/>
                <w:szCs w:val="24"/>
              </w:rPr>
            </w:pPr>
            <w:r>
              <w:rPr>
                <w:rFonts w:ascii="Times New Roman" w:hAnsi="Times New Roman"/>
                <w:sz w:val="24"/>
                <w:szCs w:val="24"/>
              </w:rPr>
              <w:t>087</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2.4</w:t>
            </w:r>
          </w:p>
        </w:tc>
        <w:tc>
          <w:tcPr>
            <w:tcW w:w="6521" w:type="dxa"/>
          </w:tcPr>
          <w:p w:rsidR="00407F7F" w:rsidRPr="00BA4235" w:rsidRDefault="00407F7F" w:rsidP="0084160C">
            <w:pPr>
              <w:spacing w:after="120" w:line="240" w:lineRule="auto"/>
              <w:rPr>
                <w:rFonts w:ascii="Times New Roman" w:hAnsi="Times New Roman"/>
                <w:sz w:val="24"/>
                <w:szCs w:val="24"/>
              </w:rPr>
            </w:pPr>
            <w:r w:rsidRPr="00CB57BF">
              <w:rPr>
                <w:rFonts w:ascii="Times New Roman" w:hAnsi="Times New Roman"/>
                <w:sz w:val="24"/>
                <w:szCs w:val="24"/>
              </w:rPr>
              <w:t>Lugares e áreas de atuação profissionais dos conselheiros-acadêmicos</w:t>
            </w:r>
            <w:r>
              <w:rPr>
                <w:rFonts w:ascii="Times New Roman" w:hAnsi="Times New Roman"/>
                <w:sz w:val="24"/>
                <w:szCs w:val="24"/>
              </w:rPr>
              <w:t>..................</w:t>
            </w:r>
            <w:r w:rsidR="00FF213F">
              <w:rPr>
                <w:rFonts w:ascii="Times New Roman" w:hAnsi="Times New Roman"/>
                <w:sz w:val="24"/>
                <w:szCs w:val="24"/>
              </w:rPr>
              <w:t>.</w:t>
            </w:r>
            <w:r>
              <w:rPr>
                <w:rFonts w:ascii="Times New Roman" w:hAnsi="Times New Roman"/>
                <w:sz w:val="24"/>
                <w:szCs w:val="24"/>
              </w:rPr>
              <w:t>.......................................</w:t>
            </w:r>
            <w:r w:rsidR="00FF213F">
              <w:rPr>
                <w:rFonts w:ascii="Times New Roman" w:hAnsi="Times New Roman"/>
                <w:sz w:val="24"/>
                <w:szCs w:val="24"/>
              </w:rPr>
              <w:t>.....</w:t>
            </w:r>
            <w:r>
              <w:rPr>
                <w:rFonts w:ascii="Times New Roman" w:hAnsi="Times New Roman"/>
                <w:sz w:val="24"/>
                <w:szCs w:val="24"/>
              </w:rPr>
              <w:t>.......................</w:t>
            </w:r>
          </w:p>
        </w:tc>
        <w:tc>
          <w:tcPr>
            <w:tcW w:w="708" w:type="dxa"/>
          </w:tcPr>
          <w:p w:rsidR="00407F7F" w:rsidRPr="00BA4235" w:rsidRDefault="0084160C" w:rsidP="007B25CF">
            <w:pPr>
              <w:spacing w:before="240" w:line="240" w:lineRule="auto"/>
              <w:rPr>
                <w:rFonts w:ascii="Times New Roman" w:hAnsi="Times New Roman"/>
                <w:sz w:val="24"/>
                <w:szCs w:val="24"/>
              </w:rPr>
            </w:pPr>
            <w:r>
              <w:rPr>
                <w:rFonts w:ascii="Times New Roman" w:hAnsi="Times New Roman"/>
                <w:sz w:val="24"/>
                <w:szCs w:val="24"/>
              </w:rPr>
              <w:t>090</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2.5</w:t>
            </w:r>
          </w:p>
        </w:tc>
        <w:tc>
          <w:tcPr>
            <w:tcW w:w="6521" w:type="dxa"/>
          </w:tcPr>
          <w:p w:rsidR="00407F7F" w:rsidRPr="00BA4235" w:rsidRDefault="00407F7F" w:rsidP="00FF213F">
            <w:pPr>
              <w:spacing w:line="240" w:lineRule="auto"/>
              <w:rPr>
                <w:rFonts w:ascii="Times New Roman" w:hAnsi="Times New Roman"/>
                <w:sz w:val="24"/>
                <w:szCs w:val="24"/>
              </w:rPr>
            </w:pPr>
            <w:r w:rsidRPr="00CB57BF">
              <w:rPr>
                <w:rFonts w:ascii="Times New Roman" w:hAnsi="Times New Roman"/>
                <w:sz w:val="24"/>
                <w:szCs w:val="24"/>
              </w:rPr>
              <w:t>Grupos Econômicos e Firmas representados no CDES por Atividade Econômica Principal (2003-2010)</w:t>
            </w:r>
            <w:r>
              <w:rPr>
                <w:rFonts w:ascii="Times New Roman" w:hAnsi="Times New Roman"/>
                <w:sz w:val="24"/>
                <w:szCs w:val="24"/>
              </w:rPr>
              <w:t>............</w:t>
            </w:r>
            <w:r w:rsidR="00FF213F">
              <w:rPr>
                <w:rFonts w:ascii="Times New Roman" w:hAnsi="Times New Roman"/>
                <w:sz w:val="24"/>
                <w:szCs w:val="24"/>
              </w:rPr>
              <w:t>..</w:t>
            </w:r>
            <w:r>
              <w:rPr>
                <w:rFonts w:ascii="Times New Roman" w:hAnsi="Times New Roman"/>
                <w:sz w:val="24"/>
                <w:szCs w:val="24"/>
              </w:rPr>
              <w:t>.................</w:t>
            </w:r>
          </w:p>
        </w:tc>
        <w:tc>
          <w:tcPr>
            <w:tcW w:w="708" w:type="dxa"/>
          </w:tcPr>
          <w:p w:rsidR="00407F7F" w:rsidRDefault="00407F7F" w:rsidP="007B25CF">
            <w:pPr>
              <w:spacing w:after="0" w:line="240" w:lineRule="auto"/>
              <w:rPr>
                <w:rFonts w:ascii="Times New Roman" w:hAnsi="Times New Roman"/>
                <w:sz w:val="24"/>
                <w:szCs w:val="24"/>
              </w:rPr>
            </w:pPr>
          </w:p>
          <w:p w:rsidR="00407F7F" w:rsidRPr="00BA4235" w:rsidRDefault="0084160C" w:rsidP="007B25CF">
            <w:pPr>
              <w:spacing w:line="240" w:lineRule="auto"/>
              <w:rPr>
                <w:rFonts w:ascii="Times New Roman" w:hAnsi="Times New Roman"/>
                <w:sz w:val="24"/>
                <w:szCs w:val="24"/>
              </w:rPr>
            </w:pPr>
            <w:r>
              <w:rPr>
                <w:rFonts w:ascii="Times New Roman" w:hAnsi="Times New Roman"/>
                <w:sz w:val="24"/>
                <w:szCs w:val="24"/>
              </w:rPr>
              <w:t>098</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w:t>
            </w:r>
            <w:r w:rsidRPr="00BA4235">
              <w:rPr>
                <w:rFonts w:ascii="Times New Roman" w:hAnsi="Times New Roman"/>
                <w:sz w:val="24"/>
                <w:szCs w:val="24"/>
              </w:rPr>
              <w:t>.</w:t>
            </w:r>
            <w:r>
              <w:rPr>
                <w:rFonts w:ascii="Times New Roman" w:hAnsi="Times New Roman"/>
                <w:sz w:val="24"/>
                <w:szCs w:val="24"/>
              </w:rPr>
              <w:t>6</w:t>
            </w:r>
          </w:p>
        </w:tc>
        <w:tc>
          <w:tcPr>
            <w:tcW w:w="6521" w:type="dxa"/>
          </w:tcPr>
          <w:p w:rsidR="00407F7F" w:rsidRPr="00BA4235" w:rsidRDefault="00407F7F" w:rsidP="0084160C">
            <w:pPr>
              <w:spacing w:after="120" w:line="240" w:lineRule="auto"/>
              <w:rPr>
                <w:rFonts w:ascii="Times New Roman" w:hAnsi="Times New Roman"/>
                <w:sz w:val="24"/>
                <w:szCs w:val="24"/>
              </w:rPr>
            </w:pPr>
            <w:r w:rsidRPr="00CB57BF">
              <w:rPr>
                <w:rFonts w:ascii="Times New Roman" w:hAnsi="Times New Roman"/>
                <w:sz w:val="24"/>
                <w:szCs w:val="24"/>
              </w:rPr>
              <w:t>Conselheiros-empresários não vinculados a Grupos/Firmas (2003-2010)</w:t>
            </w:r>
            <w:r>
              <w:rPr>
                <w:rFonts w:ascii="Times New Roman" w:hAnsi="Times New Roman"/>
                <w:sz w:val="24"/>
                <w:szCs w:val="24"/>
              </w:rPr>
              <w:t>................................................................................</w:t>
            </w:r>
            <w:r w:rsidR="00FF213F">
              <w:rPr>
                <w:rFonts w:ascii="Times New Roman" w:hAnsi="Times New Roman"/>
                <w:sz w:val="24"/>
                <w:szCs w:val="24"/>
              </w:rPr>
              <w:t>....</w:t>
            </w:r>
          </w:p>
        </w:tc>
        <w:tc>
          <w:tcPr>
            <w:tcW w:w="708" w:type="dxa"/>
          </w:tcPr>
          <w:p w:rsidR="00407F7F" w:rsidRDefault="00407F7F" w:rsidP="007B25CF">
            <w:pPr>
              <w:spacing w:after="0" w:line="240" w:lineRule="auto"/>
              <w:rPr>
                <w:rFonts w:ascii="Times New Roman" w:hAnsi="Times New Roman"/>
                <w:sz w:val="24"/>
                <w:szCs w:val="24"/>
              </w:rPr>
            </w:pPr>
          </w:p>
          <w:p w:rsidR="00407F7F" w:rsidRPr="00BA4235" w:rsidRDefault="00407F7F" w:rsidP="0084160C">
            <w:pPr>
              <w:spacing w:line="240" w:lineRule="auto"/>
              <w:rPr>
                <w:rFonts w:ascii="Times New Roman" w:hAnsi="Times New Roman"/>
                <w:sz w:val="24"/>
                <w:szCs w:val="24"/>
              </w:rPr>
            </w:pPr>
            <w:r>
              <w:rPr>
                <w:rFonts w:ascii="Times New Roman" w:hAnsi="Times New Roman"/>
                <w:sz w:val="24"/>
                <w:szCs w:val="24"/>
              </w:rPr>
              <w:t>1</w:t>
            </w:r>
            <w:r w:rsidR="0084160C">
              <w:rPr>
                <w:rFonts w:ascii="Times New Roman" w:hAnsi="Times New Roman"/>
                <w:sz w:val="24"/>
                <w:szCs w:val="24"/>
              </w:rPr>
              <w:t>02</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2.7</w:t>
            </w:r>
          </w:p>
        </w:tc>
        <w:tc>
          <w:tcPr>
            <w:tcW w:w="6521" w:type="dxa"/>
          </w:tcPr>
          <w:p w:rsidR="00407F7F" w:rsidRPr="00BA4235" w:rsidRDefault="00407F7F" w:rsidP="0084160C">
            <w:pPr>
              <w:spacing w:after="120" w:line="240" w:lineRule="auto"/>
              <w:rPr>
                <w:rFonts w:ascii="Times New Roman" w:hAnsi="Times New Roman"/>
                <w:sz w:val="24"/>
                <w:szCs w:val="24"/>
              </w:rPr>
            </w:pPr>
            <w:r w:rsidRPr="00CB57BF">
              <w:rPr>
                <w:rFonts w:ascii="Times New Roman" w:hAnsi="Times New Roman"/>
                <w:sz w:val="24"/>
                <w:szCs w:val="24"/>
              </w:rPr>
              <w:t>Distribuição dos Conselheiros-Empresários por Atividades Econômicas de seus Grupos Econômicos, Firmas e Entidades Associativas (2003-2010)</w:t>
            </w:r>
            <w:r>
              <w:rPr>
                <w:rFonts w:ascii="Times New Roman" w:hAnsi="Times New Roman"/>
                <w:sz w:val="24"/>
                <w:szCs w:val="24"/>
              </w:rPr>
              <w:t>...........................................................</w:t>
            </w:r>
            <w:r w:rsidR="00FF213F">
              <w:rPr>
                <w:rFonts w:ascii="Times New Roman" w:hAnsi="Times New Roman"/>
                <w:sz w:val="24"/>
                <w:szCs w:val="24"/>
              </w:rPr>
              <w:t>....</w:t>
            </w:r>
          </w:p>
        </w:tc>
        <w:tc>
          <w:tcPr>
            <w:tcW w:w="708" w:type="dxa"/>
          </w:tcPr>
          <w:p w:rsidR="00FF213F" w:rsidRDefault="00FF213F" w:rsidP="007B25CF">
            <w:pPr>
              <w:spacing w:before="240" w:after="0" w:line="240" w:lineRule="auto"/>
              <w:rPr>
                <w:rFonts w:ascii="Times New Roman" w:hAnsi="Times New Roman"/>
                <w:sz w:val="24"/>
                <w:szCs w:val="24"/>
              </w:rPr>
            </w:pPr>
          </w:p>
          <w:p w:rsidR="00407F7F" w:rsidRPr="00BA4235" w:rsidRDefault="0084160C" w:rsidP="0084160C">
            <w:pPr>
              <w:spacing w:line="240" w:lineRule="auto"/>
              <w:rPr>
                <w:rFonts w:ascii="Times New Roman" w:hAnsi="Times New Roman"/>
                <w:sz w:val="24"/>
                <w:szCs w:val="24"/>
              </w:rPr>
            </w:pPr>
            <w:r>
              <w:rPr>
                <w:rFonts w:ascii="Times New Roman" w:hAnsi="Times New Roman"/>
                <w:sz w:val="24"/>
                <w:szCs w:val="24"/>
              </w:rPr>
              <w:t>103</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w:t>
            </w:r>
            <w:r w:rsidRPr="00BA4235">
              <w:rPr>
                <w:rFonts w:ascii="Times New Roman" w:hAnsi="Times New Roman"/>
                <w:sz w:val="24"/>
                <w:szCs w:val="24"/>
              </w:rPr>
              <w:t>.</w:t>
            </w:r>
            <w:r>
              <w:rPr>
                <w:rFonts w:ascii="Times New Roman" w:hAnsi="Times New Roman"/>
                <w:sz w:val="24"/>
                <w:szCs w:val="24"/>
              </w:rPr>
              <w:t>8</w:t>
            </w:r>
          </w:p>
        </w:tc>
        <w:tc>
          <w:tcPr>
            <w:tcW w:w="6521" w:type="dxa"/>
          </w:tcPr>
          <w:p w:rsidR="00407F7F" w:rsidRPr="00BA4235" w:rsidRDefault="00407F7F" w:rsidP="00FF213F">
            <w:pPr>
              <w:spacing w:after="120" w:line="240" w:lineRule="auto"/>
              <w:rPr>
                <w:rFonts w:ascii="Times New Roman" w:hAnsi="Times New Roman"/>
                <w:sz w:val="24"/>
                <w:szCs w:val="24"/>
              </w:rPr>
            </w:pPr>
            <w:r w:rsidRPr="00CB57BF">
              <w:rPr>
                <w:rFonts w:ascii="Times New Roman" w:hAnsi="Times New Roman"/>
                <w:sz w:val="24"/>
                <w:szCs w:val="24"/>
              </w:rPr>
              <w:t xml:space="preserve">Classificação agregada dos setores econômicos representados no CDES </w:t>
            </w:r>
            <w:r>
              <w:rPr>
                <w:rFonts w:ascii="Times New Roman" w:hAnsi="Times New Roman"/>
                <w:sz w:val="24"/>
                <w:szCs w:val="24"/>
              </w:rPr>
              <w:t>e respectivos gêneros/atividades................................</w:t>
            </w:r>
            <w:r w:rsidR="00FF213F">
              <w:rPr>
                <w:rFonts w:ascii="Times New Roman" w:hAnsi="Times New Roman"/>
                <w:sz w:val="24"/>
                <w:szCs w:val="24"/>
              </w:rPr>
              <w:t>..........</w:t>
            </w:r>
          </w:p>
        </w:tc>
        <w:tc>
          <w:tcPr>
            <w:tcW w:w="708" w:type="dxa"/>
          </w:tcPr>
          <w:p w:rsidR="00407F7F" w:rsidRPr="00BA4235" w:rsidRDefault="00407F7F" w:rsidP="0084160C">
            <w:pPr>
              <w:spacing w:before="240" w:line="240" w:lineRule="auto"/>
              <w:rPr>
                <w:rFonts w:ascii="Times New Roman" w:hAnsi="Times New Roman"/>
                <w:sz w:val="24"/>
                <w:szCs w:val="24"/>
              </w:rPr>
            </w:pPr>
            <w:r>
              <w:rPr>
                <w:rFonts w:ascii="Times New Roman" w:hAnsi="Times New Roman"/>
                <w:sz w:val="24"/>
                <w:szCs w:val="24"/>
              </w:rPr>
              <w:t>1</w:t>
            </w:r>
            <w:r w:rsidR="0084160C">
              <w:rPr>
                <w:rFonts w:ascii="Times New Roman" w:hAnsi="Times New Roman"/>
                <w:sz w:val="24"/>
                <w:szCs w:val="24"/>
              </w:rPr>
              <w:t>08</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Quadro2.9</w:t>
            </w:r>
          </w:p>
        </w:tc>
        <w:tc>
          <w:tcPr>
            <w:tcW w:w="6521" w:type="dxa"/>
          </w:tcPr>
          <w:p w:rsidR="00407F7F" w:rsidRPr="00BA4235" w:rsidRDefault="00407F7F" w:rsidP="00FF213F">
            <w:pPr>
              <w:spacing w:after="120" w:line="240" w:lineRule="auto"/>
              <w:rPr>
                <w:rFonts w:ascii="Times New Roman" w:hAnsi="Times New Roman"/>
                <w:sz w:val="24"/>
                <w:szCs w:val="24"/>
              </w:rPr>
            </w:pPr>
            <w:r w:rsidRPr="00CB57BF">
              <w:rPr>
                <w:rFonts w:ascii="Times New Roman" w:hAnsi="Times New Roman"/>
                <w:sz w:val="24"/>
                <w:szCs w:val="24"/>
              </w:rPr>
              <w:t>Classificação dos setores industriais presentes no CDES segundo a intensidade tecnológica</w:t>
            </w:r>
            <w:r>
              <w:rPr>
                <w:rFonts w:ascii="Times New Roman" w:hAnsi="Times New Roman"/>
                <w:sz w:val="24"/>
                <w:szCs w:val="24"/>
              </w:rPr>
              <w:t>.............................................</w:t>
            </w:r>
            <w:r w:rsidR="00FF213F">
              <w:rPr>
                <w:rFonts w:ascii="Times New Roman" w:hAnsi="Times New Roman"/>
                <w:sz w:val="24"/>
                <w:szCs w:val="24"/>
              </w:rPr>
              <w:t>..................</w:t>
            </w:r>
          </w:p>
        </w:tc>
        <w:tc>
          <w:tcPr>
            <w:tcW w:w="708" w:type="dxa"/>
          </w:tcPr>
          <w:p w:rsidR="00407F7F" w:rsidRPr="00BA4235" w:rsidRDefault="00407F7F" w:rsidP="0084160C">
            <w:pPr>
              <w:spacing w:before="240" w:line="240" w:lineRule="auto"/>
              <w:rPr>
                <w:rFonts w:ascii="Times New Roman" w:hAnsi="Times New Roman"/>
                <w:sz w:val="24"/>
                <w:szCs w:val="24"/>
              </w:rPr>
            </w:pPr>
            <w:r>
              <w:rPr>
                <w:rFonts w:ascii="Times New Roman" w:hAnsi="Times New Roman"/>
                <w:sz w:val="24"/>
                <w:szCs w:val="24"/>
              </w:rPr>
              <w:t>11</w:t>
            </w:r>
            <w:r w:rsidR="0084160C">
              <w:rPr>
                <w:rFonts w:ascii="Times New Roman" w:hAnsi="Times New Roman"/>
                <w:sz w:val="24"/>
                <w:szCs w:val="24"/>
              </w:rPr>
              <w:t>3</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2.10</w:t>
            </w:r>
          </w:p>
        </w:tc>
        <w:tc>
          <w:tcPr>
            <w:tcW w:w="6521" w:type="dxa"/>
          </w:tcPr>
          <w:p w:rsidR="00407F7F" w:rsidRPr="00BA4235" w:rsidRDefault="00407F7F" w:rsidP="00FF213F">
            <w:pPr>
              <w:spacing w:after="120" w:line="240" w:lineRule="auto"/>
              <w:rPr>
                <w:rFonts w:ascii="Times New Roman" w:hAnsi="Times New Roman"/>
                <w:sz w:val="24"/>
                <w:szCs w:val="24"/>
              </w:rPr>
            </w:pPr>
            <w:r w:rsidRPr="00CB57BF">
              <w:rPr>
                <w:rFonts w:ascii="Times New Roman" w:hAnsi="Times New Roman"/>
                <w:sz w:val="24"/>
                <w:szCs w:val="24"/>
              </w:rPr>
              <w:t xml:space="preserve">Capilarizações e entrelaçamentos da ABAG no </w:t>
            </w:r>
            <w:r w:rsidR="00FF213F">
              <w:rPr>
                <w:rFonts w:ascii="Times New Roman" w:hAnsi="Times New Roman"/>
                <w:sz w:val="24"/>
                <w:szCs w:val="24"/>
              </w:rPr>
              <w:t>CDE</w:t>
            </w:r>
            <w:r w:rsidRPr="00CB57BF">
              <w:rPr>
                <w:rFonts w:ascii="Times New Roman" w:hAnsi="Times New Roman"/>
                <w:sz w:val="24"/>
                <w:szCs w:val="24"/>
              </w:rPr>
              <w:t>S</w:t>
            </w:r>
            <w:r>
              <w:rPr>
                <w:rFonts w:ascii="Times New Roman" w:hAnsi="Times New Roman"/>
                <w:sz w:val="24"/>
                <w:szCs w:val="24"/>
              </w:rPr>
              <w:t>.............</w:t>
            </w:r>
            <w:r w:rsidR="00FF213F">
              <w:rPr>
                <w:rFonts w:ascii="Times New Roman" w:hAnsi="Times New Roman"/>
                <w:sz w:val="24"/>
                <w:szCs w:val="24"/>
              </w:rPr>
              <w:t>....</w:t>
            </w:r>
            <w:r>
              <w:rPr>
                <w:rFonts w:ascii="Times New Roman" w:hAnsi="Times New Roman"/>
                <w:sz w:val="24"/>
                <w:szCs w:val="24"/>
              </w:rPr>
              <w:t>.</w:t>
            </w:r>
          </w:p>
        </w:tc>
        <w:tc>
          <w:tcPr>
            <w:tcW w:w="708" w:type="dxa"/>
          </w:tcPr>
          <w:p w:rsidR="00407F7F" w:rsidRPr="00BA4235" w:rsidRDefault="00407F7F" w:rsidP="0084160C">
            <w:pPr>
              <w:spacing w:line="240" w:lineRule="auto"/>
              <w:rPr>
                <w:rFonts w:ascii="Times New Roman" w:hAnsi="Times New Roman"/>
                <w:sz w:val="24"/>
                <w:szCs w:val="24"/>
              </w:rPr>
            </w:pPr>
            <w:r>
              <w:rPr>
                <w:rFonts w:ascii="Times New Roman" w:hAnsi="Times New Roman"/>
                <w:sz w:val="24"/>
                <w:szCs w:val="24"/>
              </w:rPr>
              <w:t>1</w:t>
            </w:r>
            <w:r w:rsidR="0084160C">
              <w:rPr>
                <w:rFonts w:ascii="Times New Roman" w:hAnsi="Times New Roman"/>
                <w:sz w:val="24"/>
                <w:szCs w:val="24"/>
              </w:rPr>
              <w:t>2</w:t>
            </w:r>
            <w:r w:rsidR="00F6589E">
              <w:rPr>
                <w:rFonts w:ascii="Times New Roman" w:hAnsi="Times New Roman"/>
                <w:sz w:val="24"/>
                <w:szCs w:val="24"/>
              </w:rPr>
              <w:t>3</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2.11</w:t>
            </w:r>
          </w:p>
        </w:tc>
        <w:tc>
          <w:tcPr>
            <w:tcW w:w="6521" w:type="dxa"/>
          </w:tcPr>
          <w:p w:rsidR="00407F7F" w:rsidRPr="00BA4235" w:rsidRDefault="00407F7F" w:rsidP="007B25CF">
            <w:pPr>
              <w:rPr>
                <w:rFonts w:ascii="Times New Roman" w:hAnsi="Times New Roman"/>
                <w:sz w:val="24"/>
                <w:szCs w:val="24"/>
              </w:rPr>
            </w:pPr>
            <w:r w:rsidRPr="00CB57BF">
              <w:rPr>
                <w:rFonts w:ascii="Times New Roman" w:hAnsi="Times New Roman"/>
                <w:sz w:val="24"/>
                <w:szCs w:val="24"/>
              </w:rPr>
              <w:t>A presença de Grupos Bancários Privados no CDES (2003-2006)</w:t>
            </w:r>
          </w:p>
        </w:tc>
        <w:tc>
          <w:tcPr>
            <w:tcW w:w="708" w:type="dxa"/>
          </w:tcPr>
          <w:p w:rsidR="00407F7F" w:rsidRPr="00BA4235" w:rsidRDefault="00407F7F" w:rsidP="007B25CF">
            <w:pPr>
              <w:spacing w:line="240" w:lineRule="auto"/>
              <w:rPr>
                <w:rFonts w:ascii="Times New Roman" w:hAnsi="Times New Roman"/>
                <w:sz w:val="24"/>
                <w:szCs w:val="24"/>
              </w:rPr>
            </w:pPr>
            <w:r>
              <w:rPr>
                <w:rFonts w:ascii="Times New Roman" w:hAnsi="Times New Roman"/>
                <w:sz w:val="24"/>
                <w:szCs w:val="24"/>
              </w:rPr>
              <w:t>1</w:t>
            </w:r>
            <w:r w:rsidR="00F6589E">
              <w:rPr>
                <w:rFonts w:ascii="Times New Roman" w:hAnsi="Times New Roman"/>
                <w:sz w:val="24"/>
                <w:szCs w:val="24"/>
              </w:rPr>
              <w:t>30</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w:t>
            </w:r>
            <w:r w:rsidRPr="00BA4235">
              <w:rPr>
                <w:rFonts w:ascii="Times New Roman" w:hAnsi="Times New Roman"/>
                <w:sz w:val="24"/>
                <w:szCs w:val="24"/>
              </w:rPr>
              <w:t>.1</w:t>
            </w:r>
            <w:r>
              <w:rPr>
                <w:rFonts w:ascii="Times New Roman" w:hAnsi="Times New Roman"/>
                <w:sz w:val="24"/>
                <w:szCs w:val="24"/>
              </w:rPr>
              <w:t>2</w:t>
            </w:r>
          </w:p>
        </w:tc>
        <w:tc>
          <w:tcPr>
            <w:tcW w:w="6521" w:type="dxa"/>
          </w:tcPr>
          <w:p w:rsidR="00407F7F" w:rsidRPr="00BA4235" w:rsidRDefault="00407F7F" w:rsidP="00FF213F">
            <w:pPr>
              <w:spacing w:after="120" w:line="240" w:lineRule="auto"/>
              <w:rPr>
                <w:rFonts w:ascii="Times New Roman" w:hAnsi="Times New Roman"/>
                <w:sz w:val="24"/>
                <w:szCs w:val="24"/>
              </w:rPr>
            </w:pPr>
            <w:r w:rsidRPr="00CB57BF">
              <w:rPr>
                <w:rFonts w:ascii="Times New Roman" w:hAnsi="Times New Roman"/>
                <w:sz w:val="24"/>
                <w:szCs w:val="24"/>
              </w:rPr>
              <w:t>Origem do controle acionário e ranking (PL) dos Grupos Bancários Privados presentes no CDES</w:t>
            </w:r>
            <w:r>
              <w:rPr>
                <w:rFonts w:ascii="Times New Roman" w:hAnsi="Times New Roman"/>
                <w:sz w:val="24"/>
                <w:szCs w:val="24"/>
              </w:rPr>
              <w:t>.....................................</w:t>
            </w:r>
            <w:r w:rsidR="00FF213F">
              <w:rPr>
                <w:rFonts w:ascii="Times New Roman" w:hAnsi="Times New Roman"/>
                <w:sz w:val="24"/>
                <w:szCs w:val="24"/>
              </w:rPr>
              <w:t>....</w:t>
            </w:r>
          </w:p>
        </w:tc>
        <w:tc>
          <w:tcPr>
            <w:tcW w:w="708" w:type="dxa"/>
          </w:tcPr>
          <w:p w:rsidR="00407F7F" w:rsidRPr="00BA4235" w:rsidRDefault="0084160C" w:rsidP="007B25CF">
            <w:pPr>
              <w:spacing w:before="240" w:line="240" w:lineRule="auto"/>
              <w:rPr>
                <w:rFonts w:ascii="Times New Roman" w:hAnsi="Times New Roman"/>
                <w:sz w:val="24"/>
                <w:szCs w:val="24"/>
              </w:rPr>
            </w:pPr>
            <w:r>
              <w:rPr>
                <w:rFonts w:ascii="Times New Roman" w:hAnsi="Times New Roman"/>
                <w:sz w:val="24"/>
                <w:szCs w:val="24"/>
              </w:rPr>
              <w:t>13</w:t>
            </w:r>
            <w:r w:rsidR="00407F7F">
              <w:rPr>
                <w:rFonts w:ascii="Times New Roman" w:hAnsi="Times New Roman"/>
                <w:sz w:val="24"/>
                <w:szCs w:val="24"/>
              </w:rPr>
              <w:t>1</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2.13</w:t>
            </w:r>
          </w:p>
        </w:tc>
        <w:tc>
          <w:tcPr>
            <w:tcW w:w="6521" w:type="dxa"/>
          </w:tcPr>
          <w:p w:rsidR="00407F7F" w:rsidRPr="00BA4235" w:rsidRDefault="00407F7F" w:rsidP="00F46595">
            <w:pPr>
              <w:spacing w:after="120" w:line="240" w:lineRule="auto"/>
              <w:rPr>
                <w:rFonts w:ascii="Times New Roman" w:hAnsi="Times New Roman"/>
                <w:sz w:val="24"/>
                <w:szCs w:val="24"/>
              </w:rPr>
            </w:pPr>
            <w:r w:rsidRPr="00CB57BF">
              <w:rPr>
                <w:rFonts w:ascii="Times New Roman" w:hAnsi="Times New Roman"/>
                <w:sz w:val="24"/>
                <w:szCs w:val="24"/>
              </w:rPr>
              <w:t>Vinculação de conselheiros com setores financeiros não bancários</w:t>
            </w:r>
            <w:r>
              <w:rPr>
                <w:rFonts w:ascii="Times New Roman" w:hAnsi="Times New Roman"/>
                <w:sz w:val="24"/>
                <w:szCs w:val="24"/>
              </w:rPr>
              <w:t>..................................................................................</w:t>
            </w:r>
            <w:r w:rsidR="007B25CF">
              <w:rPr>
                <w:rFonts w:ascii="Times New Roman" w:hAnsi="Times New Roman"/>
                <w:sz w:val="24"/>
                <w:szCs w:val="24"/>
              </w:rPr>
              <w:t>....</w:t>
            </w:r>
            <w:r>
              <w:rPr>
                <w:rFonts w:ascii="Times New Roman" w:hAnsi="Times New Roman"/>
                <w:sz w:val="24"/>
                <w:szCs w:val="24"/>
              </w:rPr>
              <w:t>..</w:t>
            </w:r>
          </w:p>
        </w:tc>
        <w:tc>
          <w:tcPr>
            <w:tcW w:w="708" w:type="dxa"/>
          </w:tcPr>
          <w:p w:rsidR="00407F7F" w:rsidRDefault="00407F7F" w:rsidP="007B25CF">
            <w:pPr>
              <w:spacing w:after="0" w:line="240" w:lineRule="auto"/>
              <w:rPr>
                <w:rFonts w:ascii="Times New Roman" w:hAnsi="Times New Roman"/>
                <w:sz w:val="24"/>
                <w:szCs w:val="24"/>
              </w:rPr>
            </w:pPr>
          </w:p>
          <w:p w:rsidR="00407F7F" w:rsidRPr="00BA4235" w:rsidRDefault="00407F7F" w:rsidP="007B25CF">
            <w:pPr>
              <w:spacing w:line="240" w:lineRule="auto"/>
              <w:rPr>
                <w:rFonts w:ascii="Times New Roman" w:hAnsi="Times New Roman"/>
                <w:sz w:val="24"/>
                <w:szCs w:val="24"/>
              </w:rPr>
            </w:pPr>
            <w:r>
              <w:rPr>
                <w:rFonts w:ascii="Times New Roman" w:hAnsi="Times New Roman"/>
                <w:sz w:val="24"/>
                <w:szCs w:val="24"/>
              </w:rPr>
              <w:t>1</w:t>
            </w:r>
            <w:r w:rsidR="0084160C">
              <w:rPr>
                <w:rFonts w:ascii="Times New Roman" w:hAnsi="Times New Roman"/>
                <w:sz w:val="24"/>
                <w:szCs w:val="24"/>
              </w:rPr>
              <w:t>34</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w:t>
            </w:r>
            <w:r w:rsidRPr="00BA4235">
              <w:rPr>
                <w:rFonts w:ascii="Times New Roman" w:hAnsi="Times New Roman"/>
                <w:sz w:val="24"/>
                <w:szCs w:val="24"/>
              </w:rPr>
              <w:t>.</w:t>
            </w:r>
            <w:r>
              <w:rPr>
                <w:rFonts w:ascii="Times New Roman" w:hAnsi="Times New Roman"/>
                <w:sz w:val="24"/>
                <w:szCs w:val="24"/>
              </w:rPr>
              <w:t>14</w:t>
            </w:r>
          </w:p>
        </w:tc>
        <w:tc>
          <w:tcPr>
            <w:tcW w:w="6521" w:type="dxa"/>
          </w:tcPr>
          <w:p w:rsidR="00407F7F" w:rsidRPr="00BA4235" w:rsidRDefault="00407F7F" w:rsidP="007B25CF">
            <w:pPr>
              <w:spacing w:after="0" w:line="240" w:lineRule="auto"/>
              <w:rPr>
                <w:rFonts w:ascii="Times New Roman" w:hAnsi="Times New Roman"/>
                <w:sz w:val="24"/>
                <w:szCs w:val="24"/>
              </w:rPr>
            </w:pPr>
            <w:r w:rsidRPr="00CB57BF">
              <w:rPr>
                <w:rFonts w:ascii="Times New Roman" w:hAnsi="Times New Roman"/>
                <w:sz w:val="24"/>
                <w:szCs w:val="24"/>
              </w:rPr>
              <w:t>Entidades da sociedade civil do setor bancário efinanceiro não bancário presentes no CDES</w:t>
            </w:r>
            <w:r>
              <w:rPr>
                <w:rFonts w:ascii="Times New Roman" w:hAnsi="Times New Roman"/>
                <w:sz w:val="24"/>
                <w:szCs w:val="24"/>
              </w:rPr>
              <w:t>...............................................</w:t>
            </w:r>
            <w:r w:rsidR="007B25CF">
              <w:rPr>
                <w:rFonts w:ascii="Times New Roman" w:hAnsi="Times New Roman"/>
                <w:sz w:val="24"/>
                <w:szCs w:val="24"/>
              </w:rPr>
              <w:t>...........</w:t>
            </w:r>
          </w:p>
        </w:tc>
        <w:tc>
          <w:tcPr>
            <w:tcW w:w="708" w:type="dxa"/>
          </w:tcPr>
          <w:p w:rsidR="00407F7F" w:rsidRDefault="00407F7F" w:rsidP="007B25CF">
            <w:pPr>
              <w:spacing w:after="0" w:line="240" w:lineRule="auto"/>
              <w:rPr>
                <w:rFonts w:ascii="Times New Roman" w:hAnsi="Times New Roman"/>
                <w:sz w:val="24"/>
                <w:szCs w:val="24"/>
              </w:rPr>
            </w:pPr>
          </w:p>
          <w:p w:rsidR="00407F7F" w:rsidRPr="00BA4235" w:rsidRDefault="00407F7F" w:rsidP="007B25CF">
            <w:pPr>
              <w:spacing w:line="240" w:lineRule="auto"/>
              <w:rPr>
                <w:rFonts w:ascii="Times New Roman" w:hAnsi="Times New Roman"/>
                <w:sz w:val="24"/>
                <w:szCs w:val="24"/>
              </w:rPr>
            </w:pPr>
            <w:r>
              <w:rPr>
                <w:rFonts w:ascii="Times New Roman" w:hAnsi="Times New Roman"/>
                <w:sz w:val="24"/>
                <w:szCs w:val="24"/>
              </w:rPr>
              <w:t>1</w:t>
            </w:r>
            <w:r w:rsidR="0084160C">
              <w:rPr>
                <w:rFonts w:ascii="Times New Roman" w:hAnsi="Times New Roman"/>
                <w:sz w:val="24"/>
                <w:szCs w:val="24"/>
              </w:rPr>
              <w:t>3</w:t>
            </w:r>
            <w:r w:rsidR="00F6589E">
              <w:rPr>
                <w:rFonts w:ascii="Times New Roman" w:hAnsi="Times New Roman"/>
                <w:sz w:val="24"/>
                <w:szCs w:val="24"/>
              </w:rPr>
              <w:t>7</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Quadro2.15</w:t>
            </w:r>
          </w:p>
        </w:tc>
        <w:tc>
          <w:tcPr>
            <w:tcW w:w="6521" w:type="dxa"/>
          </w:tcPr>
          <w:p w:rsidR="00407F7F" w:rsidRPr="00BA4235" w:rsidRDefault="00407F7F" w:rsidP="007B25CF">
            <w:pPr>
              <w:spacing w:after="120" w:line="240" w:lineRule="auto"/>
              <w:rPr>
                <w:rFonts w:ascii="Times New Roman" w:hAnsi="Times New Roman"/>
                <w:sz w:val="24"/>
                <w:szCs w:val="24"/>
              </w:rPr>
            </w:pPr>
            <w:r w:rsidRPr="00CB57BF">
              <w:rPr>
                <w:rFonts w:ascii="Times New Roman" w:hAnsi="Times New Roman"/>
                <w:sz w:val="24"/>
                <w:szCs w:val="24"/>
              </w:rPr>
              <w:t>Cargos ocupados pelos grupos bancários presentes no CDES que participavam simultaneamente em três ou mais associações (2004)</w:t>
            </w:r>
            <w:r>
              <w:rPr>
                <w:rFonts w:ascii="Times New Roman" w:hAnsi="Times New Roman"/>
                <w:sz w:val="24"/>
                <w:szCs w:val="24"/>
              </w:rPr>
              <w:t>.....................................................................</w:t>
            </w:r>
            <w:r w:rsidR="007B25CF">
              <w:rPr>
                <w:rFonts w:ascii="Times New Roman" w:hAnsi="Times New Roman"/>
                <w:sz w:val="24"/>
                <w:szCs w:val="24"/>
              </w:rPr>
              <w:t>........................</w:t>
            </w:r>
          </w:p>
        </w:tc>
        <w:tc>
          <w:tcPr>
            <w:tcW w:w="708" w:type="dxa"/>
          </w:tcPr>
          <w:p w:rsidR="00407F7F" w:rsidRDefault="00407F7F" w:rsidP="007B25CF">
            <w:pPr>
              <w:spacing w:line="240" w:lineRule="auto"/>
              <w:rPr>
                <w:rFonts w:ascii="Times New Roman" w:hAnsi="Times New Roman"/>
                <w:sz w:val="24"/>
                <w:szCs w:val="24"/>
              </w:rPr>
            </w:pPr>
          </w:p>
          <w:p w:rsidR="0084160C" w:rsidRPr="00BA4235" w:rsidRDefault="00407F7F" w:rsidP="0084160C">
            <w:pPr>
              <w:spacing w:line="240" w:lineRule="auto"/>
              <w:rPr>
                <w:rFonts w:ascii="Times New Roman" w:hAnsi="Times New Roman"/>
                <w:sz w:val="24"/>
                <w:szCs w:val="24"/>
              </w:rPr>
            </w:pPr>
            <w:r>
              <w:rPr>
                <w:rFonts w:ascii="Times New Roman" w:hAnsi="Times New Roman"/>
                <w:sz w:val="24"/>
                <w:szCs w:val="24"/>
              </w:rPr>
              <w:t>1</w:t>
            </w:r>
            <w:r w:rsidR="0084160C">
              <w:rPr>
                <w:rFonts w:ascii="Times New Roman" w:hAnsi="Times New Roman"/>
                <w:sz w:val="24"/>
                <w:szCs w:val="24"/>
              </w:rPr>
              <w:t>38</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2.16</w:t>
            </w:r>
          </w:p>
        </w:tc>
        <w:tc>
          <w:tcPr>
            <w:tcW w:w="6521" w:type="dxa"/>
          </w:tcPr>
          <w:p w:rsidR="00407F7F" w:rsidRPr="00CB57BF" w:rsidRDefault="00407F7F" w:rsidP="007B25CF">
            <w:pPr>
              <w:spacing w:after="0" w:line="240" w:lineRule="auto"/>
              <w:rPr>
                <w:rFonts w:ascii="Times New Roman" w:hAnsi="Times New Roman"/>
                <w:sz w:val="24"/>
                <w:szCs w:val="24"/>
              </w:rPr>
            </w:pPr>
            <w:r w:rsidRPr="00CB57BF">
              <w:rPr>
                <w:rFonts w:ascii="Times New Roman" w:hAnsi="Times New Roman"/>
                <w:sz w:val="24"/>
                <w:szCs w:val="24"/>
              </w:rPr>
              <w:t xml:space="preserve">A presença de conselheiros no BNDES e em </w:t>
            </w:r>
          </w:p>
          <w:p w:rsidR="00407F7F" w:rsidRPr="00BA4235" w:rsidRDefault="00407F7F" w:rsidP="00F46595">
            <w:pPr>
              <w:spacing w:after="120" w:line="240" w:lineRule="auto"/>
              <w:rPr>
                <w:rFonts w:ascii="Times New Roman" w:hAnsi="Times New Roman"/>
                <w:sz w:val="24"/>
                <w:szCs w:val="24"/>
              </w:rPr>
            </w:pPr>
            <w:r w:rsidRPr="00CB57BF">
              <w:rPr>
                <w:rFonts w:ascii="Times New Roman" w:hAnsi="Times New Roman"/>
                <w:sz w:val="24"/>
                <w:szCs w:val="24"/>
              </w:rPr>
              <w:t>Bancos Estaduais de Desenvolvimento</w:t>
            </w:r>
            <w:r>
              <w:rPr>
                <w:rFonts w:ascii="Times New Roman" w:hAnsi="Times New Roman"/>
                <w:sz w:val="24"/>
                <w:szCs w:val="24"/>
              </w:rPr>
              <w:t>.............................</w:t>
            </w:r>
            <w:r w:rsidR="007B25CF">
              <w:rPr>
                <w:rFonts w:ascii="Times New Roman" w:hAnsi="Times New Roman"/>
                <w:sz w:val="24"/>
                <w:szCs w:val="24"/>
              </w:rPr>
              <w:t>....</w:t>
            </w:r>
            <w:r w:rsidR="00F46595">
              <w:rPr>
                <w:rFonts w:ascii="Times New Roman" w:hAnsi="Times New Roman"/>
                <w:sz w:val="24"/>
                <w:szCs w:val="24"/>
              </w:rPr>
              <w:t>....</w:t>
            </w:r>
            <w:r>
              <w:rPr>
                <w:rFonts w:ascii="Times New Roman" w:hAnsi="Times New Roman"/>
                <w:sz w:val="24"/>
                <w:szCs w:val="24"/>
              </w:rPr>
              <w:t>.....</w:t>
            </w:r>
          </w:p>
        </w:tc>
        <w:tc>
          <w:tcPr>
            <w:tcW w:w="708" w:type="dxa"/>
          </w:tcPr>
          <w:p w:rsidR="00407F7F" w:rsidRDefault="00407F7F" w:rsidP="007B25CF">
            <w:pPr>
              <w:spacing w:after="0" w:line="240" w:lineRule="auto"/>
              <w:rPr>
                <w:rFonts w:ascii="Times New Roman" w:hAnsi="Times New Roman"/>
                <w:sz w:val="24"/>
                <w:szCs w:val="24"/>
              </w:rPr>
            </w:pPr>
          </w:p>
          <w:p w:rsidR="00407F7F" w:rsidRPr="00BA4235" w:rsidRDefault="00407F7F" w:rsidP="0084160C">
            <w:pPr>
              <w:spacing w:line="240" w:lineRule="auto"/>
              <w:rPr>
                <w:rFonts w:ascii="Times New Roman" w:hAnsi="Times New Roman"/>
                <w:sz w:val="24"/>
                <w:szCs w:val="24"/>
              </w:rPr>
            </w:pPr>
            <w:r>
              <w:rPr>
                <w:rFonts w:ascii="Times New Roman" w:hAnsi="Times New Roman"/>
                <w:sz w:val="24"/>
                <w:szCs w:val="24"/>
              </w:rPr>
              <w:t>1</w:t>
            </w:r>
            <w:r w:rsidR="0084160C">
              <w:rPr>
                <w:rFonts w:ascii="Times New Roman" w:hAnsi="Times New Roman"/>
                <w:sz w:val="24"/>
                <w:szCs w:val="24"/>
              </w:rPr>
              <w:t>43</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2.17</w:t>
            </w:r>
          </w:p>
        </w:tc>
        <w:tc>
          <w:tcPr>
            <w:tcW w:w="6521" w:type="dxa"/>
          </w:tcPr>
          <w:p w:rsidR="00407F7F" w:rsidRPr="00BA4235" w:rsidRDefault="00AE4130" w:rsidP="00AE4130">
            <w:pPr>
              <w:spacing w:after="0" w:line="240" w:lineRule="auto"/>
              <w:rPr>
                <w:rFonts w:ascii="Times New Roman" w:hAnsi="Times New Roman"/>
                <w:sz w:val="24"/>
                <w:szCs w:val="24"/>
              </w:rPr>
            </w:pPr>
            <w:r>
              <w:rPr>
                <w:rFonts w:ascii="Times New Roman" w:hAnsi="Times New Roman"/>
                <w:sz w:val="24"/>
                <w:szCs w:val="24"/>
              </w:rPr>
              <w:t>A presença de conselheiros conectado</w:t>
            </w:r>
            <w:r w:rsidR="00407F7F" w:rsidRPr="00CB57BF">
              <w:rPr>
                <w:rFonts w:ascii="Times New Roman" w:hAnsi="Times New Roman"/>
                <w:sz w:val="24"/>
                <w:szCs w:val="24"/>
              </w:rPr>
              <w:t>s ao setor bancário e financeiro não bancário em entidades industriais e comerciais</w:t>
            </w:r>
            <w:r w:rsidR="00407F7F">
              <w:rPr>
                <w:rFonts w:ascii="Times New Roman" w:hAnsi="Times New Roman"/>
                <w:sz w:val="24"/>
                <w:szCs w:val="24"/>
              </w:rPr>
              <w:t>..</w:t>
            </w:r>
            <w:r w:rsidR="007B25CF">
              <w:rPr>
                <w:rFonts w:ascii="Times New Roman" w:hAnsi="Times New Roman"/>
                <w:sz w:val="24"/>
                <w:szCs w:val="24"/>
              </w:rPr>
              <w:t>....</w:t>
            </w:r>
          </w:p>
        </w:tc>
        <w:tc>
          <w:tcPr>
            <w:tcW w:w="708" w:type="dxa"/>
          </w:tcPr>
          <w:p w:rsidR="00407F7F" w:rsidRPr="00BA4235" w:rsidRDefault="00407F7F" w:rsidP="00A71202">
            <w:pPr>
              <w:spacing w:before="240" w:line="240" w:lineRule="auto"/>
              <w:rPr>
                <w:rFonts w:ascii="Times New Roman" w:hAnsi="Times New Roman"/>
                <w:sz w:val="24"/>
                <w:szCs w:val="24"/>
              </w:rPr>
            </w:pPr>
            <w:r>
              <w:rPr>
                <w:rFonts w:ascii="Times New Roman" w:hAnsi="Times New Roman"/>
                <w:sz w:val="24"/>
                <w:szCs w:val="24"/>
              </w:rPr>
              <w:t>1</w:t>
            </w:r>
            <w:r w:rsidR="00A71202">
              <w:rPr>
                <w:rFonts w:ascii="Times New Roman" w:hAnsi="Times New Roman"/>
                <w:sz w:val="24"/>
                <w:szCs w:val="24"/>
              </w:rPr>
              <w:t>4</w:t>
            </w:r>
            <w:r w:rsidR="00F6589E">
              <w:rPr>
                <w:rFonts w:ascii="Times New Roman" w:hAnsi="Times New Roman"/>
                <w:sz w:val="24"/>
                <w:szCs w:val="24"/>
              </w:rPr>
              <w:t>6</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w:t>
            </w:r>
            <w:r w:rsidRPr="00BA4235">
              <w:rPr>
                <w:rFonts w:ascii="Times New Roman" w:hAnsi="Times New Roman"/>
                <w:sz w:val="24"/>
                <w:szCs w:val="24"/>
              </w:rPr>
              <w:t>.</w:t>
            </w:r>
            <w:r>
              <w:rPr>
                <w:rFonts w:ascii="Times New Roman" w:hAnsi="Times New Roman"/>
                <w:sz w:val="24"/>
                <w:szCs w:val="24"/>
              </w:rPr>
              <w:t>18</w:t>
            </w:r>
          </w:p>
        </w:tc>
        <w:tc>
          <w:tcPr>
            <w:tcW w:w="6521" w:type="dxa"/>
          </w:tcPr>
          <w:p w:rsidR="00407F7F" w:rsidRPr="00BA4235" w:rsidRDefault="00407F7F" w:rsidP="005F3433">
            <w:pPr>
              <w:spacing w:after="120" w:line="240" w:lineRule="auto"/>
              <w:rPr>
                <w:rFonts w:ascii="Times New Roman" w:hAnsi="Times New Roman"/>
                <w:sz w:val="24"/>
                <w:szCs w:val="24"/>
              </w:rPr>
            </w:pPr>
            <w:r w:rsidRPr="00CB57BF">
              <w:rPr>
                <w:rFonts w:ascii="Times New Roman" w:hAnsi="Times New Roman"/>
                <w:sz w:val="24"/>
                <w:szCs w:val="24"/>
              </w:rPr>
              <w:t>A presença de conselheiros banqueiros e do setor financeiro não bancário em entidades de formulação, doutrinamento e divulgação</w:t>
            </w:r>
            <w:r>
              <w:rPr>
                <w:rFonts w:ascii="Times New Roman" w:hAnsi="Times New Roman"/>
                <w:sz w:val="24"/>
                <w:szCs w:val="24"/>
              </w:rPr>
              <w:t>..............................................................................</w:t>
            </w:r>
            <w:r w:rsidR="007B25CF">
              <w:rPr>
                <w:rFonts w:ascii="Times New Roman" w:hAnsi="Times New Roman"/>
                <w:sz w:val="24"/>
                <w:szCs w:val="24"/>
              </w:rPr>
              <w:t>.....</w:t>
            </w:r>
            <w:r>
              <w:rPr>
                <w:rFonts w:ascii="Times New Roman" w:hAnsi="Times New Roman"/>
                <w:sz w:val="24"/>
                <w:szCs w:val="24"/>
              </w:rPr>
              <w:t>....</w:t>
            </w:r>
          </w:p>
        </w:tc>
        <w:tc>
          <w:tcPr>
            <w:tcW w:w="708" w:type="dxa"/>
          </w:tcPr>
          <w:p w:rsidR="00407F7F" w:rsidRDefault="00407F7F" w:rsidP="007B25CF">
            <w:pPr>
              <w:spacing w:line="240" w:lineRule="auto"/>
              <w:rPr>
                <w:rFonts w:ascii="Times New Roman" w:hAnsi="Times New Roman"/>
                <w:sz w:val="24"/>
                <w:szCs w:val="24"/>
              </w:rPr>
            </w:pPr>
          </w:p>
          <w:p w:rsidR="00407F7F" w:rsidRPr="00BA4235" w:rsidRDefault="00407F7F" w:rsidP="00A71202">
            <w:pPr>
              <w:spacing w:before="240" w:line="240" w:lineRule="auto"/>
              <w:rPr>
                <w:rFonts w:ascii="Times New Roman" w:hAnsi="Times New Roman"/>
                <w:sz w:val="24"/>
                <w:szCs w:val="24"/>
              </w:rPr>
            </w:pPr>
            <w:r>
              <w:rPr>
                <w:rFonts w:ascii="Times New Roman" w:hAnsi="Times New Roman"/>
                <w:sz w:val="24"/>
                <w:szCs w:val="24"/>
              </w:rPr>
              <w:t>1</w:t>
            </w:r>
            <w:r w:rsidR="00A71202">
              <w:rPr>
                <w:rFonts w:ascii="Times New Roman" w:hAnsi="Times New Roman"/>
                <w:sz w:val="24"/>
                <w:szCs w:val="24"/>
              </w:rPr>
              <w:t>46</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Quadro2.19</w:t>
            </w:r>
          </w:p>
        </w:tc>
        <w:tc>
          <w:tcPr>
            <w:tcW w:w="6521" w:type="dxa"/>
          </w:tcPr>
          <w:p w:rsidR="00407F7F" w:rsidRPr="00BA4235" w:rsidRDefault="00407F7F" w:rsidP="007B25CF">
            <w:pPr>
              <w:spacing w:after="120" w:line="240" w:lineRule="auto"/>
              <w:rPr>
                <w:rFonts w:ascii="Times New Roman" w:hAnsi="Times New Roman"/>
                <w:sz w:val="24"/>
                <w:szCs w:val="24"/>
              </w:rPr>
            </w:pPr>
            <w:r w:rsidRPr="00CB57BF">
              <w:rPr>
                <w:rFonts w:ascii="Times New Roman" w:hAnsi="Times New Roman"/>
                <w:sz w:val="24"/>
                <w:szCs w:val="24"/>
              </w:rPr>
              <w:t xml:space="preserve">A presença de conselheiros banqueiros e do setor financeiro não bancário nas entidades </w:t>
            </w:r>
            <w:r w:rsidR="00CA0999">
              <w:rPr>
                <w:rFonts w:ascii="Times New Roman" w:hAnsi="Times New Roman"/>
                <w:sz w:val="24"/>
                <w:szCs w:val="24"/>
              </w:rPr>
              <w:t>de empresariamento da questão so</w:t>
            </w:r>
            <w:r w:rsidRPr="00CB57BF">
              <w:rPr>
                <w:rFonts w:ascii="Times New Roman" w:hAnsi="Times New Roman"/>
                <w:sz w:val="24"/>
                <w:szCs w:val="24"/>
              </w:rPr>
              <w:t>cioeducacional</w:t>
            </w:r>
            <w:r>
              <w:rPr>
                <w:rFonts w:ascii="Times New Roman" w:hAnsi="Times New Roman"/>
                <w:sz w:val="24"/>
                <w:szCs w:val="24"/>
              </w:rPr>
              <w:t>........................................................................</w:t>
            </w:r>
            <w:r w:rsidR="007B25CF">
              <w:rPr>
                <w:rFonts w:ascii="Times New Roman" w:hAnsi="Times New Roman"/>
                <w:sz w:val="24"/>
                <w:szCs w:val="24"/>
              </w:rPr>
              <w:t>.....</w:t>
            </w:r>
          </w:p>
        </w:tc>
        <w:tc>
          <w:tcPr>
            <w:tcW w:w="708" w:type="dxa"/>
          </w:tcPr>
          <w:p w:rsidR="00407F7F" w:rsidRDefault="00407F7F" w:rsidP="007B25CF">
            <w:pPr>
              <w:spacing w:line="240" w:lineRule="auto"/>
              <w:rPr>
                <w:rFonts w:ascii="Times New Roman" w:hAnsi="Times New Roman"/>
                <w:sz w:val="24"/>
                <w:szCs w:val="24"/>
              </w:rPr>
            </w:pPr>
          </w:p>
          <w:p w:rsidR="00407F7F" w:rsidRPr="00BA4235" w:rsidRDefault="00407F7F" w:rsidP="00A71202">
            <w:pPr>
              <w:spacing w:before="240" w:line="240" w:lineRule="auto"/>
              <w:rPr>
                <w:rFonts w:ascii="Times New Roman" w:hAnsi="Times New Roman"/>
                <w:sz w:val="24"/>
                <w:szCs w:val="24"/>
              </w:rPr>
            </w:pPr>
            <w:r>
              <w:rPr>
                <w:rFonts w:ascii="Times New Roman" w:hAnsi="Times New Roman"/>
                <w:sz w:val="24"/>
                <w:szCs w:val="24"/>
              </w:rPr>
              <w:t>1</w:t>
            </w:r>
            <w:r w:rsidR="00A71202">
              <w:rPr>
                <w:rFonts w:ascii="Times New Roman" w:hAnsi="Times New Roman"/>
                <w:sz w:val="24"/>
                <w:szCs w:val="24"/>
              </w:rPr>
              <w:t>47</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2.20</w:t>
            </w:r>
          </w:p>
        </w:tc>
        <w:tc>
          <w:tcPr>
            <w:tcW w:w="6521" w:type="dxa"/>
          </w:tcPr>
          <w:p w:rsidR="00407F7F" w:rsidRPr="00CB57BF" w:rsidRDefault="00A50908" w:rsidP="007B25CF">
            <w:pPr>
              <w:spacing w:after="0" w:line="240" w:lineRule="auto"/>
              <w:ind w:firstLine="34"/>
              <w:rPr>
                <w:rFonts w:ascii="Times New Roman" w:hAnsi="Times New Roman"/>
                <w:sz w:val="24"/>
                <w:szCs w:val="24"/>
              </w:rPr>
            </w:pPr>
            <w:r>
              <w:rPr>
                <w:rFonts w:ascii="Times New Roman" w:hAnsi="Times New Roman"/>
                <w:sz w:val="24"/>
                <w:szCs w:val="24"/>
              </w:rPr>
              <w:t>A presença dos C</w:t>
            </w:r>
            <w:r w:rsidR="00407F7F" w:rsidRPr="00CB57BF">
              <w:rPr>
                <w:rFonts w:ascii="Times New Roman" w:hAnsi="Times New Roman"/>
                <w:sz w:val="24"/>
                <w:szCs w:val="24"/>
              </w:rPr>
              <w:t>onselheiros-</w:t>
            </w:r>
            <w:r>
              <w:rPr>
                <w:rFonts w:ascii="Times New Roman" w:hAnsi="Times New Roman"/>
                <w:sz w:val="24"/>
                <w:szCs w:val="24"/>
              </w:rPr>
              <w:t>E</w:t>
            </w:r>
            <w:r w:rsidR="00407F7F" w:rsidRPr="00CB57BF">
              <w:rPr>
                <w:rFonts w:ascii="Times New Roman" w:hAnsi="Times New Roman"/>
                <w:sz w:val="24"/>
                <w:szCs w:val="24"/>
              </w:rPr>
              <w:t>mpresários em suas</w:t>
            </w:r>
          </w:p>
          <w:p w:rsidR="00407F7F" w:rsidRPr="00BA4235" w:rsidRDefault="00407F7F" w:rsidP="007B25CF">
            <w:pPr>
              <w:spacing w:after="120" w:line="240" w:lineRule="auto"/>
              <w:rPr>
                <w:rFonts w:ascii="Times New Roman" w:hAnsi="Times New Roman"/>
                <w:sz w:val="24"/>
                <w:szCs w:val="24"/>
              </w:rPr>
            </w:pPr>
            <w:r w:rsidRPr="00CB57BF">
              <w:rPr>
                <w:rFonts w:ascii="Times New Roman" w:hAnsi="Times New Roman"/>
                <w:sz w:val="24"/>
                <w:szCs w:val="24"/>
              </w:rPr>
              <w:t>associações da sociedade civil (2003-2010)</w:t>
            </w:r>
            <w:r>
              <w:rPr>
                <w:rFonts w:ascii="Times New Roman" w:hAnsi="Times New Roman"/>
                <w:sz w:val="24"/>
                <w:szCs w:val="24"/>
              </w:rPr>
              <w:t>...............................</w:t>
            </w:r>
            <w:r w:rsidR="007B25CF">
              <w:rPr>
                <w:rFonts w:ascii="Times New Roman" w:hAnsi="Times New Roman"/>
                <w:sz w:val="24"/>
                <w:szCs w:val="24"/>
              </w:rPr>
              <w:t>....</w:t>
            </w:r>
          </w:p>
        </w:tc>
        <w:tc>
          <w:tcPr>
            <w:tcW w:w="708" w:type="dxa"/>
          </w:tcPr>
          <w:p w:rsidR="00407F7F" w:rsidRPr="00BA4235" w:rsidRDefault="00A50908" w:rsidP="00A50908">
            <w:pPr>
              <w:spacing w:before="240" w:line="240" w:lineRule="auto"/>
              <w:rPr>
                <w:rFonts w:ascii="Times New Roman" w:hAnsi="Times New Roman"/>
                <w:sz w:val="24"/>
                <w:szCs w:val="24"/>
              </w:rPr>
            </w:pPr>
            <w:r>
              <w:rPr>
                <w:rFonts w:ascii="Times New Roman" w:hAnsi="Times New Roman"/>
                <w:sz w:val="24"/>
                <w:szCs w:val="24"/>
              </w:rPr>
              <w:t>150</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2.21</w:t>
            </w:r>
          </w:p>
        </w:tc>
        <w:tc>
          <w:tcPr>
            <w:tcW w:w="6521" w:type="dxa"/>
          </w:tcPr>
          <w:p w:rsidR="00407F7F" w:rsidRPr="00BA4235" w:rsidRDefault="00407F7F" w:rsidP="00A50908">
            <w:pPr>
              <w:spacing w:line="240" w:lineRule="auto"/>
              <w:rPr>
                <w:rFonts w:ascii="Times New Roman" w:hAnsi="Times New Roman"/>
                <w:sz w:val="24"/>
                <w:szCs w:val="24"/>
              </w:rPr>
            </w:pPr>
            <w:r w:rsidRPr="00CB57BF">
              <w:rPr>
                <w:rFonts w:ascii="Times New Roman" w:hAnsi="Times New Roman"/>
                <w:sz w:val="24"/>
                <w:szCs w:val="24"/>
              </w:rPr>
              <w:t xml:space="preserve">Vinculações dos </w:t>
            </w:r>
            <w:r w:rsidR="00A50908">
              <w:rPr>
                <w:rFonts w:ascii="Times New Roman" w:hAnsi="Times New Roman"/>
                <w:sz w:val="24"/>
                <w:szCs w:val="24"/>
              </w:rPr>
              <w:t>C</w:t>
            </w:r>
            <w:r w:rsidRPr="00CB57BF">
              <w:rPr>
                <w:rFonts w:ascii="Times New Roman" w:hAnsi="Times New Roman"/>
                <w:sz w:val="24"/>
                <w:szCs w:val="24"/>
              </w:rPr>
              <w:t>onselheiros-</w:t>
            </w:r>
            <w:r w:rsidR="00A50908">
              <w:rPr>
                <w:rFonts w:ascii="Times New Roman" w:hAnsi="Times New Roman"/>
                <w:sz w:val="24"/>
                <w:szCs w:val="24"/>
              </w:rPr>
              <w:t>E</w:t>
            </w:r>
            <w:r w:rsidRPr="00CB57BF">
              <w:rPr>
                <w:rFonts w:ascii="Times New Roman" w:hAnsi="Times New Roman"/>
                <w:sz w:val="24"/>
                <w:szCs w:val="24"/>
              </w:rPr>
              <w:t>mpresários com os demais órgãos da Sociedade Política (por sociedadepolítica)</w:t>
            </w:r>
            <w:r w:rsidR="00A50908">
              <w:rPr>
                <w:rFonts w:ascii="Times New Roman" w:hAnsi="Times New Roman"/>
                <w:sz w:val="24"/>
                <w:szCs w:val="24"/>
              </w:rPr>
              <w:t>....</w:t>
            </w:r>
            <w:r>
              <w:rPr>
                <w:rFonts w:ascii="Times New Roman" w:hAnsi="Times New Roman"/>
                <w:sz w:val="24"/>
                <w:szCs w:val="24"/>
              </w:rPr>
              <w:t>...........</w:t>
            </w:r>
            <w:r w:rsidR="007B25CF">
              <w:rPr>
                <w:rFonts w:ascii="Times New Roman" w:hAnsi="Times New Roman"/>
                <w:sz w:val="24"/>
                <w:szCs w:val="24"/>
              </w:rPr>
              <w:t>.....</w:t>
            </w:r>
          </w:p>
        </w:tc>
        <w:tc>
          <w:tcPr>
            <w:tcW w:w="708" w:type="dxa"/>
          </w:tcPr>
          <w:p w:rsidR="00407F7F" w:rsidRDefault="00407F7F" w:rsidP="007B25CF">
            <w:pPr>
              <w:spacing w:after="0" w:line="240" w:lineRule="auto"/>
              <w:rPr>
                <w:rFonts w:ascii="Times New Roman" w:hAnsi="Times New Roman"/>
                <w:sz w:val="24"/>
                <w:szCs w:val="24"/>
              </w:rPr>
            </w:pPr>
          </w:p>
          <w:p w:rsidR="00407F7F" w:rsidRPr="00BA4235" w:rsidRDefault="00407F7F" w:rsidP="007B25CF">
            <w:pPr>
              <w:spacing w:line="240" w:lineRule="auto"/>
              <w:rPr>
                <w:rFonts w:ascii="Times New Roman" w:hAnsi="Times New Roman"/>
                <w:sz w:val="24"/>
                <w:szCs w:val="24"/>
              </w:rPr>
            </w:pPr>
            <w:r>
              <w:rPr>
                <w:rFonts w:ascii="Times New Roman" w:hAnsi="Times New Roman"/>
                <w:sz w:val="24"/>
                <w:szCs w:val="24"/>
              </w:rPr>
              <w:t>1</w:t>
            </w:r>
            <w:r w:rsidR="00A50908">
              <w:rPr>
                <w:rFonts w:ascii="Times New Roman" w:hAnsi="Times New Roman"/>
                <w:sz w:val="24"/>
                <w:szCs w:val="24"/>
              </w:rPr>
              <w:t>6</w:t>
            </w:r>
            <w:r w:rsidR="00554C68">
              <w:rPr>
                <w:rFonts w:ascii="Times New Roman" w:hAnsi="Times New Roman"/>
                <w:sz w:val="24"/>
                <w:szCs w:val="24"/>
              </w:rPr>
              <w:t>9</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2.22</w:t>
            </w:r>
          </w:p>
        </w:tc>
        <w:tc>
          <w:tcPr>
            <w:tcW w:w="6521" w:type="dxa"/>
          </w:tcPr>
          <w:p w:rsidR="00407F7F" w:rsidRPr="00BA4235" w:rsidRDefault="00407F7F" w:rsidP="007B25CF">
            <w:pPr>
              <w:spacing w:after="120" w:line="240" w:lineRule="auto"/>
              <w:rPr>
                <w:rFonts w:ascii="Times New Roman" w:hAnsi="Times New Roman"/>
                <w:sz w:val="24"/>
                <w:szCs w:val="24"/>
              </w:rPr>
            </w:pPr>
            <w:r w:rsidRPr="00CB57BF">
              <w:rPr>
                <w:rFonts w:ascii="Times New Roman" w:hAnsi="Times New Roman"/>
                <w:sz w:val="24"/>
                <w:szCs w:val="24"/>
              </w:rPr>
              <w:t>Dispersão geográfica das transnacionais brasileiras presentes no CDES</w:t>
            </w:r>
            <w:r>
              <w:rPr>
                <w:rFonts w:ascii="Times New Roman" w:hAnsi="Times New Roman"/>
                <w:sz w:val="24"/>
                <w:szCs w:val="24"/>
              </w:rPr>
              <w:t>.....................................................................................</w:t>
            </w:r>
            <w:r w:rsidR="007B25CF">
              <w:rPr>
                <w:rFonts w:ascii="Times New Roman" w:hAnsi="Times New Roman"/>
                <w:sz w:val="24"/>
                <w:szCs w:val="24"/>
              </w:rPr>
              <w:t>.........</w:t>
            </w:r>
          </w:p>
        </w:tc>
        <w:tc>
          <w:tcPr>
            <w:tcW w:w="708" w:type="dxa"/>
          </w:tcPr>
          <w:p w:rsidR="00407F7F" w:rsidRPr="00BA4235" w:rsidRDefault="00407F7F" w:rsidP="007B25CF">
            <w:pPr>
              <w:spacing w:before="240" w:line="240" w:lineRule="auto"/>
              <w:rPr>
                <w:rFonts w:ascii="Times New Roman" w:hAnsi="Times New Roman"/>
                <w:sz w:val="24"/>
                <w:szCs w:val="24"/>
              </w:rPr>
            </w:pPr>
            <w:r>
              <w:rPr>
                <w:rFonts w:ascii="Times New Roman" w:hAnsi="Times New Roman"/>
                <w:sz w:val="24"/>
                <w:szCs w:val="24"/>
              </w:rPr>
              <w:t>1</w:t>
            </w:r>
            <w:r w:rsidR="00A50908">
              <w:rPr>
                <w:rFonts w:ascii="Times New Roman" w:hAnsi="Times New Roman"/>
                <w:sz w:val="24"/>
                <w:szCs w:val="24"/>
              </w:rPr>
              <w:t>74</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2.23</w:t>
            </w:r>
          </w:p>
        </w:tc>
        <w:tc>
          <w:tcPr>
            <w:tcW w:w="6521" w:type="dxa"/>
          </w:tcPr>
          <w:p w:rsidR="00407F7F" w:rsidRPr="00BA4235" w:rsidRDefault="00407F7F" w:rsidP="007B25CF">
            <w:pPr>
              <w:spacing w:after="120" w:line="240" w:lineRule="auto"/>
              <w:rPr>
                <w:rFonts w:ascii="Times New Roman" w:hAnsi="Times New Roman"/>
                <w:sz w:val="24"/>
                <w:szCs w:val="24"/>
              </w:rPr>
            </w:pPr>
            <w:r w:rsidRPr="00CB57BF">
              <w:rPr>
                <w:rFonts w:ascii="Times New Roman" w:hAnsi="Times New Roman"/>
                <w:sz w:val="24"/>
                <w:szCs w:val="24"/>
              </w:rPr>
              <w:t xml:space="preserve">As conexões de Firmas e Grupos transnacionalizados brasileiros com o governo e o recebimento de recursos do </w:t>
            </w:r>
            <w:r w:rsidR="007B25CF">
              <w:rPr>
                <w:rFonts w:ascii="Times New Roman" w:hAnsi="Times New Roman"/>
                <w:sz w:val="24"/>
                <w:szCs w:val="24"/>
              </w:rPr>
              <w:t>B</w:t>
            </w:r>
            <w:r w:rsidRPr="00CB57BF">
              <w:rPr>
                <w:rFonts w:ascii="Times New Roman" w:hAnsi="Times New Roman"/>
                <w:sz w:val="24"/>
                <w:szCs w:val="24"/>
              </w:rPr>
              <w:t>NDES</w:t>
            </w:r>
            <w:r>
              <w:rPr>
                <w:rFonts w:ascii="Times New Roman" w:hAnsi="Times New Roman"/>
                <w:sz w:val="24"/>
                <w:szCs w:val="24"/>
              </w:rPr>
              <w:t>....</w:t>
            </w:r>
            <w:r w:rsidR="007B25CF">
              <w:rPr>
                <w:rFonts w:ascii="Times New Roman" w:hAnsi="Times New Roman"/>
                <w:sz w:val="24"/>
                <w:szCs w:val="24"/>
              </w:rPr>
              <w:t>........</w:t>
            </w:r>
            <w:r>
              <w:rPr>
                <w:rFonts w:ascii="Times New Roman" w:hAnsi="Times New Roman"/>
                <w:sz w:val="24"/>
                <w:szCs w:val="24"/>
              </w:rPr>
              <w:t>...</w:t>
            </w:r>
          </w:p>
        </w:tc>
        <w:tc>
          <w:tcPr>
            <w:tcW w:w="708" w:type="dxa"/>
          </w:tcPr>
          <w:p w:rsidR="00407F7F" w:rsidRPr="00BA4235" w:rsidRDefault="00407F7F" w:rsidP="007B25CF">
            <w:pPr>
              <w:spacing w:before="240" w:line="240" w:lineRule="auto"/>
              <w:rPr>
                <w:rFonts w:ascii="Times New Roman" w:hAnsi="Times New Roman"/>
                <w:sz w:val="24"/>
                <w:szCs w:val="24"/>
              </w:rPr>
            </w:pPr>
            <w:r>
              <w:rPr>
                <w:rFonts w:ascii="Times New Roman" w:hAnsi="Times New Roman"/>
                <w:sz w:val="24"/>
                <w:szCs w:val="24"/>
              </w:rPr>
              <w:t>1</w:t>
            </w:r>
            <w:r w:rsidR="00A50908">
              <w:rPr>
                <w:rFonts w:ascii="Times New Roman" w:hAnsi="Times New Roman"/>
                <w:sz w:val="24"/>
                <w:szCs w:val="24"/>
              </w:rPr>
              <w:t>76</w:t>
            </w:r>
          </w:p>
        </w:tc>
      </w:tr>
      <w:tr w:rsidR="00407F7F" w:rsidTr="00FF213F">
        <w:tc>
          <w:tcPr>
            <w:tcW w:w="1526" w:type="dxa"/>
          </w:tcPr>
          <w:p w:rsidR="00407F7F" w:rsidRPr="003A1DD2" w:rsidRDefault="00407F7F" w:rsidP="00407F7F">
            <w:pPr>
              <w:jc w:val="both"/>
              <w:rPr>
                <w:rFonts w:ascii="Times New Roman" w:hAnsi="Times New Roman"/>
                <w:color w:val="000000" w:themeColor="text1"/>
                <w:sz w:val="24"/>
                <w:szCs w:val="24"/>
              </w:rPr>
            </w:pPr>
            <w:r w:rsidRPr="003A1DD2">
              <w:rPr>
                <w:rFonts w:ascii="Times New Roman" w:hAnsi="Times New Roman"/>
                <w:color w:val="000000" w:themeColor="text1"/>
                <w:sz w:val="24"/>
                <w:szCs w:val="24"/>
              </w:rPr>
              <w:t>Quadro 3.1</w:t>
            </w:r>
          </w:p>
        </w:tc>
        <w:tc>
          <w:tcPr>
            <w:tcW w:w="6521" w:type="dxa"/>
          </w:tcPr>
          <w:p w:rsidR="00407F7F" w:rsidRPr="003A1DD2" w:rsidRDefault="00407F7F" w:rsidP="007B25CF">
            <w:pPr>
              <w:spacing w:after="120"/>
              <w:rPr>
                <w:rFonts w:ascii="Times New Roman" w:hAnsi="Times New Roman"/>
                <w:color w:val="000000" w:themeColor="text1"/>
                <w:sz w:val="24"/>
                <w:szCs w:val="24"/>
              </w:rPr>
            </w:pPr>
            <w:r w:rsidRPr="003A1DD2">
              <w:rPr>
                <w:rFonts w:ascii="Times New Roman" w:eastAsia="Times New Roman" w:hAnsi="Times New Roman"/>
                <w:color w:val="000000" w:themeColor="text1"/>
                <w:sz w:val="24"/>
                <w:szCs w:val="24"/>
                <w:lang w:eastAsia="pt-BR"/>
              </w:rPr>
              <w:t>Linha do Tempo Condensada do CDES (2003-2006)...................</w:t>
            </w:r>
            <w:r w:rsidR="007B25CF">
              <w:rPr>
                <w:rFonts w:ascii="Times New Roman" w:eastAsia="Times New Roman" w:hAnsi="Times New Roman"/>
                <w:color w:val="000000" w:themeColor="text1"/>
                <w:sz w:val="24"/>
                <w:szCs w:val="24"/>
                <w:lang w:eastAsia="pt-BR"/>
              </w:rPr>
              <w:t>.</w:t>
            </w:r>
          </w:p>
        </w:tc>
        <w:tc>
          <w:tcPr>
            <w:tcW w:w="708" w:type="dxa"/>
          </w:tcPr>
          <w:p w:rsidR="00407F7F" w:rsidRPr="00BA4235" w:rsidRDefault="00407F7F" w:rsidP="007B25CF">
            <w:pPr>
              <w:spacing w:line="240" w:lineRule="auto"/>
              <w:rPr>
                <w:rFonts w:ascii="Times New Roman" w:hAnsi="Times New Roman"/>
                <w:sz w:val="24"/>
                <w:szCs w:val="24"/>
              </w:rPr>
            </w:pPr>
            <w:r>
              <w:rPr>
                <w:rFonts w:ascii="Times New Roman" w:hAnsi="Times New Roman"/>
                <w:sz w:val="24"/>
                <w:szCs w:val="24"/>
              </w:rPr>
              <w:t>1</w:t>
            </w:r>
            <w:r w:rsidR="00A50908">
              <w:rPr>
                <w:rFonts w:ascii="Times New Roman" w:hAnsi="Times New Roman"/>
                <w:sz w:val="24"/>
                <w:szCs w:val="24"/>
              </w:rPr>
              <w:t>87</w:t>
            </w:r>
          </w:p>
        </w:tc>
      </w:tr>
      <w:tr w:rsidR="00407F7F" w:rsidTr="00FF213F">
        <w:tc>
          <w:tcPr>
            <w:tcW w:w="1526" w:type="dxa"/>
          </w:tcPr>
          <w:p w:rsidR="00407F7F" w:rsidRPr="003A1DD2" w:rsidRDefault="00407F7F" w:rsidP="00407F7F">
            <w:pPr>
              <w:jc w:val="both"/>
              <w:rPr>
                <w:rFonts w:ascii="Times New Roman" w:hAnsi="Times New Roman"/>
                <w:color w:val="000000" w:themeColor="text1"/>
                <w:sz w:val="24"/>
                <w:szCs w:val="24"/>
              </w:rPr>
            </w:pPr>
            <w:r w:rsidRPr="003A1DD2">
              <w:rPr>
                <w:rFonts w:ascii="Times New Roman" w:hAnsi="Times New Roman"/>
                <w:color w:val="000000" w:themeColor="text1"/>
                <w:sz w:val="24"/>
                <w:szCs w:val="24"/>
              </w:rPr>
              <w:t>Quadro 3.2</w:t>
            </w:r>
          </w:p>
        </w:tc>
        <w:tc>
          <w:tcPr>
            <w:tcW w:w="6521" w:type="dxa"/>
          </w:tcPr>
          <w:p w:rsidR="00407F7F" w:rsidRPr="003A1DD2" w:rsidRDefault="00407F7F" w:rsidP="007B25CF">
            <w:pPr>
              <w:spacing w:after="120" w:line="240" w:lineRule="auto"/>
              <w:rPr>
                <w:rFonts w:ascii="Times New Roman" w:hAnsi="Times New Roman"/>
                <w:color w:val="000000" w:themeColor="text1"/>
                <w:sz w:val="24"/>
                <w:szCs w:val="24"/>
              </w:rPr>
            </w:pPr>
            <w:r w:rsidRPr="003A1DD2">
              <w:rPr>
                <w:rFonts w:ascii="Times New Roman" w:hAnsi="Times New Roman"/>
                <w:color w:val="000000" w:themeColor="text1"/>
                <w:sz w:val="24"/>
                <w:szCs w:val="24"/>
              </w:rPr>
              <w:t>Problemas detectados e objetivos traçados pelos conselheiros na AND......................................................................................</w:t>
            </w:r>
            <w:r w:rsidR="007B25CF">
              <w:rPr>
                <w:rFonts w:ascii="Times New Roman" w:hAnsi="Times New Roman"/>
                <w:color w:val="000000" w:themeColor="text1"/>
                <w:sz w:val="24"/>
                <w:szCs w:val="24"/>
              </w:rPr>
              <w:t>..........</w:t>
            </w:r>
          </w:p>
        </w:tc>
        <w:tc>
          <w:tcPr>
            <w:tcW w:w="708" w:type="dxa"/>
          </w:tcPr>
          <w:p w:rsidR="00407F7F" w:rsidRPr="00BA4235" w:rsidRDefault="00A50908" w:rsidP="007B25CF">
            <w:pPr>
              <w:spacing w:before="240" w:line="240" w:lineRule="auto"/>
              <w:rPr>
                <w:rFonts w:ascii="Times New Roman" w:hAnsi="Times New Roman"/>
                <w:sz w:val="24"/>
                <w:szCs w:val="24"/>
              </w:rPr>
            </w:pPr>
            <w:r>
              <w:rPr>
                <w:rFonts w:ascii="Times New Roman" w:hAnsi="Times New Roman"/>
                <w:sz w:val="24"/>
                <w:szCs w:val="24"/>
              </w:rPr>
              <w:t>248</w:t>
            </w:r>
          </w:p>
        </w:tc>
      </w:tr>
      <w:tr w:rsidR="00407F7F" w:rsidTr="00FF213F">
        <w:tc>
          <w:tcPr>
            <w:tcW w:w="1526" w:type="dxa"/>
          </w:tcPr>
          <w:p w:rsidR="00407F7F" w:rsidRPr="003A1DD2" w:rsidRDefault="00407F7F" w:rsidP="00407F7F">
            <w:pPr>
              <w:jc w:val="both"/>
              <w:rPr>
                <w:rFonts w:ascii="Times New Roman" w:hAnsi="Times New Roman"/>
                <w:color w:val="000000" w:themeColor="text1"/>
                <w:sz w:val="24"/>
                <w:szCs w:val="24"/>
              </w:rPr>
            </w:pPr>
            <w:r w:rsidRPr="003A1DD2">
              <w:rPr>
                <w:rFonts w:ascii="Times New Roman" w:hAnsi="Times New Roman"/>
                <w:color w:val="000000" w:themeColor="text1"/>
                <w:sz w:val="24"/>
                <w:szCs w:val="24"/>
              </w:rPr>
              <w:t>Quadro 3.3</w:t>
            </w:r>
          </w:p>
        </w:tc>
        <w:tc>
          <w:tcPr>
            <w:tcW w:w="6521" w:type="dxa"/>
          </w:tcPr>
          <w:p w:rsidR="00407F7F" w:rsidRPr="003A1DD2" w:rsidRDefault="00407F7F" w:rsidP="007A48DD">
            <w:pPr>
              <w:spacing w:after="120" w:line="240" w:lineRule="auto"/>
              <w:rPr>
                <w:rFonts w:ascii="Times New Roman" w:hAnsi="Times New Roman"/>
                <w:color w:val="000000" w:themeColor="text1"/>
                <w:sz w:val="24"/>
                <w:szCs w:val="24"/>
              </w:rPr>
            </w:pPr>
            <w:r w:rsidRPr="003A1DD2">
              <w:rPr>
                <w:rFonts w:ascii="Times New Roman" w:hAnsi="Times New Roman"/>
                <w:color w:val="000000" w:themeColor="text1"/>
                <w:sz w:val="24"/>
                <w:szCs w:val="24"/>
              </w:rPr>
              <w:t xml:space="preserve">As diretrizes estratégicas da AND </w:t>
            </w:r>
            <w:r w:rsidR="007A48DD">
              <w:rPr>
                <w:rFonts w:ascii="Times New Roman" w:hAnsi="Times New Roman"/>
                <w:color w:val="000000" w:themeColor="text1"/>
                <w:sz w:val="24"/>
                <w:szCs w:val="24"/>
              </w:rPr>
              <w:t>ante</w:t>
            </w:r>
            <w:r w:rsidRPr="003A1DD2">
              <w:rPr>
                <w:rFonts w:ascii="Times New Roman" w:hAnsi="Times New Roman"/>
                <w:color w:val="000000" w:themeColor="text1"/>
                <w:sz w:val="24"/>
                <w:szCs w:val="24"/>
              </w:rPr>
              <w:t xml:space="preserve"> aos objetivos a serem alcançados..................................................................................</w:t>
            </w:r>
            <w:r w:rsidR="007B25CF">
              <w:rPr>
                <w:rFonts w:ascii="Times New Roman" w:hAnsi="Times New Roman"/>
                <w:color w:val="000000" w:themeColor="text1"/>
                <w:sz w:val="24"/>
                <w:szCs w:val="24"/>
              </w:rPr>
              <w:t>.....</w:t>
            </w:r>
          </w:p>
        </w:tc>
        <w:tc>
          <w:tcPr>
            <w:tcW w:w="708" w:type="dxa"/>
          </w:tcPr>
          <w:p w:rsidR="00407F7F" w:rsidRPr="00BA4235" w:rsidRDefault="00A50908" w:rsidP="007B25CF">
            <w:pPr>
              <w:spacing w:before="240" w:line="240" w:lineRule="auto"/>
              <w:rPr>
                <w:rFonts w:ascii="Times New Roman" w:hAnsi="Times New Roman"/>
                <w:sz w:val="24"/>
                <w:szCs w:val="24"/>
              </w:rPr>
            </w:pPr>
            <w:r>
              <w:rPr>
                <w:rFonts w:ascii="Times New Roman" w:hAnsi="Times New Roman"/>
                <w:sz w:val="24"/>
                <w:szCs w:val="24"/>
              </w:rPr>
              <w:t>25</w:t>
            </w:r>
            <w:r w:rsidR="00407F7F">
              <w:rPr>
                <w:rFonts w:ascii="Times New Roman" w:hAnsi="Times New Roman"/>
                <w:sz w:val="24"/>
                <w:szCs w:val="24"/>
              </w:rPr>
              <w:t>1</w:t>
            </w:r>
          </w:p>
        </w:tc>
      </w:tr>
      <w:tr w:rsidR="00407F7F" w:rsidTr="00FF213F">
        <w:tc>
          <w:tcPr>
            <w:tcW w:w="1526" w:type="dxa"/>
          </w:tcPr>
          <w:p w:rsidR="00407F7F" w:rsidRPr="003A1DD2" w:rsidRDefault="00407F7F" w:rsidP="00407F7F">
            <w:pPr>
              <w:jc w:val="both"/>
              <w:rPr>
                <w:rFonts w:ascii="Times New Roman" w:hAnsi="Times New Roman"/>
                <w:color w:val="000000" w:themeColor="text1"/>
                <w:sz w:val="24"/>
                <w:szCs w:val="24"/>
              </w:rPr>
            </w:pPr>
            <w:r w:rsidRPr="003A1DD2">
              <w:rPr>
                <w:rFonts w:ascii="Times New Roman" w:hAnsi="Times New Roman"/>
                <w:color w:val="000000" w:themeColor="text1"/>
                <w:sz w:val="24"/>
                <w:szCs w:val="24"/>
              </w:rPr>
              <w:t>Quadro 3.4</w:t>
            </w:r>
          </w:p>
        </w:tc>
        <w:tc>
          <w:tcPr>
            <w:tcW w:w="6521" w:type="dxa"/>
          </w:tcPr>
          <w:p w:rsidR="00407F7F" w:rsidRPr="003A1DD2" w:rsidRDefault="00407F7F" w:rsidP="007B25CF">
            <w:pPr>
              <w:spacing w:line="240" w:lineRule="auto"/>
              <w:rPr>
                <w:rFonts w:ascii="Times New Roman" w:hAnsi="Times New Roman"/>
                <w:color w:val="000000" w:themeColor="text1"/>
                <w:sz w:val="24"/>
                <w:szCs w:val="24"/>
              </w:rPr>
            </w:pPr>
            <w:r w:rsidRPr="003A1DD2">
              <w:rPr>
                <w:rFonts w:ascii="Times New Roman" w:hAnsi="Times New Roman"/>
                <w:color w:val="000000" w:themeColor="text1"/>
                <w:sz w:val="24"/>
                <w:szCs w:val="24"/>
              </w:rPr>
              <w:t>Comparação entre a segunda diretriz do objetivo IV da AND e as propostas do documento da FIEP..........................................</w:t>
            </w:r>
            <w:r w:rsidR="007B25CF">
              <w:rPr>
                <w:rFonts w:ascii="Times New Roman" w:hAnsi="Times New Roman"/>
                <w:color w:val="000000" w:themeColor="text1"/>
                <w:sz w:val="24"/>
                <w:szCs w:val="24"/>
              </w:rPr>
              <w:t>.........</w:t>
            </w:r>
          </w:p>
        </w:tc>
        <w:tc>
          <w:tcPr>
            <w:tcW w:w="708" w:type="dxa"/>
          </w:tcPr>
          <w:p w:rsidR="00407F7F" w:rsidRPr="00BA4235" w:rsidRDefault="00A50908" w:rsidP="007B25CF">
            <w:pPr>
              <w:spacing w:before="240" w:line="240" w:lineRule="auto"/>
              <w:rPr>
                <w:rFonts w:ascii="Times New Roman" w:hAnsi="Times New Roman"/>
                <w:sz w:val="24"/>
                <w:szCs w:val="24"/>
              </w:rPr>
            </w:pPr>
            <w:r>
              <w:rPr>
                <w:rFonts w:ascii="Times New Roman" w:hAnsi="Times New Roman"/>
                <w:sz w:val="24"/>
                <w:szCs w:val="24"/>
              </w:rPr>
              <w:t>254</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3.5</w:t>
            </w:r>
          </w:p>
        </w:tc>
        <w:tc>
          <w:tcPr>
            <w:tcW w:w="6521" w:type="dxa"/>
          </w:tcPr>
          <w:p w:rsidR="00240964" w:rsidRDefault="00407F7F" w:rsidP="00240964">
            <w:pPr>
              <w:spacing w:after="0" w:line="240" w:lineRule="auto"/>
              <w:rPr>
                <w:rFonts w:ascii="Times New Roman" w:hAnsi="Times New Roman"/>
                <w:sz w:val="24"/>
                <w:szCs w:val="24"/>
              </w:rPr>
            </w:pPr>
            <w:r w:rsidRPr="00CB57BF">
              <w:rPr>
                <w:rFonts w:ascii="Times New Roman" w:hAnsi="Times New Roman"/>
                <w:sz w:val="24"/>
                <w:szCs w:val="24"/>
              </w:rPr>
              <w:t xml:space="preserve">Os Enunciados Estratégicos para o Desenvolvimento </w:t>
            </w:r>
            <w:r w:rsidR="00E769DE">
              <w:rPr>
                <w:rFonts w:ascii="Times New Roman" w:hAnsi="Times New Roman"/>
                <w:sz w:val="24"/>
                <w:szCs w:val="24"/>
              </w:rPr>
              <w:t>ante a</w:t>
            </w:r>
            <w:r w:rsidRPr="00CB57BF">
              <w:rPr>
                <w:rFonts w:ascii="Times New Roman" w:hAnsi="Times New Roman"/>
                <w:sz w:val="24"/>
                <w:szCs w:val="24"/>
              </w:rPr>
              <w:t>s</w:t>
            </w:r>
          </w:p>
          <w:p w:rsidR="00407F7F" w:rsidRPr="00BA4235" w:rsidRDefault="00407F7F" w:rsidP="00240964">
            <w:pPr>
              <w:spacing w:after="0" w:line="240" w:lineRule="auto"/>
              <w:rPr>
                <w:rFonts w:ascii="Times New Roman" w:hAnsi="Times New Roman"/>
                <w:sz w:val="24"/>
                <w:szCs w:val="24"/>
              </w:rPr>
            </w:pPr>
            <w:r w:rsidRPr="00CB57BF">
              <w:rPr>
                <w:rFonts w:ascii="Times New Roman" w:hAnsi="Times New Roman"/>
                <w:sz w:val="24"/>
                <w:szCs w:val="24"/>
              </w:rPr>
              <w:t>Diretrizes Estratégicas da AND</w:t>
            </w:r>
            <w:r w:rsidR="00240964">
              <w:rPr>
                <w:rFonts w:ascii="Times New Roman" w:hAnsi="Times New Roman"/>
                <w:sz w:val="24"/>
                <w:szCs w:val="24"/>
              </w:rPr>
              <w:t xml:space="preserve"> .....................................................</w:t>
            </w:r>
          </w:p>
        </w:tc>
        <w:tc>
          <w:tcPr>
            <w:tcW w:w="708" w:type="dxa"/>
          </w:tcPr>
          <w:p w:rsidR="00407F7F" w:rsidRPr="00BA4235" w:rsidRDefault="00E769DE" w:rsidP="00240964">
            <w:pPr>
              <w:spacing w:before="240" w:line="240" w:lineRule="auto"/>
              <w:rPr>
                <w:rFonts w:ascii="Times New Roman" w:hAnsi="Times New Roman"/>
                <w:sz w:val="24"/>
                <w:szCs w:val="24"/>
              </w:rPr>
            </w:pPr>
            <w:r>
              <w:rPr>
                <w:rFonts w:ascii="Times New Roman" w:hAnsi="Times New Roman"/>
                <w:sz w:val="24"/>
                <w:szCs w:val="24"/>
              </w:rPr>
              <w:t>266</w:t>
            </w:r>
          </w:p>
        </w:tc>
      </w:tr>
      <w:tr w:rsidR="00407F7F" w:rsidTr="00FF213F">
        <w:tc>
          <w:tcPr>
            <w:tcW w:w="1526" w:type="dxa"/>
          </w:tcPr>
          <w:p w:rsidR="00407F7F" w:rsidRPr="003A1DD2" w:rsidRDefault="00407F7F" w:rsidP="00407F7F">
            <w:pPr>
              <w:jc w:val="both"/>
              <w:rPr>
                <w:rFonts w:ascii="Times New Roman" w:hAnsi="Times New Roman"/>
                <w:color w:val="000000" w:themeColor="text1"/>
                <w:sz w:val="24"/>
                <w:szCs w:val="24"/>
              </w:rPr>
            </w:pPr>
            <w:r w:rsidRPr="003A1DD2">
              <w:rPr>
                <w:rFonts w:ascii="Times New Roman" w:hAnsi="Times New Roman"/>
                <w:color w:val="000000" w:themeColor="text1"/>
                <w:sz w:val="24"/>
                <w:szCs w:val="24"/>
              </w:rPr>
              <w:t xml:space="preserve">Quadro </w:t>
            </w:r>
            <w:r>
              <w:rPr>
                <w:rFonts w:ascii="Times New Roman" w:hAnsi="Times New Roman"/>
                <w:color w:val="000000" w:themeColor="text1"/>
                <w:sz w:val="24"/>
                <w:szCs w:val="24"/>
              </w:rPr>
              <w:t>4.1</w:t>
            </w:r>
          </w:p>
        </w:tc>
        <w:tc>
          <w:tcPr>
            <w:tcW w:w="6521" w:type="dxa"/>
          </w:tcPr>
          <w:p w:rsidR="005F3433" w:rsidRDefault="00407F7F" w:rsidP="005F3433">
            <w:pPr>
              <w:spacing w:after="0" w:line="240" w:lineRule="auto"/>
              <w:rPr>
                <w:rFonts w:ascii="Times New Roman" w:eastAsia="Times New Roman" w:hAnsi="Times New Roman"/>
                <w:sz w:val="24"/>
                <w:szCs w:val="24"/>
              </w:rPr>
            </w:pPr>
            <w:r w:rsidRPr="00CB57BF">
              <w:rPr>
                <w:rFonts w:ascii="Times New Roman" w:eastAsia="Times New Roman" w:hAnsi="Times New Roman"/>
                <w:sz w:val="24"/>
                <w:szCs w:val="24"/>
              </w:rPr>
              <w:t>Eventos de monitoramento e discussões acerca da crise econômica promovidos pelo GACE/CDES ou em parceria</w:t>
            </w:r>
          </w:p>
          <w:p w:rsidR="00407F7F" w:rsidRPr="003A1DD2" w:rsidRDefault="00407F7F" w:rsidP="005F3433">
            <w:pPr>
              <w:spacing w:after="0" w:line="240" w:lineRule="auto"/>
              <w:rPr>
                <w:rFonts w:ascii="Times New Roman" w:hAnsi="Times New Roman"/>
                <w:color w:val="000000" w:themeColor="text1"/>
                <w:sz w:val="24"/>
                <w:szCs w:val="24"/>
              </w:rPr>
            </w:pPr>
            <w:r w:rsidRPr="00CB57BF">
              <w:rPr>
                <w:rFonts w:ascii="Times New Roman" w:eastAsia="Times New Roman" w:hAnsi="Times New Roman"/>
                <w:sz w:val="24"/>
                <w:szCs w:val="24"/>
              </w:rPr>
              <w:t>(2008-2009)</w:t>
            </w:r>
            <w:r>
              <w:rPr>
                <w:rFonts w:ascii="Times New Roman" w:eastAsia="Times New Roman" w:hAnsi="Times New Roman"/>
                <w:sz w:val="24"/>
                <w:szCs w:val="24"/>
              </w:rPr>
              <w:t>.....</w:t>
            </w:r>
            <w:r w:rsidRPr="003A1DD2">
              <w:rPr>
                <w:rFonts w:ascii="Times New Roman" w:hAnsi="Times New Roman"/>
                <w:color w:val="000000" w:themeColor="text1"/>
                <w:sz w:val="24"/>
                <w:szCs w:val="24"/>
              </w:rPr>
              <w:t>...........................................................................</w:t>
            </w:r>
            <w:r w:rsidR="005F3433">
              <w:rPr>
                <w:rFonts w:ascii="Times New Roman" w:hAnsi="Times New Roman"/>
                <w:color w:val="000000" w:themeColor="text1"/>
                <w:sz w:val="24"/>
                <w:szCs w:val="24"/>
              </w:rPr>
              <w:t>.....</w:t>
            </w:r>
          </w:p>
        </w:tc>
        <w:tc>
          <w:tcPr>
            <w:tcW w:w="708" w:type="dxa"/>
          </w:tcPr>
          <w:p w:rsidR="00407F7F" w:rsidRDefault="00407F7F" w:rsidP="007B25CF">
            <w:pPr>
              <w:spacing w:line="240" w:lineRule="auto"/>
              <w:rPr>
                <w:rFonts w:ascii="Times New Roman" w:hAnsi="Times New Roman"/>
                <w:sz w:val="24"/>
                <w:szCs w:val="24"/>
              </w:rPr>
            </w:pPr>
          </w:p>
          <w:p w:rsidR="00407F7F" w:rsidRPr="00BA4235" w:rsidRDefault="00E769DE" w:rsidP="00E769DE">
            <w:pPr>
              <w:spacing w:before="240" w:line="240" w:lineRule="auto"/>
              <w:rPr>
                <w:rFonts w:ascii="Times New Roman" w:hAnsi="Times New Roman"/>
                <w:sz w:val="24"/>
                <w:szCs w:val="24"/>
              </w:rPr>
            </w:pPr>
            <w:r>
              <w:rPr>
                <w:rFonts w:ascii="Times New Roman" w:hAnsi="Times New Roman"/>
                <w:sz w:val="24"/>
                <w:szCs w:val="24"/>
              </w:rPr>
              <w:t>295</w:t>
            </w:r>
          </w:p>
        </w:tc>
      </w:tr>
      <w:tr w:rsidR="00407F7F" w:rsidTr="00FF213F">
        <w:tc>
          <w:tcPr>
            <w:tcW w:w="1526" w:type="dxa"/>
          </w:tcPr>
          <w:p w:rsidR="00407F7F" w:rsidRPr="003A1DD2" w:rsidRDefault="00407F7F" w:rsidP="00407F7F">
            <w:pPr>
              <w:jc w:val="both"/>
              <w:rPr>
                <w:rFonts w:ascii="Times New Roman" w:hAnsi="Times New Roman"/>
                <w:color w:val="000000" w:themeColor="text1"/>
                <w:sz w:val="24"/>
                <w:szCs w:val="24"/>
              </w:rPr>
            </w:pPr>
            <w:r w:rsidRPr="003A1DD2">
              <w:rPr>
                <w:rFonts w:ascii="Times New Roman" w:hAnsi="Times New Roman"/>
                <w:color w:val="000000" w:themeColor="text1"/>
                <w:sz w:val="24"/>
                <w:szCs w:val="24"/>
              </w:rPr>
              <w:t xml:space="preserve">Quadro </w:t>
            </w:r>
            <w:r>
              <w:rPr>
                <w:rFonts w:ascii="Times New Roman" w:hAnsi="Times New Roman"/>
                <w:color w:val="000000" w:themeColor="text1"/>
                <w:sz w:val="24"/>
                <w:szCs w:val="24"/>
              </w:rPr>
              <w:t>4.2</w:t>
            </w:r>
          </w:p>
        </w:tc>
        <w:tc>
          <w:tcPr>
            <w:tcW w:w="6521" w:type="dxa"/>
          </w:tcPr>
          <w:p w:rsidR="00407F7F" w:rsidRPr="003A1DD2" w:rsidRDefault="00407F7F" w:rsidP="005F3433">
            <w:pPr>
              <w:spacing w:line="240" w:lineRule="auto"/>
              <w:rPr>
                <w:rFonts w:ascii="Times New Roman" w:hAnsi="Times New Roman"/>
                <w:color w:val="000000" w:themeColor="text1"/>
                <w:sz w:val="24"/>
                <w:szCs w:val="24"/>
              </w:rPr>
            </w:pPr>
            <w:r w:rsidRPr="00CB57BF">
              <w:rPr>
                <w:rFonts w:ascii="Times New Roman" w:hAnsi="Times New Roman"/>
                <w:sz w:val="24"/>
                <w:szCs w:val="24"/>
              </w:rPr>
              <w:t>Conselheiros que mais se envolveram nos debates sobre a crise econômica no CDES</w:t>
            </w:r>
            <w:r>
              <w:rPr>
                <w:rFonts w:ascii="Times New Roman" w:hAnsi="Times New Roman"/>
                <w:sz w:val="24"/>
                <w:szCs w:val="24"/>
              </w:rPr>
              <w:t>................</w:t>
            </w:r>
            <w:r w:rsidRPr="003A1DD2">
              <w:rPr>
                <w:rFonts w:ascii="Times New Roman" w:hAnsi="Times New Roman"/>
                <w:color w:val="000000" w:themeColor="text1"/>
                <w:sz w:val="24"/>
                <w:szCs w:val="24"/>
              </w:rPr>
              <w:t>..........................................</w:t>
            </w:r>
            <w:r w:rsidR="005F3433">
              <w:rPr>
                <w:rFonts w:ascii="Times New Roman" w:hAnsi="Times New Roman"/>
                <w:color w:val="000000" w:themeColor="text1"/>
                <w:sz w:val="24"/>
                <w:szCs w:val="24"/>
              </w:rPr>
              <w:t>.............</w:t>
            </w:r>
          </w:p>
        </w:tc>
        <w:tc>
          <w:tcPr>
            <w:tcW w:w="708" w:type="dxa"/>
          </w:tcPr>
          <w:p w:rsidR="00407F7F" w:rsidRDefault="00407F7F" w:rsidP="005F3433">
            <w:pPr>
              <w:spacing w:after="0" w:line="240" w:lineRule="auto"/>
              <w:rPr>
                <w:rFonts w:ascii="Times New Roman" w:hAnsi="Times New Roman"/>
                <w:sz w:val="24"/>
                <w:szCs w:val="24"/>
              </w:rPr>
            </w:pPr>
          </w:p>
          <w:p w:rsidR="00407F7F" w:rsidRPr="00BA4235" w:rsidRDefault="00E769DE" w:rsidP="007B25CF">
            <w:pPr>
              <w:spacing w:line="240" w:lineRule="auto"/>
              <w:rPr>
                <w:rFonts w:ascii="Times New Roman" w:hAnsi="Times New Roman"/>
                <w:sz w:val="24"/>
                <w:szCs w:val="24"/>
              </w:rPr>
            </w:pPr>
            <w:r>
              <w:rPr>
                <w:rFonts w:ascii="Times New Roman" w:hAnsi="Times New Roman"/>
                <w:sz w:val="24"/>
                <w:szCs w:val="24"/>
              </w:rPr>
              <w:t>295</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4.3</w:t>
            </w:r>
          </w:p>
        </w:tc>
        <w:tc>
          <w:tcPr>
            <w:tcW w:w="6521" w:type="dxa"/>
          </w:tcPr>
          <w:p w:rsidR="00407F7F" w:rsidRPr="00BA4235" w:rsidRDefault="00407F7F" w:rsidP="005F3433">
            <w:pPr>
              <w:spacing w:line="240" w:lineRule="auto"/>
              <w:rPr>
                <w:rFonts w:ascii="Times New Roman" w:hAnsi="Times New Roman"/>
                <w:sz w:val="24"/>
                <w:szCs w:val="24"/>
              </w:rPr>
            </w:pPr>
            <w:r w:rsidRPr="00CB57BF">
              <w:rPr>
                <w:rFonts w:ascii="Times New Roman" w:hAnsi="Times New Roman"/>
                <w:sz w:val="24"/>
                <w:szCs w:val="24"/>
              </w:rPr>
              <w:t>Eventos promovidos pelo CDES em 2009 para o debate da crise econômica</w:t>
            </w:r>
            <w:r>
              <w:rPr>
                <w:rFonts w:ascii="Times New Roman" w:hAnsi="Times New Roman"/>
                <w:sz w:val="24"/>
                <w:szCs w:val="24"/>
              </w:rPr>
              <w:t>..........................................................................</w:t>
            </w:r>
            <w:r w:rsidR="005F3433">
              <w:rPr>
                <w:rFonts w:ascii="Times New Roman" w:hAnsi="Times New Roman"/>
                <w:sz w:val="24"/>
                <w:szCs w:val="24"/>
              </w:rPr>
              <w:t>.............</w:t>
            </w:r>
          </w:p>
        </w:tc>
        <w:tc>
          <w:tcPr>
            <w:tcW w:w="708" w:type="dxa"/>
          </w:tcPr>
          <w:p w:rsidR="00407F7F" w:rsidRDefault="00407F7F" w:rsidP="005F3433">
            <w:pPr>
              <w:spacing w:after="0" w:line="240" w:lineRule="auto"/>
              <w:rPr>
                <w:rFonts w:ascii="Times New Roman" w:hAnsi="Times New Roman"/>
                <w:sz w:val="24"/>
                <w:szCs w:val="24"/>
              </w:rPr>
            </w:pPr>
          </w:p>
          <w:p w:rsidR="00407F7F" w:rsidRPr="00BA4235" w:rsidRDefault="00E769DE" w:rsidP="007B25CF">
            <w:pPr>
              <w:spacing w:line="240" w:lineRule="auto"/>
              <w:rPr>
                <w:rFonts w:ascii="Times New Roman" w:hAnsi="Times New Roman"/>
                <w:sz w:val="24"/>
                <w:szCs w:val="24"/>
              </w:rPr>
            </w:pPr>
            <w:r>
              <w:rPr>
                <w:rFonts w:ascii="Times New Roman" w:hAnsi="Times New Roman"/>
                <w:sz w:val="24"/>
                <w:szCs w:val="24"/>
              </w:rPr>
              <w:t>307</w:t>
            </w:r>
          </w:p>
        </w:tc>
      </w:tr>
      <w:tr w:rsidR="00407F7F" w:rsidTr="00FF213F">
        <w:tc>
          <w:tcPr>
            <w:tcW w:w="1526"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Quadro 4.4</w:t>
            </w:r>
          </w:p>
        </w:tc>
        <w:tc>
          <w:tcPr>
            <w:tcW w:w="6521" w:type="dxa"/>
          </w:tcPr>
          <w:p w:rsidR="00407F7F" w:rsidRPr="00BA4235" w:rsidRDefault="00407F7F" w:rsidP="005F3433">
            <w:pPr>
              <w:spacing w:after="0" w:line="240" w:lineRule="auto"/>
              <w:rPr>
                <w:rFonts w:ascii="Times New Roman" w:hAnsi="Times New Roman"/>
                <w:sz w:val="24"/>
                <w:szCs w:val="24"/>
              </w:rPr>
            </w:pPr>
            <w:r w:rsidRPr="00CB57BF">
              <w:rPr>
                <w:rFonts w:ascii="Times New Roman" w:hAnsi="Times New Roman"/>
                <w:sz w:val="24"/>
                <w:szCs w:val="24"/>
              </w:rPr>
              <w:t>Empresários participantes do CDES e do GAC (MF) e suas vin</w:t>
            </w:r>
            <w:r w:rsidR="005F3433">
              <w:rPr>
                <w:rFonts w:ascii="Times New Roman" w:hAnsi="Times New Roman"/>
                <w:sz w:val="24"/>
                <w:szCs w:val="24"/>
              </w:rPr>
              <w:t>-</w:t>
            </w:r>
            <w:r w:rsidRPr="00CB57BF">
              <w:rPr>
                <w:rFonts w:ascii="Times New Roman" w:hAnsi="Times New Roman"/>
                <w:sz w:val="24"/>
                <w:szCs w:val="24"/>
              </w:rPr>
              <w:t>culações com demais agências do Estado restrito(2003-</w:t>
            </w:r>
            <w:r w:rsidR="005F3433">
              <w:rPr>
                <w:rFonts w:ascii="Times New Roman" w:hAnsi="Times New Roman"/>
                <w:sz w:val="24"/>
                <w:szCs w:val="24"/>
              </w:rPr>
              <w:t>2</w:t>
            </w:r>
            <w:r w:rsidRPr="00CB57BF">
              <w:rPr>
                <w:rFonts w:ascii="Times New Roman" w:hAnsi="Times New Roman"/>
                <w:sz w:val="24"/>
                <w:szCs w:val="24"/>
              </w:rPr>
              <w:t>010)</w:t>
            </w:r>
            <w:r w:rsidR="005F3433">
              <w:rPr>
                <w:rFonts w:ascii="Times New Roman" w:hAnsi="Times New Roman"/>
                <w:sz w:val="24"/>
                <w:szCs w:val="24"/>
              </w:rPr>
              <w:t>......</w:t>
            </w:r>
          </w:p>
        </w:tc>
        <w:tc>
          <w:tcPr>
            <w:tcW w:w="708" w:type="dxa"/>
          </w:tcPr>
          <w:p w:rsidR="00407F7F" w:rsidRPr="00BA4235" w:rsidRDefault="00E769DE" w:rsidP="005F3433">
            <w:pPr>
              <w:spacing w:before="240" w:line="240" w:lineRule="auto"/>
              <w:rPr>
                <w:rFonts w:ascii="Times New Roman" w:hAnsi="Times New Roman"/>
                <w:sz w:val="24"/>
                <w:szCs w:val="24"/>
              </w:rPr>
            </w:pPr>
            <w:r>
              <w:rPr>
                <w:rFonts w:ascii="Times New Roman" w:hAnsi="Times New Roman"/>
                <w:sz w:val="24"/>
                <w:szCs w:val="24"/>
              </w:rPr>
              <w:t>323</w:t>
            </w:r>
          </w:p>
        </w:tc>
      </w:tr>
    </w:tbl>
    <w:p w:rsidR="00407F7F" w:rsidRDefault="00407F7F" w:rsidP="00407F7F">
      <w:pPr>
        <w:spacing w:after="0"/>
        <w:jc w:val="both"/>
        <w:rPr>
          <w:rFonts w:ascii="Times New Roman" w:hAnsi="Times New Roman"/>
          <w:b/>
          <w:sz w:val="24"/>
          <w:szCs w:val="24"/>
        </w:rPr>
      </w:pPr>
    </w:p>
    <w:p w:rsidR="00407F7F" w:rsidRPr="00E82287" w:rsidRDefault="00407F7F" w:rsidP="00407F7F">
      <w:pPr>
        <w:spacing w:after="0"/>
        <w:jc w:val="both"/>
        <w:rPr>
          <w:rFonts w:ascii="Times New Roman" w:hAnsi="Times New Roman"/>
          <w:b/>
          <w:sz w:val="24"/>
          <w:szCs w:val="24"/>
        </w:rPr>
      </w:pPr>
    </w:p>
    <w:p w:rsidR="00407F7F" w:rsidRPr="003F2E78" w:rsidRDefault="00407F7F" w:rsidP="00407F7F">
      <w:pPr>
        <w:spacing w:after="0"/>
        <w:jc w:val="center"/>
        <w:rPr>
          <w:rFonts w:ascii="Times New Roman" w:hAnsi="Times New Roman"/>
          <w:b/>
          <w:sz w:val="24"/>
          <w:szCs w:val="24"/>
        </w:rPr>
      </w:pPr>
      <w:r w:rsidRPr="003F2E78">
        <w:rPr>
          <w:rFonts w:ascii="Times New Roman" w:hAnsi="Times New Roman"/>
          <w:b/>
          <w:sz w:val="24"/>
          <w:szCs w:val="24"/>
        </w:rPr>
        <w:t>LISTA DE TABELAS</w:t>
      </w:r>
    </w:p>
    <w:p w:rsidR="00407F7F" w:rsidRPr="004939B2" w:rsidRDefault="00407F7F" w:rsidP="00407F7F">
      <w:pPr>
        <w:spacing w:after="120"/>
        <w:jc w:val="center"/>
        <w:rPr>
          <w:rFonts w:ascii="Times New Roman" w:hAnsi="Times New Roman"/>
          <w:sz w:val="24"/>
          <w:szCs w:val="24"/>
        </w:rPr>
      </w:pPr>
    </w:p>
    <w:tbl>
      <w:tblPr>
        <w:tblStyle w:val="Tabelacomgrade"/>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42"/>
        <w:gridCol w:w="6804"/>
        <w:gridCol w:w="709"/>
      </w:tblGrid>
      <w:tr w:rsidR="00407F7F" w:rsidTr="00F46595">
        <w:tc>
          <w:tcPr>
            <w:tcW w:w="1242" w:type="dxa"/>
          </w:tcPr>
          <w:p w:rsidR="00407F7F" w:rsidRPr="00BA4235" w:rsidRDefault="00407F7F" w:rsidP="00407F7F">
            <w:pPr>
              <w:jc w:val="both"/>
              <w:rPr>
                <w:rFonts w:ascii="Times New Roman" w:hAnsi="Times New Roman"/>
                <w:sz w:val="24"/>
                <w:szCs w:val="24"/>
              </w:rPr>
            </w:pPr>
            <w:r w:rsidRPr="00BA4235">
              <w:rPr>
                <w:rFonts w:ascii="Times New Roman" w:hAnsi="Times New Roman"/>
                <w:sz w:val="24"/>
                <w:szCs w:val="24"/>
              </w:rPr>
              <w:t>Tabela 1.1</w:t>
            </w:r>
          </w:p>
        </w:tc>
        <w:tc>
          <w:tcPr>
            <w:tcW w:w="6804" w:type="dxa"/>
          </w:tcPr>
          <w:p w:rsidR="00407F7F" w:rsidRPr="00BA4235" w:rsidRDefault="00407F7F" w:rsidP="005F3433">
            <w:pPr>
              <w:spacing w:after="0" w:line="240" w:lineRule="auto"/>
              <w:rPr>
                <w:rFonts w:ascii="Times New Roman" w:hAnsi="Times New Roman"/>
                <w:sz w:val="24"/>
                <w:szCs w:val="24"/>
              </w:rPr>
            </w:pPr>
            <w:r w:rsidRPr="00883B00">
              <w:rPr>
                <w:rFonts w:ascii="Times New Roman" w:hAnsi="Times New Roman"/>
                <w:sz w:val="24"/>
                <w:szCs w:val="24"/>
              </w:rPr>
              <w:t>Distribuição dos Conselheiros segundo Regiões e Estados (composição em 2003)</w:t>
            </w:r>
            <w:r>
              <w:rPr>
                <w:rFonts w:ascii="Times New Roman" w:hAnsi="Times New Roman"/>
                <w:sz w:val="24"/>
                <w:szCs w:val="24"/>
              </w:rPr>
              <w:t>.....................................................................</w:t>
            </w:r>
            <w:r w:rsidR="00F46595">
              <w:rPr>
                <w:rFonts w:ascii="Times New Roman" w:hAnsi="Times New Roman"/>
                <w:sz w:val="24"/>
                <w:szCs w:val="24"/>
              </w:rPr>
              <w:t>...</w:t>
            </w:r>
            <w:r>
              <w:rPr>
                <w:rFonts w:ascii="Times New Roman" w:hAnsi="Times New Roman"/>
                <w:sz w:val="24"/>
                <w:szCs w:val="24"/>
              </w:rPr>
              <w:t>.</w:t>
            </w:r>
          </w:p>
        </w:tc>
        <w:tc>
          <w:tcPr>
            <w:tcW w:w="709" w:type="dxa"/>
          </w:tcPr>
          <w:p w:rsidR="00407F7F" w:rsidRPr="00BA4235" w:rsidRDefault="00E769DE" w:rsidP="005F3433">
            <w:pPr>
              <w:spacing w:before="240" w:line="240" w:lineRule="auto"/>
              <w:rPr>
                <w:rFonts w:ascii="Times New Roman" w:hAnsi="Times New Roman"/>
                <w:sz w:val="24"/>
                <w:szCs w:val="24"/>
              </w:rPr>
            </w:pPr>
            <w:r>
              <w:rPr>
                <w:rFonts w:ascii="Times New Roman" w:hAnsi="Times New Roman"/>
                <w:sz w:val="24"/>
                <w:szCs w:val="24"/>
              </w:rPr>
              <w:t>033</w:t>
            </w:r>
          </w:p>
        </w:tc>
      </w:tr>
      <w:tr w:rsidR="00407F7F" w:rsidTr="00F46595">
        <w:tc>
          <w:tcPr>
            <w:tcW w:w="1242" w:type="dxa"/>
          </w:tcPr>
          <w:p w:rsidR="00407F7F" w:rsidRPr="00BA4235" w:rsidRDefault="00407F7F" w:rsidP="00407F7F">
            <w:pPr>
              <w:jc w:val="both"/>
              <w:rPr>
                <w:rFonts w:ascii="Times New Roman" w:hAnsi="Times New Roman"/>
                <w:sz w:val="24"/>
                <w:szCs w:val="24"/>
              </w:rPr>
            </w:pPr>
            <w:r w:rsidRPr="00BA4235">
              <w:rPr>
                <w:rFonts w:ascii="Times New Roman" w:hAnsi="Times New Roman"/>
                <w:sz w:val="24"/>
                <w:szCs w:val="24"/>
              </w:rPr>
              <w:t>Tabela 1.</w:t>
            </w:r>
            <w:r>
              <w:rPr>
                <w:rFonts w:ascii="Times New Roman" w:hAnsi="Times New Roman"/>
                <w:sz w:val="24"/>
                <w:szCs w:val="24"/>
              </w:rPr>
              <w:t>2</w:t>
            </w:r>
          </w:p>
        </w:tc>
        <w:tc>
          <w:tcPr>
            <w:tcW w:w="6804" w:type="dxa"/>
          </w:tcPr>
          <w:p w:rsidR="00407F7F" w:rsidRPr="00BA4235" w:rsidRDefault="00407F7F" w:rsidP="005F3433">
            <w:pPr>
              <w:spacing w:after="120" w:line="240" w:lineRule="auto"/>
              <w:rPr>
                <w:rFonts w:ascii="Times New Roman" w:hAnsi="Times New Roman"/>
                <w:sz w:val="24"/>
                <w:szCs w:val="24"/>
              </w:rPr>
            </w:pPr>
            <w:r w:rsidRPr="00883B00">
              <w:rPr>
                <w:rFonts w:ascii="Times New Roman" w:hAnsi="Times New Roman"/>
                <w:sz w:val="24"/>
                <w:szCs w:val="24"/>
              </w:rPr>
              <w:t>Grupos Temáticos e de Acompanhamento criados pelo CDES entre 2003 e 2010</w:t>
            </w:r>
            <w:r>
              <w:rPr>
                <w:rFonts w:ascii="Times New Roman" w:hAnsi="Times New Roman"/>
                <w:sz w:val="24"/>
                <w:szCs w:val="24"/>
              </w:rPr>
              <w:t>..............................................................................</w:t>
            </w:r>
            <w:r w:rsidR="00E769DE">
              <w:rPr>
                <w:rFonts w:ascii="Times New Roman" w:hAnsi="Times New Roman"/>
                <w:sz w:val="24"/>
                <w:szCs w:val="24"/>
              </w:rPr>
              <w:t>............</w:t>
            </w:r>
          </w:p>
        </w:tc>
        <w:tc>
          <w:tcPr>
            <w:tcW w:w="709" w:type="dxa"/>
          </w:tcPr>
          <w:p w:rsidR="00407F7F" w:rsidRPr="00BA4235" w:rsidRDefault="00E769DE" w:rsidP="005F3433">
            <w:pPr>
              <w:spacing w:before="240"/>
              <w:rPr>
                <w:rFonts w:ascii="Times New Roman" w:hAnsi="Times New Roman"/>
                <w:sz w:val="24"/>
                <w:szCs w:val="24"/>
              </w:rPr>
            </w:pPr>
            <w:r>
              <w:rPr>
                <w:rFonts w:ascii="Times New Roman" w:hAnsi="Times New Roman"/>
                <w:sz w:val="24"/>
                <w:szCs w:val="24"/>
              </w:rPr>
              <w:t>057</w:t>
            </w:r>
          </w:p>
        </w:tc>
      </w:tr>
      <w:tr w:rsidR="00407F7F" w:rsidTr="00F46595">
        <w:tc>
          <w:tcPr>
            <w:tcW w:w="1242"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Tabela 2</w:t>
            </w:r>
            <w:r w:rsidRPr="00BA4235">
              <w:rPr>
                <w:rFonts w:ascii="Times New Roman" w:hAnsi="Times New Roman"/>
                <w:sz w:val="24"/>
                <w:szCs w:val="24"/>
              </w:rPr>
              <w:t>.1</w:t>
            </w:r>
          </w:p>
        </w:tc>
        <w:tc>
          <w:tcPr>
            <w:tcW w:w="6804" w:type="dxa"/>
          </w:tcPr>
          <w:p w:rsidR="00407F7F" w:rsidRPr="00BA4235" w:rsidRDefault="00407F7F" w:rsidP="005F3433">
            <w:pPr>
              <w:spacing w:after="120" w:line="240" w:lineRule="auto"/>
              <w:rPr>
                <w:rFonts w:ascii="Times New Roman" w:hAnsi="Times New Roman"/>
                <w:sz w:val="24"/>
                <w:szCs w:val="24"/>
              </w:rPr>
            </w:pPr>
            <w:r w:rsidRPr="00883B00">
              <w:rPr>
                <w:rFonts w:ascii="Times New Roman" w:hAnsi="Times New Roman"/>
                <w:sz w:val="24"/>
                <w:szCs w:val="24"/>
              </w:rPr>
              <w:t>Evolução relativa dos Grupos Econômicos e Firmas no CDES por atividade principal (2003-2010)</w:t>
            </w:r>
            <w:r>
              <w:rPr>
                <w:rFonts w:ascii="Times New Roman" w:hAnsi="Times New Roman"/>
                <w:sz w:val="24"/>
                <w:szCs w:val="24"/>
              </w:rPr>
              <w:t xml:space="preserve"> ...........................................</w:t>
            </w:r>
            <w:r w:rsidR="00E769DE">
              <w:rPr>
                <w:rFonts w:ascii="Times New Roman" w:hAnsi="Times New Roman"/>
                <w:sz w:val="24"/>
                <w:szCs w:val="24"/>
              </w:rPr>
              <w:t>..</w:t>
            </w:r>
            <w:r>
              <w:rPr>
                <w:rFonts w:ascii="Times New Roman" w:hAnsi="Times New Roman"/>
                <w:sz w:val="24"/>
                <w:szCs w:val="24"/>
              </w:rPr>
              <w:t>............</w:t>
            </w:r>
          </w:p>
        </w:tc>
        <w:tc>
          <w:tcPr>
            <w:tcW w:w="709" w:type="dxa"/>
          </w:tcPr>
          <w:p w:rsidR="00407F7F" w:rsidRPr="00BA4235" w:rsidRDefault="00407F7F" w:rsidP="00E769DE">
            <w:pPr>
              <w:spacing w:before="240"/>
              <w:rPr>
                <w:rFonts w:ascii="Times New Roman" w:hAnsi="Times New Roman"/>
                <w:sz w:val="24"/>
                <w:szCs w:val="24"/>
              </w:rPr>
            </w:pPr>
            <w:r>
              <w:rPr>
                <w:rFonts w:ascii="Times New Roman" w:hAnsi="Times New Roman"/>
                <w:sz w:val="24"/>
                <w:szCs w:val="24"/>
              </w:rPr>
              <w:t>1</w:t>
            </w:r>
            <w:r w:rsidR="00E769DE">
              <w:rPr>
                <w:rFonts w:ascii="Times New Roman" w:hAnsi="Times New Roman"/>
                <w:sz w:val="24"/>
                <w:szCs w:val="24"/>
              </w:rPr>
              <w:t>0</w:t>
            </w:r>
            <w:r>
              <w:rPr>
                <w:rFonts w:ascii="Times New Roman" w:hAnsi="Times New Roman"/>
                <w:sz w:val="24"/>
                <w:szCs w:val="24"/>
              </w:rPr>
              <w:t>1</w:t>
            </w:r>
          </w:p>
        </w:tc>
      </w:tr>
      <w:tr w:rsidR="00407F7F" w:rsidTr="00F46595">
        <w:tc>
          <w:tcPr>
            <w:tcW w:w="1242" w:type="dxa"/>
          </w:tcPr>
          <w:p w:rsidR="00407F7F" w:rsidRPr="00BA4235" w:rsidRDefault="00407F7F" w:rsidP="00407F7F">
            <w:pPr>
              <w:jc w:val="both"/>
              <w:rPr>
                <w:rFonts w:ascii="Times New Roman" w:hAnsi="Times New Roman"/>
                <w:sz w:val="24"/>
                <w:szCs w:val="24"/>
              </w:rPr>
            </w:pPr>
            <w:r w:rsidRPr="00BA4235">
              <w:rPr>
                <w:rFonts w:ascii="Times New Roman" w:hAnsi="Times New Roman"/>
                <w:sz w:val="24"/>
                <w:szCs w:val="24"/>
              </w:rPr>
              <w:t xml:space="preserve">Tabela </w:t>
            </w:r>
            <w:r>
              <w:rPr>
                <w:rFonts w:ascii="Times New Roman" w:hAnsi="Times New Roman"/>
                <w:sz w:val="24"/>
                <w:szCs w:val="24"/>
              </w:rPr>
              <w:t>2.</w:t>
            </w:r>
            <w:r w:rsidR="003044EA">
              <w:rPr>
                <w:rFonts w:ascii="Times New Roman" w:hAnsi="Times New Roman"/>
                <w:sz w:val="24"/>
                <w:szCs w:val="24"/>
              </w:rPr>
              <w:t>2</w:t>
            </w:r>
          </w:p>
        </w:tc>
        <w:tc>
          <w:tcPr>
            <w:tcW w:w="6804" w:type="dxa"/>
          </w:tcPr>
          <w:p w:rsidR="00407F7F" w:rsidRPr="00BA4235" w:rsidRDefault="00407F7F" w:rsidP="00F46595">
            <w:pPr>
              <w:spacing w:after="120" w:line="240" w:lineRule="auto"/>
              <w:rPr>
                <w:rFonts w:ascii="Times New Roman" w:hAnsi="Times New Roman"/>
                <w:sz w:val="24"/>
                <w:szCs w:val="24"/>
              </w:rPr>
            </w:pPr>
            <w:r w:rsidRPr="00883B00">
              <w:rPr>
                <w:rFonts w:ascii="Times New Roman" w:hAnsi="Times New Roman"/>
                <w:sz w:val="24"/>
                <w:szCs w:val="24"/>
              </w:rPr>
              <w:t>Os 20 maiores doadores da campanha de reeleição de Lula em 2006</w:t>
            </w:r>
          </w:p>
        </w:tc>
        <w:tc>
          <w:tcPr>
            <w:tcW w:w="709" w:type="dxa"/>
          </w:tcPr>
          <w:p w:rsidR="00407F7F" w:rsidRPr="00BA4235" w:rsidRDefault="00407F7F" w:rsidP="00E769DE">
            <w:pPr>
              <w:spacing w:line="240" w:lineRule="auto"/>
              <w:rPr>
                <w:rFonts w:ascii="Times New Roman" w:hAnsi="Times New Roman"/>
                <w:sz w:val="24"/>
                <w:szCs w:val="24"/>
              </w:rPr>
            </w:pPr>
            <w:r>
              <w:rPr>
                <w:rFonts w:ascii="Times New Roman" w:hAnsi="Times New Roman"/>
                <w:sz w:val="24"/>
                <w:szCs w:val="24"/>
              </w:rPr>
              <w:t>1</w:t>
            </w:r>
            <w:r w:rsidR="00E769DE">
              <w:rPr>
                <w:rFonts w:ascii="Times New Roman" w:hAnsi="Times New Roman"/>
                <w:sz w:val="24"/>
                <w:szCs w:val="24"/>
              </w:rPr>
              <w:t>55</w:t>
            </w:r>
          </w:p>
        </w:tc>
      </w:tr>
      <w:tr w:rsidR="00407F7F" w:rsidTr="00F46595">
        <w:tc>
          <w:tcPr>
            <w:tcW w:w="1242" w:type="dxa"/>
          </w:tcPr>
          <w:p w:rsidR="00407F7F" w:rsidRPr="00BA4235" w:rsidRDefault="00407F7F" w:rsidP="00407F7F">
            <w:pPr>
              <w:jc w:val="both"/>
              <w:rPr>
                <w:rFonts w:ascii="Times New Roman" w:hAnsi="Times New Roman"/>
                <w:sz w:val="24"/>
                <w:szCs w:val="24"/>
              </w:rPr>
            </w:pPr>
            <w:r w:rsidRPr="00BA4235">
              <w:rPr>
                <w:rFonts w:ascii="Times New Roman" w:hAnsi="Times New Roman"/>
                <w:sz w:val="24"/>
                <w:szCs w:val="24"/>
              </w:rPr>
              <w:t xml:space="preserve">Tabela </w:t>
            </w:r>
            <w:r>
              <w:rPr>
                <w:rFonts w:ascii="Times New Roman" w:hAnsi="Times New Roman"/>
                <w:sz w:val="24"/>
                <w:szCs w:val="24"/>
              </w:rPr>
              <w:t>2.</w:t>
            </w:r>
            <w:r w:rsidR="003044EA">
              <w:rPr>
                <w:rFonts w:ascii="Times New Roman" w:hAnsi="Times New Roman"/>
                <w:sz w:val="24"/>
                <w:szCs w:val="24"/>
              </w:rPr>
              <w:t>3</w:t>
            </w:r>
          </w:p>
        </w:tc>
        <w:tc>
          <w:tcPr>
            <w:tcW w:w="6804" w:type="dxa"/>
          </w:tcPr>
          <w:p w:rsidR="00407F7F" w:rsidRPr="00BA4235" w:rsidRDefault="00407F7F" w:rsidP="005F3433">
            <w:pPr>
              <w:spacing w:after="0" w:line="240" w:lineRule="auto"/>
              <w:rPr>
                <w:rFonts w:ascii="Times New Roman" w:hAnsi="Times New Roman"/>
                <w:sz w:val="24"/>
                <w:szCs w:val="24"/>
              </w:rPr>
            </w:pPr>
            <w:r w:rsidRPr="00883B00">
              <w:rPr>
                <w:rFonts w:ascii="Times New Roman" w:hAnsi="Times New Roman"/>
                <w:sz w:val="24"/>
                <w:szCs w:val="24"/>
              </w:rPr>
              <w:t>Ranking 2004 de Grupos Econômicos representados no CDES (ano base 2003)</w:t>
            </w:r>
            <w:r>
              <w:rPr>
                <w:rFonts w:ascii="Times New Roman" w:hAnsi="Times New Roman"/>
                <w:sz w:val="24"/>
                <w:szCs w:val="24"/>
              </w:rPr>
              <w:t>.................................................................................</w:t>
            </w:r>
            <w:r w:rsidR="00F46595">
              <w:rPr>
                <w:rFonts w:ascii="Times New Roman" w:hAnsi="Times New Roman"/>
                <w:sz w:val="24"/>
                <w:szCs w:val="24"/>
              </w:rPr>
              <w:t>..........</w:t>
            </w:r>
          </w:p>
        </w:tc>
        <w:tc>
          <w:tcPr>
            <w:tcW w:w="709" w:type="dxa"/>
          </w:tcPr>
          <w:p w:rsidR="00407F7F" w:rsidRPr="00BA4235" w:rsidRDefault="00407F7F" w:rsidP="00E769DE">
            <w:pPr>
              <w:spacing w:before="240"/>
              <w:rPr>
                <w:rFonts w:ascii="Times New Roman" w:hAnsi="Times New Roman"/>
                <w:sz w:val="24"/>
                <w:szCs w:val="24"/>
              </w:rPr>
            </w:pPr>
            <w:r>
              <w:rPr>
                <w:rFonts w:ascii="Times New Roman" w:hAnsi="Times New Roman"/>
                <w:sz w:val="24"/>
                <w:szCs w:val="24"/>
              </w:rPr>
              <w:t>1</w:t>
            </w:r>
            <w:r w:rsidR="00E769DE">
              <w:rPr>
                <w:rFonts w:ascii="Times New Roman" w:hAnsi="Times New Roman"/>
                <w:sz w:val="24"/>
                <w:szCs w:val="24"/>
              </w:rPr>
              <w:t>56</w:t>
            </w:r>
          </w:p>
        </w:tc>
      </w:tr>
      <w:tr w:rsidR="00407F7F" w:rsidTr="00F46595">
        <w:tc>
          <w:tcPr>
            <w:tcW w:w="1242"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Tabela 4</w:t>
            </w:r>
            <w:r w:rsidRPr="00BA4235">
              <w:rPr>
                <w:rFonts w:ascii="Times New Roman" w:hAnsi="Times New Roman"/>
                <w:sz w:val="24"/>
                <w:szCs w:val="24"/>
              </w:rPr>
              <w:t>.1</w:t>
            </w:r>
          </w:p>
        </w:tc>
        <w:tc>
          <w:tcPr>
            <w:tcW w:w="6804" w:type="dxa"/>
          </w:tcPr>
          <w:p w:rsidR="00407F7F" w:rsidRPr="00BA4235" w:rsidRDefault="00407F7F" w:rsidP="005F3433">
            <w:pPr>
              <w:spacing w:after="0" w:line="240" w:lineRule="auto"/>
              <w:rPr>
                <w:rFonts w:ascii="Times New Roman" w:hAnsi="Times New Roman"/>
                <w:sz w:val="24"/>
                <w:szCs w:val="24"/>
              </w:rPr>
            </w:pPr>
            <w:r w:rsidRPr="00883B00">
              <w:rPr>
                <w:rFonts w:ascii="Times New Roman" w:hAnsi="Times New Roman"/>
                <w:sz w:val="24"/>
                <w:szCs w:val="24"/>
              </w:rPr>
              <w:t>Desonerações tributárias no segundo governo Lula da Silva (valores em R$ milhões)</w:t>
            </w:r>
            <w:r>
              <w:rPr>
                <w:rFonts w:ascii="Times New Roman" w:hAnsi="Times New Roman"/>
                <w:sz w:val="24"/>
                <w:szCs w:val="24"/>
              </w:rPr>
              <w:t xml:space="preserve"> ...................................................................</w:t>
            </w:r>
            <w:r w:rsidR="00F46595">
              <w:rPr>
                <w:rFonts w:ascii="Times New Roman" w:hAnsi="Times New Roman"/>
                <w:sz w:val="24"/>
                <w:szCs w:val="24"/>
              </w:rPr>
              <w:t>................</w:t>
            </w:r>
          </w:p>
        </w:tc>
        <w:tc>
          <w:tcPr>
            <w:tcW w:w="709" w:type="dxa"/>
          </w:tcPr>
          <w:p w:rsidR="00407F7F" w:rsidRPr="00BA4235" w:rsidRDefault="00E769DE" w:rsidP="005F3433">
            <w:pPr>
              <w:spacing w:before="240"/>
              <w:rPr>
                <w:rFonts w:ascii="Times New Roman" w:hAnsi="Times New Roman"/>
                <w:sz w:val="24"/>
                <w:szCs w:val="24"/>
              </w:rPr>
            </w:pPr>
            <w:r>
              <w:rPr>
                <w:rFonts w:ascii="Times New Roman" w:hAnsi="Times New Roman"/>
                <w:sz w:val="24"/>
                <w:szCs w:val="24"/>
              </w:rPr>
              <w:t>316</w:t>
            </w:r>
          </w:p>
        </w:tc>
      </w:tr>
    </w:tbl>
    <w:p w:rsidR="00407F7F" w:rsidRDefault="00407F7F" w:rsidP="00407F7F">
      <w:pPr>
        <w:spacing w:after="120"/>
        <w:jc w:val="center"/>
        <w:rPr>
          <w:rFonts w:ascii="Times New Roman" w:hAnsi="Times New Roman"/>
          <w:sz w:val="24"/>
          <w:szCs w:val="24"/>
        </w:rPr>
      </w:pPr>
    </w:p>
    <w:p w:rsidR="00407F7F" w:rsidRPr="003F2E78" w:rsidRDefault="00407F7F" w:rsidP="00407F7F">
      <w:pPr>
        <w:spacing w:after="0"/>
        <w:jc w:val="center"/>
        <w:rPr>
          <w:rFonts w:ascii="Times New Roman" w:hAnsi="Times New Roman"/>
          <w:b/>
          <w:sz w:val="24"/>
          <w:szCs w:val="24"/>
        </w:rPr>
      </w:pPr>
      <w:r w:rsidRPr="003F2E78">
        <w:rPr>
          <w:rFonts w:ascii="Times New Roman" w:hAnsi="Times New Roman"/>
          <w:b/>
          <w:sz w:val="24"/>
          <w:szCs w:val="24"/>
        </w:rPr>
        <w:t>LISTA DE GRÁFICOS</w:t>
      </w:r>
    </w:p>
    <w:p w:rsidR="00407F7F" w:rsidRPr="004939B2" w:rsidRDefault="00407F7F" w:rsidP="00407F7F">
      <w:pPr>
        <w:spacing w:after="120"/>
        <w:jc w:val="center"/>
        <w:rPr>
          <w:rFonts w:ascii="Times New Roman" w:hAnsi="Times New Roman"/>
          <w:sz w:val="24"/>
          <w:szCs w:val="24"/>
        </w:rPr>
      </w:pPr>
    </w:p>
    <w:tbl>
      <w:tblPr>
        <w:tblStyle w:val="Tabelacomgrade"/>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84"/>
        <w:gridCol w:w="6662"/>
        <w:gridCol w:w="709"/>
      </w:tblGrid>
      <w:tr w:rsidR="00407F7F" w:rsidTr="00F46595">
        <w:tc>
          <w:tcPr>
            <w:tcW w:w="1384"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Gráfico 2</w:t>
            </w:r>
            <w:r w:rsidRPr="00BA4235">
              <w:rPr>
                <w:rFonts w:ascii="Times New Roman" w:hAnsi="Times New Roman"/>
                <w:sz w:val="24"/>
                <w:szCs w:val="24"/>
              </w:rPr>
              <w:t>.1</w:t>
            </w:r>
          </w:p>
        </w:tc>
        <w:tc>
          <w:tcPr>
            <w:tcW w:w="6662" w:type="dxa"/>
          </w:tcPr>
          <w:p w:rsidR="00407F7F" w:rsidRPr="00BA4235" w:rsidRDefault="00407F7F" w:rsidP="005F3433">
            <w:pPr>
              <w:spacing w:after="120" w:line="240" w:lineRule="auto"/>
              <w:rPr>
                <w:rFonts w:ascii="Times New Roman" w:hAnsi="Times New Roman"/>
                <w:sz w:val="24"/>
                <w:szCs w:val="24"/>
              </w:rPr>
            </w:pPr>
            <w:r w:rsidRPr="00CB57BF">
              <w:rPr>
                <w:rFonts w:ascii="Times New Roman" w:hAnsi="Times New Roman"/>
                <w:bCs/>
                <w:sz w:val="24"/>
                <w:szCs w:val="24"/>
              </w:rPr>
              <w:t>Evolução relativa de conselheiros segundo setores sociais (2003-2010)</w:t>
            </w:r>
            <w:r>
              <w:rPr>
                <w:rFonts w:ascii="Times New Roman" w:hAnsi="Times New Roman"/>
                <w:sz w:val="24"/>
                <w:szCs w:val="24"/>
              </w:rPr>
              <w:t>..............................................................................................</w:t>
            </w:r>
            <w:r w:rsidR="00240964">
              <w:rPr>
                <w:rFonts w:ascii="Times New Roman" w:hAnsi="Times New Roman"/>
                <w:sz w:val="24"/>
                <w:szCs w:val="24"/>
              </w:rPr>
              <w:t>...</w:t>
            </w:r>
          </w:p>
        </w:tc>
        <w:tc>
          <w:tcPr>
            <w:tcW w:w="709" w:type="dxa"/>
          </w:tcPr>
          <w:p w:rsidR="00407F7F" w:rsidRPr="00BA4235" w:rsidRDefault="00240964" w:rsidP="005F3433">
            <w:pPr>
              <w:spacing w:before="240"/>
              <w:rPr>
                <w:rFonts w:ascii="Times New Roman" w:hAnsi="Times New Roman"/>
                <w:sz w:val="24"/>
                <w:szCs w:val="24"/>
              </w:rPr>
            </w:pPr>
            <w:r>
              <w:rPr>
                <w:rFonts w:ascii="Times New Roman" w:hAnsi="Times New Roman"/>
                <w:sz w:val="24"/>
                <w:szCs w:val="24"/>
              </w:rPr>
              <w:t>088</w:t>
            </w:r>
          </w:p>
        </w:tc>
      </w:tr>
      <w:tr w:rsidR="00407F7F" w:rsidTr="00F46595">
        <w:tc>
          <w:tcPr>
            <w:tcW w:w="1384"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Gráfico 2</w:t>
            </w:r>
            <w:r w:rsidRPr="00BA4235">
              <w:rPr>
                <w:rFonts w:ascii="Times New Roman" w:hAnsi="Times New Roman"/>
                <w:sz w:val="24"/>
                <w:szCs w:val="24"/>
              </w:rPr>
              <w:t>.</w:t>
            </w:r>
            <w:r>
              <w:rPr>
                <w:rFonts w:ascii="Times New Roman" w:hAnsi="Times New Roman"/>
                <w:sz w:val="24"/>
                <w:szCs w:val="24"/>
              </w:rPr>
              <w:t>2</w:t>
            </w:r>
          </w:p>
        </w:tc>
        <w:tc>
          <w:tcPr>
            <w:tcW w:w="6662" w:type="dxa"/>
          </w:tcPr>
          <w:p w:rsidR="00407F7F" w:rsidRPr="00BA4235" w:rsidRDefault="00407F7F" w:rsidP="005F3433">
            <w:pPr>
              <w:spacing w:after="120" w:line="240" w:lineRule="auto"/>
              <w:rPr>
                <w:rFonts w:ascii="Times New Roman" w:hAnsi="Times New Roman"/>
                <w:sz w:val="24"/>
                <w:szCs w:val="24"/>
              </w:rPr>
            </w:pPr>
            <w:r w:rsidRPr="00CB57BF">
              <w:rPr>
                <w:rFonts w:ascii="Times New Roman" w:hAnsi="Times New Roman"/>
                <w:bCs/>
                <w:sz w:val="24"/>
                <w:szCs w:val="24"/>
              </w:rPr>
              <w:t>Evolução numérica absoluta de conselheiros segundo setores sociais (2003-2010)</w:t>
            </w:r>
            <w:r>
              <w:rPr>
                <w:rFonts w:ascii="Times New Roman" w:hAnsi="Times New Roman"/>
                <w:bCs/>
                <w:sz w:val="24"/>
                <w:szCs w:val="24"/>
              </w:rPr>
              <w:t>..</w:t>
            </w:r>
            <w:r>
              <w:rPr>
                <w:rFonts w:ascii="Times New Roman" w:hAnsi="Times New Roman"/>
                <w:sz w:val="24"/>
                <w:szCs w:val="24"/>
              </w:rPr>
              <w:t>.......................................................................</w:t>
            </w:r>
          </w:p>
        </w:tc>
        <w:tc>
          <w:tcPr>
            <w:tcW w:w="709" w:type="dxa"/>
          </w:tcPr>
          <w:p w:rsidR="00407F7F" w:rsidRPr="00BA4235" w:rsidRDefault="00240964" w:rsidP="005F3433">
            <w:pPr>
              <w:spacing w:before="240" w:line="240" w:lineRule="auto"/>
              <w:rPr>
                <w:rFonts w:ascii="Times New Roman" w:hAnsi="Times New Roman"/>
                <w:sz w:val="24"/>
                <w:szCs w:val="24"/>
              </w:rPr>
            </w:pPr>
            <w:r>
              <w:rPr>
                <w:rFonts w:ascii="Times New Roman" w:hAnsi="Times New Roman"/>
                <w:sz w:val="24"/>
                <w:szCs w:val="24"/>
              </w:rPr>
              <w:t>092</w:t>
            </w:r>
          </w:p>
        </w:tc>
      </w:tr>
      <w:tr w:rsidR="00407F7F" w:rsidTr="00F46595">
        <w:tc>
          <w:tcPr>
            <w:tcW w:w="1384"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Gráfico 2</w:t>
            </w:r>
            <w:r w:rsidRPr="00BA4235">
              <w:rPr>
                <w:rFonts w:ascii="Times New Roman" w:hAnsi="Times New Roman"/>
                <w:sz w:val="24"/>
                <w:szCs w:val="24"/>
              </w:rPr>
              <w:t>.</w:t>
            </w:r>
            <w:r>
              <w:rPr>
                <w:rFonts w:ascii="Times New Roman" w:hAnsi="Times New Roman"/>
                <w:sz w:val="24"/>
                <w:szCs w:val="24"/>
              </w:rPr>
              <w:t>3</w:t>
            </w:r>
          </w:p>
        </w:tc>
        <w:tc>
          <w:tcPr>
            <w:tcW w:w="6662" w:type="dxa"/>
          </w:tcPr>
          <w:p w:rsidR="00407F7F" w:rsidRPr="00BA4235" w:rsidRDefault="00407F7F" w:rsidP="005F3433">
            <w:pPr>
              <w:spacing w:after="120" w:line="240" w:lineRule="auto"/>
              <w:rPr>
                <w:rFonts w:ascii="Times New Roman" w:hAnsi="Times New Roman"/>
                <w:sz w:val="24"/>
                <w:szCs w:val="24"/>
              </w:rPr>
            </w:pPr>
            <w:r w:rsidRPr="00CB57BF">
              <w:rPr>
                <w:rFonts w:ascii="Times New Roman" w:hAnsi="Times New Roman"/>
                <w:bCs/>
                <w:sz w:val="24"/>
                <w:szCs w:val="24"/>
              </w:rPr>
              <w:t>Média relativa total de conselheiros segundo setores sociais (2003-2010)</w:t>
            </w:r>
            <w:r>
              <w:rPr>
                <w:rFonts w:ascii="Times New Roman" w:hAnsi="Times New Roman"/>
                <w:bCs/>
                <w:sz w:val="24"/>
                <w:szCs w:val="24"/>
              </w:rPr>
              <w:t>.............................</w:t>
            </w:r>
            <w:r>
              <w:rPr>
                <w:rFonts w:ascii="Times New Roman" w:hAnsi="Times New Roman"/>
                <w:sz w:val="24"/>
                <w:szCs w:val="24"/>
              </w:rPr>
              <w:t>.......................................................</w:t>
            </w:r>
            <w:r w:rsidR="00F46595">
              <w:rPr>
                <w:rFonts w:ascii="Times New Roman" w:hAnsi="Times New Roman"/>
                <w:sz w:val="24"/>
                <w:szCs w:val="24"/>
              </w:rPr>
              <w:t>.............</w:t>
            </w:r>
          </w:p>
        </w:tc>
        <w:tc>
          <w:tcPr>
            <w:tcW w:w="709" w:type="dxa"/>
          </w:tcPr>
          <w:p w:rsidR="00407F7F" w:rsidRPr="00BA4235" w:rsidRDefault="00240964" w:rsidP="005F3433">
            <w:pPr>
              <w:spacing w:before="240"/>
              <w:rPr>
                <w:rFonts w:ascii="Times New Roman" w:hAnsi="Times New Roman"/>
                <w:sz w:val="24"/>
                <w:szCs w:val="24"/>
              </w:rPr>
            </w:pPr>
            <w:r>
              <w:rPr>
                <w:rFonts w:ascii="Times New Roman" w:hAnsi="Times New Roman"/>
                <w:sz w:val="24"/>
                <w:szCs w:val="24"/>
              </w:rPr>
              <w:t>093</w:t>
            </w:r>
          </w:p>
        </w:tc>
      </w:tr>
      <w:tr w:rsidR="00407F7F" w:rsidTr="00F46595">
        <w:tc>
          <w:tcPr>
            <w:tcW w:w="1384"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Gráfico2.4</w:t>
            </w:r>
          </w:p>
        </w:tc>
        <w:tc>
          <w:tcPr>
            <w:tcW w:w="6662" w:type="dxa"/>
          </w:tcPr>
          <w:p w:rsidR="00407F7F" w:rsidRPr="00BA4235" w:rsidRDefault="00407F7F" w:rsidP="005F3433">
            <w:pPr>
              <w:spacing w:after="0" w:line="240" w:lineRule="auto"/>
              <w:rPr>
                <w:rFonts w:ascii="Times New Roman" w:hAnsi="Times New Roman"/>
                <w:sz w:val="24"/>
                <w:szCs w:val="24"/>
              </w:rPr>
            </w:pPr>
            <w:r w:rsidRPr="00CB57BF">
              <w:rPr>
                <w:rFonts w:ascii="Times New Roman" w:hAnsi="Times New Roman"/>
                <w:bCs/>
                <w:sz w:val="24"/>
                <w:szCs w:val="24"/>
              </w:rPr>
              <w:t>Variação numérica de Grupos/Firmas no CDES segundo atividade econômica principal (2003-2010)</w:t>
            </w:r>
            <w:r>
              <w:rPr>
                <w:rFonts w:ascii="Times New Roman" w:hAnsi="Times New Roman"/>
                <w:bCs/>
                <w:sz w:val="24"/>
                <w:szCs w:val="24"/>
              </w:rPr>
              <w:t>.</w:t>
            </w:r>
            <w:r>
              <w:rPr>
                <w:rFonts w:ascii="Times New Roman" w:hAnsi="Times New Roman"/>
                <w:sz w:val="24"/>
                <w:szCs w:val="24"/>
              </w:rPr>
              <w:t>.................................</w:t>
            </w:r>
            <w:r w:rsidR="00F46595">
              <w:rPr>
                <w:rFonts w:ascii="Times New Roman" w:hAnsi="Times New Roman"/>
                <w:sz w:val="24"/>
                <w:szCs w:val="24"/>
              </w:rPr>
              <w:t>..................</w:t>
            </w:r>
          </w:p>
        </w:tc>
        <w:tc>
          <w:tcPr>
            <w:tcW w:w="709" w:type="dxa"/>
          </w:tcPr>
          <w:p w:rsidR="00407F7F" w:rsidRPr="00BA4235" w:rsidRDefault="00240964" w:rsidP="005F3433">
            <w:pPr>
              <w:spacing w:before="240"/>
              <w:rPr>
                <w:rFonts w:ascii="Times New Roman" w:hAnsi="Times New Roman"/>
                <w:sz w:val="24"/>
                <w:szCs w:val="24"/>
              </w:rPr>
            </w:pPr>
            <w:r>
              <w:rPr>
                <w:rFonts w:ascii="Times New Roman" w:hAnsi="Times New Roman"/>
                <w:sz w:val="24"/>
                <w:szCs w:val="24"/>
              </w:rPr>
              <w:t>099</w:t>
            </w:r>
          </w:p>
        </w:tc>
      </w:tr>
      <w:tr w:rsidR="00407F7F" w:rsidTr="00F46595">
        <w:tc>
          <w:tcPr>
            <w:tcW w:w="1384"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Gráfico2.5</w:t>
            </w:r>
          </w:p>
        </w:tc>
        <w:tc>
          <w:tcPr>
            <w:tcW w:w="6662" w:type="dxa"/>
          </w:tcPr>
          <w:p w:rsidR="00407F7F" w:rsidRPr="00554C68" w:rsidRDefault="00554C68" w:rsidP="00554C68">
            <w:pPr>
              <w:spacing w:after="0" w:line="240" w:lineRule="auto"/>
              <w:rPr>
                <w:rFonts w:ascii="Times New Roman" w:hAnsi="Times New Roman"/>
                <w:bCs/>
                <w:sz w:val="24"/>
                <w:szCs w:val="24"/>
              </w:rPr>
            </w:pPr>
            <w:r w:rsidRPr="00554C68">
              <w:rPr>
                <w:rFonts w:ascii="Times New Roman" w:hAnsi="Times New Roman"/>
                <w:bCs/>
                <w:sz w:val="24"/>
                <w:szCs w:val="24"/>
              </w:rPr>
              <w:t>Gráfico 2.5 - Distribuição regional das sedes de grupos/firmas e de entidades representadas pelos conselheiros-empresários (2003)</w:t>
            </w:r>
            <w:r>
              <w:rPr>
                <w:rFonts w:ascii="Times New Roman" w:hAnsi="Times New Roman"/>
                <w:bCs/>
                <w:sz w:val="24"/>
                <w:szCs w:val="24"/>
              </w:rPr>
              <w:t xml:space="preserve"> .....</w:t>
            </w:r>
          </w:p>
        </w:tc>
        <w:tc>
          <w:tcPr>
            <w:tcW w:w="709" w:type="dxa"/>
          </w:tcPr>
          <w:p w:rsidR="00407F7F" w:rsidRPr="00BA4235" w:rsidRDefault="00240964" w:rsidP="005F3433">
            <w:pPr>
              <w:spacing w:before="240"/>
              <w:rPr>
                <w:rFonts w:ascii="Times New Roman" w:hAnsi="Times New Roman"/>
                <w:sz w:val="24"/>
                <w:szCs w:val="24"/>
              </w:rPr>
            </w:pPr>
            <w:r>
              <w:rPr>
                <w:rFonts w:ascii="Times New Roman" w:hAnsi="Times New Roman"/>
                <w:sz w:val="24"/>
                <w:szCs w:val="24"/>
              </w:rPr>
              <w:t>154</w:t>
            </w:r>
          </w:p>
        </w:tc>
      </w:tr>
      <w:tr w:rsidR="00407F7F" w:rsidTr="00F46595">
        <w:tc>
          <w:tcPr>
            <w:tcW w:w="1384"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Gráfico 2.6</w:t>
            </w:r>
          </w:p>
        </w:tc>
        <w:tc>
          <w:tcPr>
            <w:tcW w:w="6662" w:type="dxa"/>
          </w:tcPr>
          <w:p w:rsidR="00407F7F" w:rsidRPr="00BA4235" w:rsidRDefault="00407F7F" w:rsidP="00AD43D0">
            <w:pPr>
              <w:spacing w:after="0" w:line="240" w:lineRule="auto"/>
              <w:rPr>
                <w:rFonts w:ascii="Times New Roman" w:hAnsi="Times New Roman"/>
                <w:sz w:val="24"/>
                <w:szCs w:val="24"/>
              </w:rPr>
            </w:pPr>
            <w:r w:rsidRPr="00CB57BF">
              <w:rPr>
                <w:rFonts w:ascii="Times New Roman" w:hAnsi="Times New Roman"/>
                <w:bCs/>
                <w:sz w:val="24"/>
                <w:szCs w:val="24"/>
              </w:rPr>
              <w:t>Média do número de Empresas segundo origem das sedes</w:t>
            </w:r>
            <w:r>
              <w:rPr>
                <w:rFonts w:ascii="Times New Roman" w:hAnsi="Times New Roman"/>
                <w:bCs/>
                <w:sz w:val="24"/>
                <w:szCs w:val="24"/>
              </w:rPr>
              <w:t>..</w:t>
            </w:r>
            <w:r w:rsidR="00AD43D0">
              <w:rPr>
                <w:rFonts w:ascii="Times New Roman" w:hAnsi="Times New Roman"/>
                <w:bCs/>
                <w:sz w:val="24"/>
                <w:szCs w:val="24"/>
              </w:rPr>
              <w:t>........</w:t>
            </w:r>
            <w:r>
              <w:rPr>
                <w:rFonts w:ascii="Times New Roman" w:hAnsi="Times New Roman"/>
                <w:sz w:val="24"/>
                <w:szCs w:val="24"/>
              </w:rPr>
              <w:t>.....</w:t>
            </w:r>
          </w:p>
        </w:tc>
        <w:tc>
          <w:tcPr>
            <w:tcW w:w="709" w:type="dxa"/>
          </w:tcPr>
          <w:p w:rsidR="00407F7F" w:rsidRPr="00BA4235" w:rsidRDefault="00240964" w:rsidP="005F3433">
            <w:pPr>
              <w:rPr>
                <w:rFonts w:ascii="Times New Roman" w:hAnsi="Times New Roman"/>
                <w:sz w:val="24"/>
                <w:szCs w:val="24"/>
              </w:rPr>
            </w:pPr>
            <w:r>
              <w:rPr>
                <w:rFonts w:ascii="Times New Roman" w:hAnsi="Times New Roman"/>
                <w:sz w:val="24"/>
                <w:szCs w:val="24"/>
              </w:rPr>
              <w:t>161</w:t>
            </w:r>
          </w:p>
        </w:tc>
      </w:tr>
      <w:tr w:rsidR="00407F7F" w:rsidTr="00F46595">
        <w:tc>
          <w:tcPr>
            <w:tcW w:w="1384"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Gráfico 2.7</w:t>
            </w:r>
          </w:p>
        </w:tc>
        <w:tc>
          <w:tcPr>
            <w:tcW w:w="6662" w:type="dxa"/>
          </w:tcPr>
          <w:p w:rsidR="00407F7F" w:rsidRPr="00BA4235" w:rsidRDefault="00407F7F" w:rsidP="005F3433">
            <w:pPr>
              <w:spacing w:after="0" w:line="240" w:lineRule="auto"/>
              <w:rPr>
                <w:rFonts w:ascii="Times New Roman" w:hAnsi="Times New Roman"/>
                <w:sz w:val="24"/>
                <w:szCs w:val="24"/>
              </w:rPr>
            </w:pPr>
            <w:r w:rsidRPr="00CB57BF">
              <w:rPr>
                <w:rFonts w:ascii="Times New Roman" w:hAnsi="Times New Roman"/>
                <w:bCs/>
                <w:sz w:val="24"/>
                <w:szCs w:val="24"/>
              </w:rPr>
              <w:t>Evolução numérica absoluta de Empresas Brasileiras e Estrangeiras no CDES</w:t>
            </w:r>
            <w:r>
              <w:rPr>
                <w:rFonts w:ascii="Times New Roman" w:hAnsi="Times New Roman"/>
                <w:bCs/>
                <w:sz w:val="24"/>
                <w:szCs w:val="24"/>
              </w:rPr>
              <w:t>...</w:t>
            </w:r>
            <w:r>
              <w:rPr>
                <w:rFonts w:ascii="Times New Roman" w:hAnsi="Times New Roman"/>
                <w:sz w:val="24"/>
                <w:szCs w:val="24"/>
              </w:rPr>
              <w:t>.............................................................</w:t>
            </w:r>
            <w:r w:rsidR="00240964">
              <w:rPr>
                <w:rFonts w:ascii="Times New Roman" w:hAnsi="Times New Roman"/>
                <w:sz w:val="24"/>
                <w:szCs w:val="24"/>
              </w:rPr>
              <w:t>..</w:t>
            </w:r>
            <w:r>
              <w:rPr>
                <w:rFonts w:ascii="Times New Roman" w:hAnsi="Times New Roman"/>
                <w:sz w:val="24"/>
                <w:szCs w:val="24"/>
              </w:rPr>
              <w:t>.....</w:t>
            </w:r>
          </w:p>
        </w:tc>
        <w:tc>
          <w:tcPr>
            <w:tcW w:w="709" w:type="dxa"/>
          </w:tcPr>
          <w:p w:rsidR="00407F7F" w:rsidRPr="00BA4235" w:rsidRDefault="00240964" w:rsidP="005F3433">
            <w:pPr>
              <w:spacing w:before="240"/>
              <w:rPr>
                <w:rFonts w:ascii="Times New Roman" w:hAnsi="Times New Roman"/>
                <w:sz w:val="24"/>
                <w:szCs w:val="24"/>
              </w:rPr>
            </w:pPr>
            <w:r>
              <w:rPr>
                <w:rFonts w:ascii="Times New Roman" w:hAnsi="Times New Roman"/>
                <w:sz w:val="24"/>
                <w:szCs w:val="24"/>
              </w:rPr>
              <w:t>16</w:t>
            </w:r>
            <w:r w:rsidR="00F6589E">
              <w:rPr>
                <w:rFonts w:ascii="Times New Roman" w:hAnsi="Times New Roman"/>
                <w:sz w:val="24"/>
                <w:szCs w:val="24"/>
              </w:rPr>
              <w:t>3</w:t>
            </w:r>
          </w:p>
        </w:tc>
      </w:tr>
      <w:tr w:rsidR="00407F7F" w:rsidTr="00F46595">
        <w:tc>
          <w:tcPr>
            <w:tcW w:w="1384" w:type="dxa"/>
          </w:tcPr>
          <w:p w:rsidR="00407F7F" w:rsidRPr="00BA4235" w:rsidRDefault="00407F7F" w:rsidP="00407F7F">
            <w:pPr>
              <w:jc w:val="both"/>
              <w:rPr>
                <w:rFonts w:ascii="Times New Roman" w:hAnsi="Times New Roman"/>
                <w:sz w:val="24"/>
                <w:szCs w:val="24"/>
              </w:rPr>
            </w:pPr>
            <w:r>
              <w:rPr>
                <w:rFonts w:ascii="Times New Roman" w:hAnsi="Times New Roman"/>
                <w:sz w:val="24"/>
                <w:szCs w:val="24"/>
              </w:rPr>
              <w:t>Gráfico 2.8</w:t>
            </w:r>
          </w:p>
        </w:tc>
        <w:tc>
          <w:tcPr>
            <w:tcW w:w="6662" w:type="dxa"/>
          </w:tcPr>
          <w:p w:rsidR="00407F7F" w:rsidRPr="00BA4235" w:rsidRDefault="00407F7F" w:rsidP="005F3433">
            <w:pPr>
              <w:spacing w:after="0" w:line="240" w:lineRule="auto"/>
              <w:rPr>
                <w:rFonts w:ascii="Times New Roman" w:hAnsi="Times New Roman"/>
                <w:sz w:val="24"/>
                <w:szCs w:val="24"/>
              </w:rPr>
            </w:pPr>
            <w:r w:rsidRPr="00CB57BF">
              <w:rPr>
                <w:rFonts w:ascii="Times New Roman" w:hAnsi="Times New Roman"/>
                <w:bCs/>
                <w:sz w:val="24"/>
                <w:szCs w:val="24"/>
              </w:rPr>
              <w:t>Transnacionalização dos grupos e firmas presentes no CDES (2003-2010)</w:t>
            </w:r>
            <w:r>
              <w:rPr>
                <w:rFonts w:ascii="Times New Roman" w:hAnsi="Times New Roman"/>
                <w:bCs/>
                <w:sz w:val="24"/>
                <w:szCs w:val="24"/>
              </w:rPr>
              <w:t>...................</w:t>
            </w:r>
            <w:r>
              <w:rPr>
                <w:rFonts w:ascii="Times New Roman" w:hAnsi="Times New Roman"/>
                <w:sz w:val="24"/>
                <w:szCs w:val="24"/>
              </w:rPr>
              <w:t>..................................................................</w:t>
            </w:r>
          </w:p>
        </w:tc>
        <w:tc>
          <w:tcPr>
            <w:tcW w:w="709" w:type="dxa"/>
          </w:tcPr>
          <w:p w:rsidR="00407F7F" w:rsidRPr="00BA4235" w:rsidRDefault="00240964" w:rsidP="005F3433">
            <w:pPr>
              <w:spacing w:before="240"/>
              <w:rPr>
                <w:rFonts w:ascii="Times New Roman" w:hAnsi="Times New Roman"/>
                <w:sz w:val="24"/>
                <w:szCs w:val="24"/>
              </w:rPr>
            </w:pPr>
            <w:r>
              <w:rPr>
                <w:rFonts w:ascii="Times New Roman" w:hAnsi="Times New Roman"/>
                <w:sz w:val="24"/>
                <w:szCs w:val="24"/>
              </w:rPr>
              <w:t>17</w:t>
            </w:r>
            <w:r w:rsidR="00F6589E">
              <w:rPr>
                <w:rFonts w:ascii="Times New Roman" w:hAnsi="Times New Roman"/>
                <w:sz w:val="24"/>
                <w:szCs w:val="24"/>
              </w:rPr>
              <w:t>6</w:t>
            </w:r>
          </w:p>
        </w:tc>
      </w:tr>
      <w:tr w:rsidR="00407F7F" w:rsidTr="00F46595">
        <w:tc>
          <w:tcPr>
            <w:tcW w:w="1384" w:type="dxa"/>
          </w:tcPr>
          <w:p w:rsidR="00407F7F" w:rsidRPr="00BA4235" w:rsidRDefault="00407F7F" w:rsidP="005F3433">
            <w:pPr>
              <w:spacing w:after="0"/>
              <w:jc w:val="both"/>
              <w:rPr>
                <w:rFonts w:ascii="Times New Roman" w:hAnsi="Times New Roman"/>
                <w:sz w:val="24"/>
                <w:szCs w:val="24"/>
              </w:rPr>
            </w:pPr>
            <w:r>
              <w:rPr>
                <w:rFonts w:ascii="Times New Roman" w:hAnsi="Times New Roman"/>
                <w:sz w:val="24"/>
                <w:szCs w:val="24"/>
              </w:rPr>
              <w:t>Gráfico 4.1</w:t>
            </w:r>
          </w:p>
        </w:tc>
        <w:tc>
          <w:tcPr>
            <w:tcW w:w="6662" w:type="dxa"/>
          </w:tcPr>
          <w:p w:rsidR="00407F7F" w:rsidRPr="00BA4235" w:rsidRDefault="00407F7F" w:rsidP="00240964">
            <w:pPr>
              <w:spacing w:line="240" w:lineRule="auto"/>
              <w:rPr>
                <w:rFonts w:ascii="Times New Roman" w:hAnsi="Times New Roman"/>
                <w:sz w:val="24"/>
                <w:szCs w:val="24"/>
              </w:rPr>
            </w:pPr>
            <w:r w:rsidRPr="00CB57BF">
              <w:rPr>
                <w:rFonts w:ascii="Times New Roman" w:hAnsi="Times New Roman"/>
                <w:sz w:val="24"/>
                <w:szCs w:val="24"/>
              </w:rPr>
              <w:t>Evolução dos desembolsos promovidos pelo BNDES (2002-2010)</w:t>
            </w:r>
          </w:p>
        </w:tc>
        <w:tc>
          <w:tcPr>
            <w:tcW w:w="709" w:type="dxa"/>
          </w:tcPr>
          <w:p w:rsidR="00407F7F" w:rsidRPr="00BA4235" w:rsidRDefault="00240964" w:rsidP="005F3433">
            <w:pPr>
              <w:spacing w:after="0"/>
              <w:rPr>
                <w:rFonts w:ascii="Times New Roman" w:hAnsi="Times New Roman"/>
                <w:sz w:val="24"/>
                <w:szCs w:val="24"/>
              </w:rPr>
            </w:pPr>
            <w:r>
              <w:rPr>
                <w:rFonts w:ascii="Times New Roman" w:hAnsi="Times New Roman"/>
                <w:sz w:val="24"/>
                <w:szCs w:val="24"/>
              </w:rPr>
              <w:t>313</w:t>
            </w:r>
          </w:p>
        </w:tc>
      </w:tr>
      <w:tr w:rsidR="00407F7F" w:rsidTr="00F46595">
        <w:tc>
          <w:tcPr>
            <w:tcW w:w="1384" w:type="dxa"/>
          </w:tcPr>
          <w:p w:rsidR="00407F7F" w:rsidRPr="00BA4235" w:rsidRDefault="00407F7F" w:rsidP="005F3433">
            <w:pPr>
              <w:spacing w:after="0"/>
              <w:jc w:val="both"/>
              <w:rPr>
                <w:rFonts w:ascii="Times New Roman" w:hAnsi="Times New Roman"/>
                <w:sz w:val="24"/>
                <w:szCs w:val="24"/>
              </w:rPr>
            </w:pPr>
            <w:r>
              <w:rPr>
                <w:rFonts w:ascii="Times New Roman" w:hAnsi="Times New Roman"/>
                <w:sz w:val="24"/>
                <w:szCs w:val="24"/>
              </w:rPr>
              <w:t>Gráfico 4.2</w:t>
            </w:r>
          </w:p>
        </w:tc>
        <w:tc>
          <w:tcPr>
            <w:tcW w:w="6662" w:type="dxa"/>
          </w:tcPr>
          <w:p w:rsidR="00407F7F" w:rsidRPr="00BA4235" w:rsidRDefault="00407F7F" w:rsidP="00AD43D0">
            <w:pPr>
              <w:spacing w:after="0" w:line="240" w:lineRule="auto"/>
              <w:rPr>
                <w:rFonts w:ascii="Times New Roman" w:hAnsi="Times New Roman"/>
                <w:sz w:val="24"/>
                <w:szCs w:val="24"/>
              </w:rPr>
            </w:pPr>
            <w:r w:rsidRPr="00CB57BF">
              <w:rPr>
                <w:rFonts w:ascii="Times New Roman" w:hAnsi="Times New Roman"/>
                <w:sz w:val="24"/>
                <w:szCs w:val="24"/>
              </w:rPr>
              <w:t>Evolução relativa do crédito bancário no bojo da crise</w:t>
            </w:r>
            <w:r>
              <w:rPr>
                <w:rFonts w:ascii="Times New Roman" w:hAnsi="Times New Roman"/>
                <w:sz w:val="24"/>
                <w:szCs w:val="24"/>
              </w:rPr>
              <w:t>......</w:t>
            </w:r>
            <w:r w:rsidR="00AD43D0">
              <w:rPr>
                <w:rFonts w:ascii="Times New Roman" w:hAnsi="Times New Roman"/>
                <w:sz w:val="24"/>
                <w:szCs w:val="24"/>
              </w:rPr>
              <w:t>..............</w:t>
            </w:r>
          </w:p>
        </w:tc>
        <w:tc>
          <w:tcPr>
            <w:tcW w:w="709" w:type="dxa"/>
          </w:tcPr>
          <w:p w:rsidR="00407F7F" w:rsidRPr="00BA4235" w:rsidRDefault="00240964" w:rsidP="005F3433">
            <w:pPr>
              <w:rPr>
                <w:rFonts w:ascii="Times New Roman" w:hAnsi="Times New Roman"/>
                <w:sz w:val="24"/>
                <w:szCs w:val="24"/>
              </w:rPr>
            </w:pPr>
            <w:r>
              <w:rPr>
                <w:rFonts w:ascii="Times New Roman" w:hAnsi="Times New Roman"/>
                <w:sz w:val="24"/>
                <w:szCs w:val="24"/>
              </w:rPr>
              <w:t>314</w:t>
            </w:r>
          </w:p>
        </w:tc>
      </w:tr>
    </w:tbl>
    <w:p w:rsidR="00407F7F" w:rsidRDefault="00407F7F" w:rsidP="00407F7F">
      <w:pPr>
        <w:spacing w:after="0"/>
        <w:jc w:val="both"/>
        <w:rPr>
          <w:rFonts w:ascii="Times New Roman" w:hAnsi="Times New Roman"/>
          <w:b/>
          <w:sz w:val="24"/>
          <w:szCs w:val="24"/>
        </w:rPr>
      </w:pPr>
    </w:p>
    <w:p w:rsidR="005F3433" w:rsidRDefault="005F3433" w:rsidP="00407F7F">
      <w:pPr>
        <w:spacing w:after="0"/>
        <w:jc w:val="center"/>
        <w:rPr>
          <w:rFonts w:ascii="Times New Roman" w:hAnsi="Times New Roman"/>
          <w:b/>
          <w:sz w:val="24"/>
          <w:szCs w:val="24"/>
        </w:rPr>
      </w:pPr>
    </w:p>
    <w:p w:rsidR="00407F7F" w:rsidRPr="00E82287" w:rsidRDefault="00407F7F" w:rsidP="00407F7F">
      <w:pPr>
        <w:spacing w:after="0"/>
        <w:jc w:val="both"/>
        <w:rPr>
          <w:rFonts w:ascii="Times New Roman" w:hAnsi="Times New Roman"/>
          <w:b/>
          <w:sz w:val="24"/>
          <w:szCs w:val="24"/>
        </w:rPr>
      </w:pPr>
    </w:p>
    <w:p w:rsidR="003D7D4D" w:rsidRDefault="003D7D4D" w:rsidP="005F0283">
      <w:pPr>
        <w:rPr>
          <w:rFonts w:ascii="Times New Roman" w:hAnsi="Times New Roman"/>
          <w:sz w:val="24"/>
          <w:szCs w:val="24"/>
        </w:rPr>
      </w:pPr>
    </w:p>
    <w:p w:rsidR="003D7D4D" w:rsidRDefault="003D7D4D" w:rsidP="005F0283">
      <w:pPr>
        <w:rPr>
          <w:rFonts w:ascii="Times New Roman" w:hAnsi="Times New Roman"/>
          <w:sz w:val="24"/>
          <w:szCs w:val="24"/>
        </w:rPr>
      </w:pPr>
    </w:p>
    <w:p w:rsidR="003D7D4D" w:rsidRDefault="003D7D4D" w:rsidP="005F0283">
      <w:pPr>
        <w:rPr>
          <w:rFonts w:ascii="Times New Roman" w:hAnsi="Times New Roman"/>
          <w:sz w:val="24"/>
          <w:szCs w:val="24"/>
        </w:rPr>
      </w:pPr>
    </w:p>
    <w:p w:rsidR="003D7D4D" w:rsidRDefault="003D7D4D" w:rsidP="005F0283">
      <w:pPr>
        <w:rPr>
          <w:rFonts w:ascii="Times New Roman" w:hAnsi="Times New Roman"/>
          <w:sz w:val="24"/>
          <w:szCs w:val="24"/>
        </w:rPr>
      </w:pPr>
    </w:p>
    <w:p w:rsidR="003D7D4D" w:rsidRDefault="003D7D4D" w:rsidP="005F0283">
      <w:pPr>
        <w:rPr>
          <w:rFonts w:ascii="Times New Roman" w:hAnsi="Times New Roman"/>
          <w:sz w:val="24"/>
          <w:szCs w:val="24"/>
        </w:rPr>
      </w:pPr>
    </w:p>
    <w:p w:rsidR="003D7D4D" w:rsidRDefault="003D7D4D" w:rsidP="005F0283">
      <w:pPr>
        <w:rPr>
          <w:rFonts w:ascii="Times New Roman" w:hAnsi="Times New Roman"/>
          <w:sz w:val="24"/>
          <w:szCs w:val="24"/>
        </w:rPr>
      </w:pPr>
    </w:p>
    <w:p w:rsidR="003D7D4D" w:rsidRDefault="003D7D4D" w:rsidP="005F0283">
      <w:pPr>
        <w:rPr>
          <w:rFonts w:ascii="Times New Roman" w:hAnsi="Times New Roman"/>
          <w:sz w:val="24"/>
          <w:szCs w:val="24"/>
        </w:rPr>
      </w:pPr>
    </w:p>
    <w:p w:rsidR="003D7D4D" w:rsidRDefault="003D7D4D" w:rsidP="005F0283">
      <w:pPr>
        <w:rPr>
          <w:rFonts w:ascii="Times New Roman" w:hAnsi="Times New Roman"/>
          <w:sz w:val="24"/>
          <w:szCs w:val="24"/>
        </w:rPr>
      </w:pPr>
    </w:p>
    <w:p w:rsidR="003D7D4D" w:rsidRDefault="003D7D4D" w:rsidP="005F0283">
      <w:pPr>
        <w:rPr>
          <w:rFonts w:ascii="Times New Roman" w:hAnsi="Times New Roman"/>
          <w:sz w:val="24"/>
          <w:szCs w:val="24"/>
        </w:rPr>
      </w:pPr>
    </w:p>
    <w:p w:rsidR="003D7D4D" w:rsidRDefault="003D7D4D" w:rsidP="005F0283">
      <w:pPr>
        <w:rPr>
          <w:rFonts w:ascii="Times New Roman" w:hAnsi="Times New Roman"/>
          <w:sz w:val="24"/>
          <w:szCs w:val="24"/>
        </w:rPr>
      </w:pPr>
    </w:p>
    <w:p w:rsidR="003D7D4D" w:rsidRDefault="003D7D4D" w:rsidP="005F0283">
      <w:pPr>
        <w:rPr>
          <w:rFonts w:ascii="Times New Roman" w:hAnsi="Times New Roman"/>
          <w:sz w:val="24"/>
          <w:szCs w:val="24"/>
        </w:rPr>
      </w:pPr>
    </w:p>
    <w:p w:rsidR="003D7D4D" w:rsidRDefault="003D7D4D" w:rsidP="005F0283">
      <w:pPr>
        <w:rPr>
          <w:rFonts w:ascii="Times New Roman" w:hAnsi="Times New Roman"/>
          <w:sz w:val="24"/>
          <w:szCs w:val="24"/>
        </w:rPr>
      </w:pPr>
    </w:p>
    <w:p w:rsidR="003D7D4D" w:rsidRDefault="003D7D4D" w:rsidP="005F0283">
      <w:pPr>
        <w:rPr>
          <w:rFonts w:ascii="Times New Roman" w:hAnsi="Times New Roman"/>
          <w:sz w:val="24"/>
          <w:szCs w:val="24"/>
        </w:rPr>
      </w:pPr>
    </w:p>
    <w:p w:rsidR="003D7D4D" w:rsidRDefault="003D7D4D" w:rsidP="005F0283">
      <w:pPr>
        <w:rPr>
          <w:rFonts w:ascii="Times New Roman" w:hAnsi="Times New Roman"/>
          <w:sz w:val="24"/>
          <w:szCs w:val="24"/>
        </w:rPr>
      </w:pPr>
    </w:p>
    <w:p w:rsidR="003D7D4D" w:rsidRDefault="003D7D4D" w:rsidP="005F0283">
      <w:pPr>
        <w:rPr>
          <w:rFonts w:ascii="Times New Roman" w:hAnsi="Times New Roman"/>
          <w:sz w:val="24"/>
          <w:szCs w:val="24"/>
        </w:rPr>
      </w:pPr>
    </w:p>
    <w:p w:rsidR="00AD43D0" w:rsidRDefault="00AD43D0" w:rsidP="005F0283">
      <w:pPr>
        <w:rPr>
          <w:rFonts w:ascii="Times New Roman" w:hAnsi="Times New Roman"/>
          <w:sz w:val="24"/>
          <w:szCs w:val="24"/>
        </w:rPr>
      </w:pPr>
    </w:p>
    <w:p w:rsidR="00240964" w:rsidRDefault="00240964" w:rsidP="005F0283">
      <w:pPr>
        <w:rPr>
          <w:rFonts w:ascii="Times New Roman" w:hAnsi="Times New Roman"/>
          <w:sz w:val="24"/>
          <w:szCs w:val="24"/>
        </w:rPr>
      </w:pPr>
    </w:p>
    <w:p w:rsidR="00AD43D0" w:rsidRDefault="00AD43D0" w:rsidP="005F0283">
      <w:pPr>
        <w:rPr>
          <w:rFonts w:ascii="Times New Roman" w:hAnsi="Times New Roman"/>
          <w:sz w:val="24"/>
          <w:szCs w:val="24"/>
        </w:rPr>
      </w:pPr>
    </w:p>
    <w:p w:rsidR="004E47FC" w:rsidRDefault="004E47FC" w:rsidP="005F0283">
      <w:pPr>
        <w:rPr>
          <w:rFonts w:ascii="Times New Roman" w:hAnsi="Times New Roman"/>
          <w:sz w:val="24"/>
          <w:szCs w:val="24"/>
        </w:rPr>
      </w:pPr>
    </w:p>
    <w:p w:rsidR="003D7D4D" w:rsidRDefault="003D7D4D" w:rsidP="003D7D4D">
      <w:pPr>
        <w:jc w:val="center"/>
        <w:rPr>
          <w:rFonts w:ascii="Times New Roman" w:hAnsi="Times New Roman"/>
          <w:b/>
          <w:sz w:val="24"/>
          <w:szCs w:val="24"/>
        </w:rPr>
      </w:pPr>
      <w:r w:rsidRPr="008F710D">
        <w:rPr>
          <w:rFonts w:ascii="Times New Roman" w:hAnsi="Times New Roman"/>
          <w:b/>
          <w:sz w:val="24"/>
          <w:szCs w:val="24"/>
        </w:rPr>
        <w:t>LISTA DE SIGLAS E ABREVIATURAS</w:t>
      </w:r>
    </w:p>
    <w:p w:rsidR="003D7D4D" w:rsidRPr="008F710D" w:rsidRDefault="003D7D4D" w:rsidP="003D7D4D">
      <w:pPr>
        <w:jc w:val="center"/>
        <w:rPr>
          <w:rFonts w:ascii="Times New Roman" w:hAnsi="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6804"/>
      </w:tblGrid>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ABAD</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Associação Brasileira dos Atacadistas Distribuidores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ABAG</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Associação Brasileira de Agribusiness </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ABBC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Associação Brasileira dos Bancos Comerciais </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ABBI</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Associação Brasileira de Bancos Internacionais </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ABCOOP</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Aliança Brasileira de Cooperativas </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ABDI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Agência Brasileira de Desenvolvimento Industrial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ABDIB</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Brasileira da Infraestrutura e Indústrias de Base</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ABECITRUS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Associação Brasileira dos Exportadores de Cítricos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ABEL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Brasileira de Empresas de Leasing</w:t>
            </w:r>
          </w:p>
        </w:tc>
      </w:tr>
      <w:tr w:rsidR="003D7D4D" w:rsidRPr="008F710D" w:rsidTr="001923EC">
        <w:tc>
          <w:tcPr>
            <w:tcW w:w="1809" w:type="dxa"/>
          </w:tcPr>
          <w:p w:rsidR="003D7D4D" w:rsidRPr="008F710D" w:rsidRDefault="003D7D4D" w:rsidP="001923EC">
            <w:pPr>
              <w:spacing w:after="0" w:line="240" w:lineRule="auto"/>
              <w:rPr>
                <w:rFonts w:ascii="Times New Roman" w:eastAsia="Times New Roman" w:hAnsi="Times New Roman"/>
                <w:color w:val="231F20"/>
                <w:sz w:val="24"/>
                <w:szCs w:val="24"/>
                <w:lang w:val="en-US"/>
              </w:rPr>
            </w:pPr>
            <w:r w:rsidRPr="008F710D">
              <w:rPr>
                <w:rFonts w:ascii="Times New Roman" w:hAnsi="Times New Roman"/>
                <w:sz w:val="24"/>
                <w:szCs w:val="24"/>
                <w:lang w:val="en-US"/>
              </w:rPr>
              <w:t>ABF</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Associação Brasileira de Franchising</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lang w:val="en-US"/>
              </w:rPr>
            </w:pPr>
            <w:r w:rsidRPr="008F710D">
              <w:rPr>
                <w:rFonts w:ascii="Times New Roman" w:hAnsi="Times New Roman"/>
                <w:color w:val="000000"/>
                <w:sz w:val="24"/>
                <w:szCs w:val="24"/>
                <w:lang w:val="en-US"/>
              </w:rPr>
              <w:t>ABIFA</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Brasileira de Fundição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lang w:val="en-US"/>
              </w:rPr>
            </w:pPr>
            <w:r w:rsidRPr="008F710D">
              <w:rPr>
                <w:rFonts w:ascii="Times New Roman" w:hAnsi="Times New Roman"/>
                <w:sz w:val="24"/>
                <w:szCs w:val="24"/>
                <w:lang w:val="en-US"/>
              </w:rPr>
              <w:t xml:space="preserve">ABIGRAF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Brasileira da Indústria Gráfica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ABIMAQ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Brasileira da Indústria de Máquinas e Equipamentos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ABINEE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Brasileira de Indústria Eletroeletrônica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color w:val="000000"/>
                <w:sz w:val="24"/>
                <w:szCs w:val="24"/>
              </w:rPr>
              <w:t>ABINFINA</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Associação Brasileira da Indústria da Química Fina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 xml:space="preserve">ABIQUIM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Associação Brasileira da Indústria Química e Derivados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ABIT</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Brasileira de Indústria Têxtil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ABONG</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heme="minorEastAsia" w:hAnsi="Times New Roman"/>
                <w:sz w:val="24"/>
                <w:szCs w:val="24"/>
              </w:rPr>
              <w:t>Associação Brasileira das ONGs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ABRAD</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Associação Brasileira das Administradoras de Consórcio dos Distribuidores de Veículos Automotores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ABRALIMP</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Brasileira do Mercado de Limpeza Profissional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ABRAMAT</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212121"/>
                <w:sz w:val="24"/>
                <w:szCs w:val="24"/>
              </w:rPr>
              <w:t>Associação Brasileira da Indústria de Materiais de Construção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ABRAS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Brasileira de Supermercados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ABRASCE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Brasileira de Shopping Center</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ABRASCO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Brasileira de Saúde Coletiva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ABRINQ</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Brasileira dos Fabricantes de Brinquedos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ACE</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Acordo Coletivo Especial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ACIUB</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Associação Comercial e Industrial de Uberlândia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ACMinas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Comercial de Minas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ACPA</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Comercial do Pará</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ACREFI</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Nacional das Instituições de Crédito, Financiamento e Investimento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ACRISSUL</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Associação dos criadores do Mato Grosso do Sul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ACRGS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Comercial do Rio Grande do Sul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ACRJ</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Comercial do Rio de Janeiro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ACSP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Comercial de São Paulo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ADVB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dos Dirigentes de Marketing e Vendas do Brasil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AEB</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de Comércio Exterior do Brasil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AICESIS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shd w:val="clear" w:color="auto" w:fill="FFFFFF"/>
              </w:rPr>
              <w:t>Associação Internacional dos Conselhos Econômicos e Sociais e Instituições Similares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ALADDA</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Latino-americana de Distribuidores de Automotores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heme="minorEastAsia" w:hAnsi="Times New Roman"/>
                <w:sz w:val="24"/>
                <w:szCs w:val="24"/>
              </w:rPr>
              <w:t xml:space="preserve">AMB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heme="minorEastAsia" w:hAnsi="Times New Roman"/>
                <w:sz w:val="24"/>
                <w:szCs w:val="24"/>
              </w:rPr>
              <w:t>Associação dos Magistrados Brasileiros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ANAC</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Agência Nacional de Aviação Civil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ANAMACO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Nacional de Comerciantes de Materiais de Construção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ANATEL</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Agência Nacional de Telecomunicações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ANBID</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Nacional dos Bancos de Investimento e Desenvolvimento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ANBIMA</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Brasileira das Entidades dos Mercados Financeiros e de Capitais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ANC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Agenda para um Novo Ciclo de Desenvolvimento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ANCAB</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Nacional das Empresas Concessionárias de Aeroportos Brasileiros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AND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Agenda Nacional de Desenvolvimento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ANDIB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Associação Nacional dos Bancos de Investimento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ANDIMA</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Nacional das Instituições do Mercado Aberto</w:t>
            </w:r>
          </w:p>
        </w:tc>
      </w:tr>
      <w:tr w:rsidR="003D7D4D" w:rsidRPr="008F710D" w:rsidTr="001923EC">
        <w:tc>
          <w:tcPr>
            <w:tcW w:w="1809" w:type="dxa"/>
          </w:tcPr>
          <w:p w:rsidR="003D7D4D" w:rsidRPr="008F710D" w:rsidRDefault="003D7D4D" w:rsidP="001923EC">
            <w:pPr>
              <w:spacing w:after="0" w:line="240" w:lineRule="auto"/>
              <w:rPr>
                <w:rFonts w:ascii="Times New Roman" w:eastAsia="Times New Roman" w:hAnsi="Times New Roman"/>
                <w:color w:val="231F20"/>
                <w:sz w:val="24"/>
                <w:szCs w:val="24"/>
              </w:rPr>
            </w:pPr>
            <w:r w:rsidRPr="008F710D">
              <w:rPr>
                <w:rFonts w:ascii="Times New Roman" w:hAnsi="Times New Roman"/>
                <w:sz w:val="24"/>
                <w:szCs w:val="24"/>
              </w:rPr>
              <w:t>ANEFAC</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Nacional dos Executivos de Finanças, Administração e Contabilidade</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ANFAVEA</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Nacional de Veículos Automotores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ANFIC</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Nacional das Instituições de Crédito, Financiamento e Investimento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ANPROTEC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Associação Nacional de Entidades Promotoras de Empreendimentos Inovadores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APH’s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Aparelhos Privados de Hegemonia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APEOESP </w:t>
            </w:r>
            <w:r w:rsidRPr="008F710D">
              <w:rPr>
                <w:rFonts w:ascii="Times New Roman" w:hAnsi="Times New Roman"/>
                <w:sz w:val="24"/>
                <w:szCs w:val="24"/>
              </w:rPr>
              <w:tab/>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Sindicato dos Professores do Ensino Oficial do Estado de São Paulo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color w:val="000000"/>
                <w:sz w:val="24"/>
                <w:szCs w:val="24"/>
              </w:rPr>
              <w:t>APLA</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Associação Petroquímica Latino-Americana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APROMIN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Brasileira para o Progresso da Mineração</w:t>
            </w:r>
            <w:r w:rsidRPr="008F710D">
              <w:rPr>
                <w:rFonts w:ascii="Times New Roman" w:hAnsi="Times New Roman"/>
                <w:sz w:val="24"/>
                <w:szCs w:val="24"/>
              </w:rPr>
              <w:tab/>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ARENA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Aliança Renovadora Nacional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ARES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Instituto para o Agronegócio Responsável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FF0000"/>
                <w:sz w:val="24"/>
                <w:szCs w:val="24"/>
              </w:rPr>
            </w:pPr>
            <w:r w:rsidRPr="008F710D">
              <w:rPr>
                <w:rFonts w:ascii="Times New Roman" w:hAnsi="Times New Roman"/>
                <w:sz w:val="24"/>
                <w:szCs w:val="24"/>
              </w:rPr>
              <w:t>ASGAV</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Associação Gaúcha de Avicultura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color w:val="000000"/>
                <w:sz w:val="24"/>
                <w:szCs w:val="24"/>
              </w:rPr>
              <w:t xml:space="preserve">ASSIMPI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Nacional dos Sindicatos da Micro e Pequena Indústria de São Paulo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sz w:val="24"/>
                <w:szCs w:val="24"/>
              </w:rPr>
              <w:t xml:space="preserve">ASSOBENS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Associação Brasileira dos Distribuidores Mercedes-Benz</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sz w:val="24"/>
                <w:szCs w:val="24"/>
              </w:rPr>
              <w:t>ASSOBRAVE</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shd w:val="clear" w:color="auto" w:fill="FFFFFF"/>
              </w:rPr>
              <w:t>Associação Brasileira de Revendedores Autorizados Volkswagen</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ASSUCAL</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dos Produtores Independentes de Açúcar e Álcool de Alagoas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BACEN</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Banco Central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BADEP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Banco de Desenvolvimento do Paraná S/A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 xml:space="preserve">Banrisul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Banco do Estado do Rio Grande do Sul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BDMG</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Banco de Desenvolvimento de Minas Gerais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BID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Banco Interamericano de Desenvolvimento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BM&amp;</w:t>
            </w:r>
            <w:r w:rsidR="001923EC">
              <w:rPr>
                <w:rFonts w:ascii="Times New Roman" w:hAnsi="Times New Roman"/>
                <w:sz w:val="24"/>
                <w:szCs w:val="24"/>
              </w:rPr>
              <w:t>F</w:t>
            </w:r>
            <w:r w:rsidRPr="008F710D">
              <w:rPr>
                <w:rFonts w:ascii="Times New Roman" w:hAnsi="Times New Roman"/>
                <w:sz w:val="24"/>
                <w:szCs w:val="24"/>
              </w:rPr>
              <w:t>Bovespa</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bCs/>
                <w:color w:val="252525"/>
                <w:sz w:val="24"/>
                <w:szCs w:val="24"/>
                <w:shd w:val="clear" w:color="auto" w:fill="FFFFFF"/>
              </w:rPr>
              <w:t>Bolsa de Valores, Mercadorias e Futuros de São Paulo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BNDES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Banco Nacional de Desenvolvimento Econômico e Social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BIRD</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bCs/>
                <w:color w:val="252525"/>
                <w:sz w:val="24"/>
                <w:szCs w:val="24"/>
                <w:shd w:val="clear" w:color="auto" w:fill="FFFFFF"/>
              </w:rPr>
              <w:t>Banco Internacional para Reconstrução e Desenvolvimento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BRACELPA</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Brasileira de Papel e Celulose</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Bradespar</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Bradesco Participações S.A.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BRDE</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Banco Regional de Desenvolvimento do Extremo Sul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CACEB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Confederação das Associações Comerciais e Empresariais do Brasil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CAIs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Complexos agroindustriais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FF0000"/>
                <w:sz w:val="24"/>
                <w:szCs w:val="24"/>
              </w:rPr>
            </w:pPr>
            <w:r w:rsidRPr="008F710D">
              <w:rPr>
                <w:rFonts w:ascii="Times New Roman" w:hAnsi="Times New Roman"/>
                <w:color w:val="000000"/>
                <w:sz w:val="24"/>
                <w:szCs w:val="24"/>
              </w:rPr>
              <w:t>CAMEX</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Câmara de Comércio Exterior</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CBIC</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Câmara Brasileira da Indústria da Construção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CBMM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Cia Brasileira de Metalurgia e Mineração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 xml:space="preserve">CCT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Conselho Nacional de Ciência e Tecnologia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CDES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Conselho de Desenvolvimento Econômico e Social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CEAL</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Conselho de Empresários da América Latina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CEAMIN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Centro de Estudos Avançados em Mineração e Diretor</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CEBs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Comunidades Eclesiais de Base</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CEBES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Centro Brasileiro de Estudos de Saúde</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lang w:val="pt-PT"/>
              </w:rPr>
            </w:pPr>
            <w:r w:rsidRPr="008F710D">
              <w:rPr>
                <w:rFonts w:ascii="Times New Roman" w:hAnsi="Times New Roman"/>
                <w:sz w:val="24"/>
                <w:szCs w:val="24"/>
                <w:lang w:val="pt-PT"/>
              </w:rPr>
              <w:t xml:space="preserve">CECON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lang w:val="pt-PT"/>
              </w:rPr>
              <w:t>Centro de Estudos de Conjuntura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lang w:val="pt-PT"/>
              </w:rPr>
            </w:pPr>
            <w:r w:rsidRPr="008F710D">
              <w:rPr>
                <w:rFonts w:ascii="Times New Roman" w:hAnsi="Times New Roman"/>
                <w:sz w:val="24"/>
                <w:szCs w:val="24"/>
              </w:rPr>
              <w:t xml:space="preserve">CEF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Caixa Econômica Federal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CESIT</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Centro de Estudos Sindicais e de Economia do Trabalho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color w:val="000000"/>
                <w:sz w:val="24"/>
                <w:szCs w:val="24"/>
              </w:rPr>
              <w:t xml:space="preserve">CESP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Conselho Administrativo das Empresas Energéticas do Estado de São Paulo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CETEC/MG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Fundação Centro Tecnológico de Minas Gerais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lang w:val="en-US"/>
              </w:rPr>
            </w:pPr>
            <w:r w:rsidRPr="008F710D">
              <w:rPr>
                <w:rFonts w:ascii="Times New Roman" w:hAnsi="Times New Roman"/>
                <w:color w:val="000000"/>
                <w:sz w:val="24"/>
                <w:szCs w:val="24"/>
                <w:lang w:val="en-US"/>
              </w:rPr>
              <w:t>CETESB</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shd w:val="clear" w:color="auto" w:fill="FFFFFF"/>
              </w:rPr>
              <w:t>Companhia de Tecnologia de Saneamento Ambiental do Estado de São Paulo</w:t>
            </w:r>
          </w:p>
        </w:tc>
      </w:tr>
      <w:tr w:rsidR="003D7D4D" w:rsidRPr="008F710D" w:rsidTr="001923EC">
        <w:trPr>
          <w:trHeight w:val="235"/>
        </w:trPr>
        <w:tc>
          <w:tcPr>
            <w:tcW w:w="1809" w:type="dxa"/>
          </w:tcPr>
          <w:p w:rsidR="003D7D4D" w:rsidRPr="008F710D" w:rsidRDefault="003D7D4D" w:rsidP="001923EC">
            <w:pPr>
              <w:spacing w:after="0" w:line="240" w:lineRule="auto"/>
              <w:rPr>
                <w:rFonts w:ascii="Times New Roman" w:hAnsi="Times New Roman"/>
                <w:sz w:val="24"/>
                <w:szCs w:val="24"/>
                <w:lang w:val="en-US"/>
              </w:rPr>
            </w:pPr>
            <w:r w:rsidRPr="008F710D">
              <w:rPr>
                <w:rFonts w:ascii="Times New Roman" w:hAnsi="Times New Roman"/>
                <w:sz w:val="24"/>
                <w:szCs w:val="24"/>
                <w:lang w:val="en-US"/>
              </w:rPr>
              <w:t>CEO</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lang w:val="en-US"/>
              </w:rPr>
              <w:t>Chief Executive Officer</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lang w:val="en-US"/>
              </w:rPr>
            </w:pPr>
            <w:r w:rsidRPr="008F710D">
              <w:rPr>
                <w:rFonts w:ascii="Times New Roman" w:hAnsi="Times New Roman"/>
                <w:sz w:val="24"/>
                <w:szCs w:val="24"/>
                <w:lang w:val="en-US"/>
              </w:rPr>
              <w:t xml:space="preserve">CF/88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lang w:val="en-US"/>
              </w:rPr>
              <w:t>Constituição Federal de 1988</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CGT</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Central Geral dos Trabalhadores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CGTB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imes New Roman" w:hAnsi="Times New Roman"/>
                <w:bCs/>
                <w:sz w:val="24"/>
                <w:szCs w:val="24"/>
              </w:rPr>
              <w:t>Central Geral dos Trabalhadores do Brasil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sz w:val="24"/>
                <w:szCs w:val="24"/>
              </w:rPr>
              <w:t>CICI/MG</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Centro das Indústrias das Cidades Industriais de Minas Gerais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CIDE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Contribuição Interventiva no Domínio Econômico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CIEE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Centro de Integração Empresa Escola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CIEMG</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Centro Industrial e Empresarial de Minas Gerais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color w:val="000000"/>
                <w:sz w:val="24"/>
                <w:szCs w:val="24"/>
              </w:rPr>
              <w:t xml:space="preserve">CIERGS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Centro das Indústrias do Estado do Rio Grande do Sul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CIESC</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Centro das Indústrias do Estado de Santa Catarina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CIESP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Centro das Indústrias do Estado de São Paulo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imes New Roman" w:hAnsi="Times New Roman"/>
                <w:sz w:val="24"/>
                <w:szCs w:val="24"/>
              </w:rPr>
              <w:t>CIMEB</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imes New Roman" w:hAnsi="Times New Roman"/>
                <w:sz w:val="24"/>
                <w:szCs w:val="24"/>
              </w:rPr>
              <w:t>Conselho Interdenominacional de Ministros Evangélicos do Brasil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CIVES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Associação Brasileira de Empresários para a Cidadania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CLT</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Consolidação das Leis do Trabalho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CMN</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lang w:val="pt-PT"/>
              </w:rPr>
              <w:t>Conselho Monetário Nacional</w:t>
            </w:r>
          </w:p>
        </w:tc>
      </w:tr>
      <w:tr w:rsidR="003D7D4D" w:rsidRPr="008F710D" w:rsidTr="001923EC">
        <w:tc>
          <w:tcPr>
            <w:tcW w:w="1809" w:type="dxa"/>
          </w:tcPr>
          <w:p w:rsidR="003D7D4D" w:rsidRPr="008F710D" w:rsidRDefault="003D7D4D" w:rsidP="001923EC">
            <w:pPr>
              <w:spacing w:after="0" w:line="240" w:lineRule="auto"/>
              <w:rPr>
                <w:rFonts w:ascii="Times New Roman" w:eastAsia="Times New Roman" w:hAnsi="Times New Roman"/>
                <w:color w:val="231F20"/>
                <w:sz w:val="24"/>
                <w:szCs w:val="24"/>
              </w:rPr>
            </w:pPr>
            <w:r w:rsidRPr="008F710D">
              <w:rPr>
                <w:rFonts w:ascii="Times New Roman" w:eastAsia="Times New Roman" w:hAnsi="Times New Roman"/>
                <w:color w:val="231F20"/>
                <w:sz w:val="24"/>
                <w:szCs w:val="24"/>
                <w:lang w:eastAsia="pt-BR"/>
              </w:rPr>
              <w:t>CNA</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Confederação Nacional da Agricultura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FF0000"/>
                <w:sz w:val="24"/>
                <w:szCs w:val="24"/>
              </w:rPr>
            </w:pPr>
            <w:r w:rsidRPr="008F710D">
              <w:rPr>
                <w:rFonts w:ascii="Times New Roman" w:hAnsi="Times New Roman"/>
                <w:sz w:val="24"/>
                <w:szCs w:val="24"/>
              </w:rPr>
              <w:t>CNAE</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Classificação Nacional de Atividades Econômicas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CNB</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Comando Nacional dos Bancários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heme="minorEastAsia" w:hAnsi="Times New Roman"/>
                <w:sz w:val="24"/>
                <w:szCs w:val="24"/>
              </w:rPr>
              <w:t xml:space="preserve">CNBB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heme="minorEastAsia" w:hAnsi="Times New Roman"/>
                <w:sz w:val="24"/>
                <w:szCs w:val="24"/>
              </w:rPr>
              <w:t>Conferência Nacional dos Bispos no Brasil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FF0000"/>
                <w:sz w:val="24"/>
                <w:szCs w:val="24"/>
              </w:rPr>
            </w:pPr>
            <w:r w:rsidRPr="008F710D">
              <w:rPr>
                <w:rFonts w:ascii="Times New Roman" w:hAnsi="Times New Roman"/>
                <w:sz w:val="24"/>
                <w:szCs w:val="24"/>
              </w:rPr>
              <w:t xml:space="preserve">CNC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Confederação Nacional do Comércio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CNDI</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Conselho Nacional de Desenvolvimento Industrial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CNF</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Confederação Nacional das Instituições Financeiras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CNI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Confederação Nacional da Indústria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CMN</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Conselho Monetário Nacional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FF0000"/>
                <w:sz w:val="24"/>
                <w:szCs w:val="24"/>
              </w:rPr>
            </w:pPr>
            <w:r w:rsidRPr="008F710D">
              <w:rPr>
                <w:rFonts w:ascii="Times New Roman" w:eastAsia="Times New Roman" w:hAnsi="Times New Roman"/>
                <w:bCs/>
                <w:sz w:val="24"/>
                <w:szCs w:val="24"/>
              </w:rPr>
              <w:t>CNSEG</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Confederação Nacional das Empresas de Seguros Gerais, Previdência Privada e Vida, Saúde Suplementar e Capitalização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CNTE</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Confederação Nacional dos Trabalhadores em Educação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CNTI</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Confederação Nacional dos Trabalhadores na Indústria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COAGRO-CNI</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Conselho Nacional das Agroindústrias Brasileira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heme="minorEastAsia" w:hAnsi="Times New Roman"/>
                <w:sz w:val="24"/>
                <w:szCs w:val="24"/>
              </w:rPr>
              <w:t xml:space="preserve">COBAP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heme="minorEastAsia" w:hAnsi="Times New Roman"/>
                <w:sz w:val="24"/>
                <w:szCs w:val="24"/>
              </w:rPr>
              <w:t>Confederação Brasileira de Aposentados e Pensionista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COFINS </w:t>
            </w:r>
          </w:p>
        </w:tc>
        <w:tc>
          <w:tcPr>
            <w:tcW w:w="6804" w:type="dxa"/>
          </w:tcPr>
          <w:p w:rsidR="003D7D4D" w:rsidRPr="001923EC" w:rsidRDefault="003D7D4D" w:rsidP="001923EC">
            <w:pPr>
              <w:spacing w:after="0" w:line="240" w:lineRule="auto"/>
              <w:rPr>
                <w:rFonts w:ascii="Times New Roman" w:hAnsi="Times New Roman"/>
                <w:b/>
                <w:sz w:val="24"/>
                <w:szCs w:val="24"/>
              </w:rPr>
            </w:pPr>
            <w:r w:rsidRPr="001923EC">
              <w:rPr>
                <w:rStyle w:val="Forte"/>
                <w:rFonts w:ascii="Times New Roman" w:hAnsi="Times New Roman"/>
                <w:b w:val="0"/>
                <w:color w:val="333333"/>
                <w:sz w:val="24"/>
                <w:szCs w:val="24"/>
                <w:shd w:val="clear" w:color="auto" w:fill="FFFFFF"/>
              </w:rPr>
              <w:t>Contribuição para o Financiamento da Seguridade Socia</w:t>
            </w:r>
            <w:r w:rsidR="001923EC" w:rsidRPr="001923EC">
              <w:rPr>
                <w:rStyle w:val="Forte"/>
                <w:rFonts w:ascii="Times New Roman" w:hAnsi="Times New Roman"/>
                <w:b w:val="0"/>
                <w:color w:val="333333"/>
                <w:sz w:val="24"/>
                <w:szCs w:val="24"/>
                <w:shd w:val="clear" w:color="auto" w:fill="FFFFFF"/>
              </w:rPr>
              <w:t>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COMPERJ</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Complexo Petroquímico do Rio de Janeiro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heme="minorEastAsia" w:hAnsi="Times New Roman"/>
                <w:sz w:val="24"/>
                <w:szCs w:val="24"/>
              </w:rPr>
              <w:t xml:space="preserve">CONAMP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heme="minorEastAsia" w:hAnsi="Times New Roman"/>
                <w:sz w:val="24"/>
                <w:szCs w:val="24"/>
              </w:rPr>
              <w:t>Associação Nacional de Membros de Ministério Público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color w:val="000000"/>
                <w:sz w:val="24"/>
                <w:szCs w:val="24"/>
              </w:rPr>
              <w:t xml:space="preserve">CONEX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Conselho Consultivo do Setor Privado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CONIC</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Presidente Conselho Superior de Inovação e Competitividade</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CONSAGRO</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Conselho de Agronegócio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CONSIF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Confederação Nacional do Sistema Financeiro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CONTAG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Confederação Nacional dos Trabalhadores da Agricultura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COPOM</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Comitê de Política Monetária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COSAG/FIESP</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Conselho Superior de Agronegócio (FIESP)</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COSEMA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Conselho Superior de Meio Ambiente</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Credicocapec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Cooperativa de Crédito Rural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CRVD</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Companhia Vale do Rio Doce</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CSE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Comitês Sindicais de Empresa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CSLL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Contribuição Social sobre o Lucro Líquido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CSN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Cia. Siderúrgica Nacional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CSP-Conlutas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Central Sindical e Popular</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CTB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Central dos Trabalhadores e Trabalhadoras do Brasil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CTECH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Comitê Nacional de Desenvolvimento Tecnológico da Habitação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CT&amp;I</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Ciência, Tecnologia e Informação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CUT</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Central Única dos Trabalhadores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CVRD</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Companhia Vale do Rio Doce</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DEAGRO</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Divisão de Insumos do Departamento de Agronegócio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DIEESE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Departamento Intersindical de Estatísticas e Estudos Socioeconômicos</w:t>
            </w:r>
          </w:p>
        </w:tc>
      </w:tr>
      <w:tr w:rsidR="003D7D4D" w:rsidRPr="008F710D" w:rsidTr="001923EC">
        <w:tc>
          <w:tcPr>
            <w:tcW w:w="1809" w:type="dxa"/>
          </w:tcPr>
          <w:p w:rsidR="003D7D4D" w:rsidRPr="003D7D4D" w:rsidRDefault="00DB7322" w:rsidP="001923EC">
            <w:pPr>
              <w:spacing w:after="0" w:line="240" w:lineRule="auto"/>
              <w:rPr>
                <w:rFonts w:ascii="Times New Roman" w:hAnsi="Times New Roman"/>
                <w:sz w:val="24"/>
                <w:szCs w:val="24"/>
              </w:rPr>
            </w:pPr>
            <w:hyperlink r:id="rId8" w:tgtFrame="_self" w:history="1">
              <w:r w:rsidR="003D7D4D" w:rsidRPr="003D7D4D">
                <w:rPr>
                  <w:rStyle w:val="Hyperlink"/>
                  <w:rFonts w:ascii="Times New Roman" w:hAnsi="Times New Roman"/>
                  <w:color w:val="auto"/>
                  <w:sz w:val="24"/>
                  <w:szCs w:val="24"/>
                  <w:u w:val="none"/>
                </w:rPr>
                <w:t>DRU</w:t>
              </w:r>
            </w:hyperlink>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Desvinculação das Receitas da União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EED</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Enunciados Estratégicos para o Desenvolvimento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END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Enunciados Estratégicos para o Desenvolvimento – p.19 rodapé</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FAT</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Fundo de Amparo do Trabalhador</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FAO</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Organização das Nações Unidas para Alimentação e Agricultura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FAPEMIG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Fundação de Amparo à Pesquisa de Minas Gerais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FAPESP</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Fundação de Amparo à Pesquisa do Estado de São Paulo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FASFIL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Fundações Privadas e Associações Sem Fins Lucrativos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FF0000"/>
                <w:sz w:val="24"/>
                <w:szCs w:val="24"/>
              </w:rPr>
            </w:pPr>
            <w:r w:rsidRPr="008F710D">
              <w:rPr>
                <w:rFonts w:ascii="Times New Roman" w:hAnsi="Times New Roman"/>
                <w:sz w:val="24"/>
                <w:szCs w:val="24"/>
              </w:rPr>
              <w:t>FEA-USP</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Faculdade de Economia e Administração da Universidade de São Paulo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FEBRABAN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Brasileira de Associações de Bancos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w:t>
            </w:r>
            <w:r w:rsidR="001923EC">
              <w:rPr>
                <w:rFonts w:ascii="Times New Roman" w:hAnsi="Times New Roman"/>
                <w:sz w:val="24"/>
                <w:szCs w:val="24"/>
              </w:rPr>
              <w:t>ebrafarma</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Brasileira da Indústria Farmacêutica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Fecomercio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do Comércio de Bens, Serviços e Turismo do Estado de São Paulo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FEF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Fundo de Estabilização Fiscal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FENABAN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Nacional dos Bancos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FENABRAVE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Federação Nacional </w:t>
            </w:r>
            <w:r w:rsidRPr="008F710D">
              <w:rPr>
                <w:rFonts w:ascii="Times New Roman" w:hAnsi="Times New Roman"/>
                <w:color w:val="000000"/>
                <w:sz w:val="24"/>
                <w:szCs w:val="24"/>
              </w:rPr>
              <w:t>de Revendedores Autorizados de Veículos Automotores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FENACREFI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Interestadual das Instituições de Crédito, Financiamento e Investimento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FENADISTRI</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Nacional das Empresas Distribuidoras de Títulos e Valores Mobiliários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FENASEG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Nacional das Empresas de Seguros Privados e Capitalização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FERAESP</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de Empregados Rurais Assalariados do Estado de São Paulo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color w:val="000000"/>
                <w:sz w:val="24"/>
                <w:szCs w:val="24"/>
              </w:rPr>
              <w:t xml:space="preserve">FETRAF-SUL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shd w:val="clear" w:color="auto" w:fill="FFFFFF"/>
              </w:rPr>
              <w:t>Federação dos Trabalhadores na Agricultura Familiar da Região Sul</w:t>
            </w:r>
            <w:r w:rsidRPr="008F710D">
              <w:rPr>
                <w:rStyle w:val="apple-converted-space"/>
                <w:rFonts w:ascii="Times New Roman" w:hAnsi="Times New Roman"/>
                <w:color w:val="000000"/>
                <w:sz w:val="24"/>
                <w:szCs w:val="24"/>
                <w:shd w:val="clear" w:color="auto" w:fill="FFFFFF"/>
              </w:rPr>
              <w:t> </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FF0000"/>
                <w:sz w:val="24"/>
                <w:szCs w:val="24"/>
              </w:rPr>
            </w:pPr>
            <w:r w:rsidRPr="008F710D">
              <w:rPr>
                <w:rFonts w:ascii="Times New Roman" w:hAnsi="Times New Roman"/>
                <w:sz w:val="24"/>
                <w:szCs w:val="24"/>
              </w:rPr>
              <w:t xml:space="preserve">FGTS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Fundo de Garantia por Tempo de Serviço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FGV-RJ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Fundação Getúlio Vargas do Rio de Janeiro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FF0000"/>
                <w:sz w:val="24"/>
                <w:szCs w:val="24"/>
              </w:rPr>
            </w:pPr>
            <w:r w:rsidRPr="008F710D">
              <w:rPr>
                <w:rFonts w:ascii="Times New Roman" w:hAnsi="Times New Roman"/>
                <w:sz w:val="24"/>
                <w:szCs w:val="24"/>
              </w:rPr>
              <w:t xml:space="preserve">FHC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Fernando Henrique Cardoso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FIEA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das Indústrias do Estado do Acre</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FIEBA</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das Indústrias do Estado da Bahia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FF0000"/>
                <w:sz w:val="24"/>
                <w:szCs w:val="24"/>
              </w:rPr>
            </w:pPr>
            <w:r w:rsidRPr="008F710D">
              <w:rPr>
                <w:rFonts w:ascii="Times New Roman" w:hAnsi="Times New Roman"/>
                <w:color w:val="000000"/>
                <w:sz w:val="24"/>
                <w:szCs w:val="24"/>
              </w:rPr>
              <w:t xml:space="preserve">FIEC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das Indústrias do Estado do Ceará</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FF0000"/>
                <w:sz w:val="24"/>
                <w:szCs w:val="24"/>
              </w:rPr>
            </w:pPr>
            <w:r w:rsidRPr="008F710D">
              <w:rPr>
                <w:rFonts w:ascii="Times New Roman" w:hAnsi="Times New Roman"/>
                <w:sz w:val="24"/>
                <w:szCs w:val="24"/>
              </w:rPr>
              <w:t>FIEMG</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das Indústrias do Estado de Minas Gerais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FF0000"/>
                <w:sz w:val="24"/>
                <w:szCs w:val="24"/>
              </w:rPr>
            </w:pPr>
            <w:r w:rsidRPr="008F710D">
              <w:rPr>
                <w:rFonts w:ascii="Times New Roman" w:hAnsi="Times New Roman"/>
                <w:sz w:val="24"/>
                <w:szCs w:val="24"/>
              </w:rPr>
              <w:t xml:space="preserve">FIERGS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das Indústrias do Estado do Rio Grande do Sul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FIEP</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das Indústrias do Estado do Paraná</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FIEPA</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das Indústrias do Estado do pARÁ</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sz w:val="24"/>
                <w:szCs w:val="24"/>
              </w:rPr>
              <w:t>FIES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Fundo de Financiamento Estudantil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FF0000"/>
                <w:sz w:val="24"/>
                <w:szCs w:val="24"/>
              </w:rPr>
            </w:pPr>
            <w:r w:rsidRPr="008F710D">
              <w:rPr>
                <w:rFonts w:ascii="Times New Roman" w:hAnsi="Times New Roman"/>
                <w:color w:val="000000"/>
                <w:sz w:val="24"/>
                <w:szCs w:val="24"/>
              </w:rPr>
              <w:t>FIESC</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das Indústrias do Estado de Santa Catarina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FIESP</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das Indústrias do Estado de São Paulo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FINAME/BNDES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Programa de Financiamento de Máquinas e Equipamentos do BNDES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color w:val="000000"/>
                <w:sz w:val="24"/>
                <w:szCs w:val="24"/>
              </w:rPr>
              <w:t xml:space="preserve">FIRJAN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Federação das Indústrias do Estado do Rio de Janeiro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color w:val="000000"/>
                <w:sz w:val="24"/>
                <w:szCs w:val="24"/>
              </w:rPr>
              <w:t>FNDCT</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Fundo Nacional de Desenvolvimento Científico e Tecnológico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FNDR</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Fundo Nacional de Desenvolvimento Regional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FNS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Fórum Nacional Sucroalcooleiro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FNT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Fórum Nacional do Trabalho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Força Sindical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FSE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Fundo Social de Emergência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FUNADESP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Fundação Nacional de Desenvolvimento do Ensino Superior Particular</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FUNCEF</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shd w:val="clear" w:color="auto" w:fill="FFFFFF"/>
              </w:rPr>
              <w:t>Fundação dos Economiários Federais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FUNDEB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shd w:val="clear" w:color="auto" w:fill="FFFFFF"/>
              </w:rPr>
              <w:t>Fundo de Manutenção e Desenvolvimento da Educação Básica e de Valorização dos Profissionais da Educação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FS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Força Sindical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GAC (MF)</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Grupo de Acompanhamento da Crise do Ministério da Fazenda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GACE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Grupo de Acompanhamento de Conjuntura Econômica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GA’s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Grupos de Acompanhamento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GAPS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Grupo de Acompanhamento e Políticas Sociais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GT </w:t>
            </w:r>
            <w:r w:rsidRPr="008F710D">
              <w:rPr>
                <w:rFonts w:ascii="Times New Roman" w:hAnsi="Times New Roman"/>
                <w:sz w:val="24"/>
                <w:szCs w:val="24"/>
              </w:rPr>
              <w:tab/>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Grupo Temárico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GTFED</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Grupo Temático Fundamentos Estratégicos do Desenvolvimento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IAS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Instituto Ayrton Senna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IBGE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Instituto Brasileiro de Geografia e Estatística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IBRAM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Instituto Brasileiro de Mineração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ICONE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Instituto de Estudos do Comércio e Relações Internacionais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IDV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Instituto para Desenvolvimento do Varejo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IEDI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Instituto de Estudos para o Desenvolvimento Industrial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IEPE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Instituto de Estudos de Política Econômica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IETS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Instituto de Estudos do Trabalho e Sociedade</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IFES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Instituto Federal de Ensino Superior</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IGF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Imposto sobre Grandes Fortunas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heme="minorEastAsia" w:hAnsi="Times New Roman"/>
                <w:sz w:val="24"/>
                <w:szCs w:val="24"/>
              </w:rPr>
              <w:t xml:space="preserve">INAE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Instituto Nacional de Altos Estudos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FF0000"/>
                <w:sz w:val="24"/>
                <w:szCs w:val="24"/>
              </w:rPr>
            </w:pPr>
            <w:r w:rsidRPr="008F710D">
              <w:rPr>
                <w:rFonts w:ascii="Times New Roman" w:hAnsi="Times New Roman"/>
                <w:sz w:val="24"/>
                <w:szCs w:val="24"/>
              </w:rPr>
              <w:t xml:space="preserve">INESC </w:t>
            </w:r>
          </w:p>
        </w:tc>
        <w:tc>
          <w:tcPr>
            <w:tcW w:w="6804" w:type="dxa"/>
          </w:tcPr>
          <w:p w:rsidR="003D7D4D" w:rsidRPr="008F710D" w:rsidRDefault="003D7D4D" w:rsidP="00CA0999">
            <w:pPr>
              <w:spacing w:after="0" w:line="240" w:lineRule="auto"/>
              <w:rPr>
                <w:rFonts w:ascii="Times New Roman" w:hAnsi="Times New Roman"/>
                <w:sz w:val="24"/>
                <w:szCs w:val="24"/>
              </w:rPr>
            </w:pPr>
            <w:r w:rsidRPr="008F710D">
              <w:rPr>
                <w:rFonts w:ascii="Times New Roman" w:eastAsiaTheme="minorEastAsia" w:hAnsi="Times New Roman"/>
                <w:sz w:val="24"/>
                <w:szCs w:val="24"/>
              </w:rPr>
              <w:t>Instituto de Estudos S</w:t>
            </w:r>
            <w:r w:rsidR="00CA0999">
              <w:rPr>
                <w:rFonts w:ascii="Times New Roman" w:eastAsiaTheme="minorEastAsia" w:hAnsi="Times New Roman"/>
                <w:sz w:val="24"/>
                <w:szCs w:val="24"/>
              </w:rPr>
              <w:t>o</w:t>
            </w:r>
            <w:r w:rsidRPr="008F710D">
              <w:rPr>
                <w:rFonts w:ascii="Times New Roman" w:eastAsiaTheme="minorEastAsia" w:hAnsi="Times New Roman"/>
                <w:sz w:val="24"/>
                <w:szCs w:val="24"/>
              </w:rPr>
              <w:t>cio</w:t>
            </w:r>
            <w:r w:rsidR="00CA0999">
              <w:rPr>
                <w:rFonts w:ascii="Times New Roman" w:eastAsiaTheme="minorEastAsia" w:hAnsi="Times New Roman"/>
                <w:sz w:val="24"/>
                <w:szCs w:val="24"/>
              </w:rPr>
              <w:t>e</w:t>
            </w:r>
            <w:r w:rsidRPr="008F710D">
              <w:rPr>
                <w:rFonts w:ascii="Times New Roman" w:eastAsiaTheme="minorEastAsia" w:hAnsi="Times New Roman"/>
                <w:sz w:val="24"/>
                <w:szCs w:val="24"/>
              </w:rPr>
              <w:t>conômicos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INSS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Instituto Nacional do Seguro Social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IPEA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Instituto de Pesquisa Econômica Aplicada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IPI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Imposto sobre Produtos Industrializados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MAB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Movimento dos Atingidos por Barragens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MAPA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Ministério de Agricultura, Pecuária e Abastecimento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MBC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Movimento Brasil Competitivo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color w:val="000000"/>
                <w:sz w:val="24"/>
                <w:szCs w:val="24"/>
              </w:rPr>
              <w:t xml:space="preserve">MCT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Membro do Conselho de Ciência e Tecnologia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MDA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Ministério do Desenvolvimento Agrário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MDIC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Ministério do Desenvolvimento, Indústria e Comércio Exterior</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MDS </w:t>
            </w:r>
            <w:r w:rsidRPr="008F710D">
              <w:rPr>
                <w:rFonts w:ascii="Times New Roman" w:hAnsi="Times New Roman"/>
                <w:sz w:val="24"/>
                <w:szCs w:val="24"/>
              </w:rPr>
              <w:tab/>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Ministério do Desenvolvimento Social e Combate à Fome</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MEC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Ministério da Educação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MPT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Ministério Público do Trabalho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MRE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Ministério das Relações Exteriores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heme="minorEastAsia" w:hAnsi="Times New Roman"/>
                <w:sz w:val="24"/>
                <w:szCs w:val="24"/>
              </w:rPr>
              <w:t xml:space="preserve">MST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heme="minorEastAsia" w:hAnsi="Times New Roman"/>
                <w:sz w:val="24"/>
                <w:szCs w:val="24"/>
              </w:rPr>
              <w:t>Movimento dos Trabalhadores Rurais Sem-Terra</w:t>
            </w:r>
          </w:p>
        </w:tc>
      </w:tr>
      <w:tr w:rsidR="003D7D4D" w:rsidRPr="008F710D" w:rsidTr="001923EC">
        <w:tc>
          <w:tcPr>
            <w:tcW w:w="1809" w:type="dxa"/>
          </w:tcPr>
          <w:p w:rsidR="003D7D4D" w:rsidRPr="008F710D" w:rsidRDefault="003D7D4D" w:rsidP="001923EC">
            <w:pPr>
              <w:spacing w:after="0" w:line="240" w:lineRule="auto"/>
              <w:rPr>
                <w:rFonts w:ascii="Times New Roman" w:eastAsia="Times New Roman" w:hAnsi="Times New Roman"/>
                <w:bCs/>
                <w:sz w:val="24"/>
                <w:szCs w:val="24"/>
              </w:rPr>
            </w:pPr>
            <w:r w:rsidRPr="008F710D">
              <w:rPr>
                <w:rFonts w:ascii="Times New Roman" w:eastAsia="Times New Roman" w:hAnsi="Times New Roman"/>
                <w:bCs/>
                <w:sz w:val="24"/>
                <w:szCs w:val="24"/>
              </w:rPr>
              <w:t xml:space="preserve">MTE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imes New Roman" w:hAnsi="Times New Roman"/>
                <w:bCs/>
                <w:sz w:val="24"/>
                <w:szCs w:val="24"/>
              </w:rPr>
              <w:t>Movimento Todos pela Educação</w:t>
            </w:r>
          </w:p>
        </w:tc>
      </w:tr>
      <w:tr w:rsidR="003D7D4D" w:rsidRPr="008F710D" w:rsidTr="001923EC">
        <w:tc>
          <w:tcPr>
            <w:tcW w:w="1809" w:type="dxa"/>
          </w:tcPr>
          <w:p w:rsidR="003D7D4D" w:rsidRPr="008F710D" w:rsidRDefault="003D7D4D" w:rsidP="001923EC">
            <w:pPr>
              <w:spacing w:after="0" w:line="240" w:lineRule="auto"/>
              <w:rPr>
                <w:rFonts w:ascii="Times New Roman" w:eastAsia="Times New Roman" w:hAnsi="Times New Roman"/>
                <w:bCs/>
                <w:sz w:val="24"/>
                <w:szCs w:val="24"/>
              </w:rPr>
            </w:pPr>
            <w:r w:rsidRPr="008F710D">
              <w:rPr>
                <w:rFonts w:ascii="Times New Roman" w:hAnsi="Times New Roman"/>
                <w:sz w:val="24"/>
                <w:szCs w:val="24"/>
              </w:rPr>
              <w:t>NCST</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imes New Roman" w:hAnsi="Times New Roman"/>
                <w:bCs/>
                <w:sz w:val="24"/>
                <w:szCs w:val="24"/>
              </w:rPr>
              <w:t>Nova Central Sindical de Trabalhadores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OCB</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Organização das Cooperativas Brasileiras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OCDE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Organização para a Cooperação e Desenvolvimento Econômico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OIT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Organização Internacional do Trabalho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ONGs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Organizações Não Governamentais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OSESP</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Orquestra Sinfônica do Estado de São Paulo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PAC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Programa de Aceleração do Crescimento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PCF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Partido Comunista Francês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PDE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Plano de Desenvolvimento da Educação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PDP</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Programa de Desenvolvimento Produtivo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PEC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Proposta de Emenda Constitucional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PENSA/USP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Programa de Estudos e Negócios do Sistema Agroindustrial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PETROS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Fundo de Pensão dos Funcionários da Petrobrás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color w:val="000000"/>
                <w:sz w:val="24"/>
                <w:szCs w:val="24"/>
              </w:rPr>
              <w:t xml:space="preserve">PIB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Produto Interno Bruto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PINTEC</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Pesquisa Industrial de Inovação Tecnológica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PIS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Programa de Integração Social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PITCE</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Política Industrial, Tecnológica e de Comércio Exterior</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 xml:space="preserve">PlanSeq BF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Programa de Setorial de Qualificação para Beneficiários do Programa Bolsa Família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FF0000"/>
                <w:sz w:val="24"/>
                <w:szCs w:val="24"/>
              </w:rPr>
            </w:pPr>
            <w:r w:rsidRPr="008F710D">
              <w:rPr>
                <w:rFonts w:ascii="Times New Roman" w:hAnsi="Times New Roman"/>
                <w:sz w:val="24"/>
                <w:szCs w:val="24"/>
              </w:rPr>
              <w:t xml:space="preserve">PNAD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Pesquisa Nacional por Amostra de Domicílios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PNBE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Pensamento Nacional das Bases Empresariais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PNQ</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Plano Nacional de Qualificação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PNUD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Programa das Nações Unidas para o Desenvolvimento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PPP’s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Parcerias Público-Privadas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PREVI</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Caixa de Previdência dos Funcionários do Banco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PSI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Programa de Sustentação dos Investimentos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FF0000"/>
                <w:sz w:val="24"/>
                <w:szCs w:val="24"/>
              </w:rPr>
            </w:pPr>
            <w:r w:rsidRPr="008F710D">
              <w:rPr>
                <w:rFonts w:ascii="Times New Roman" w:hAnsi="Times New Roman"/>
                <w:sz w:val="24"/>
                <w:szCs w:val="24"/>
              </w:rPr>
              <w:t xml:space="preserve">PROCAP BK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Programa de Capitalização de Empresas Fabricantes de Bens de Capital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ProJovem</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Programa Nacional de Inclusão de Jovens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ProUni</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Programa Universidade para Todos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PROTEC</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Sociedade Brasileira Pró-Inovação Tecnológica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PT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Partido dos Trabalhadores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PTB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Partido Trabalhista Brasileiro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PwC</w:t>
            </w:r>
          </w:p>
        </w:tc>
        <w:tc>
          <w:tcPr>
            <w:tcW w:w="6804" w:type="dxa"/>
          </w:tcPr>
          <w:p w:rsidR="003D7D4D" w:rsidRPr="008F710D" w:rsidRDefault="003D7D4D" w:rsidP="001923EC">
            <w:pPr>
              <w:spacing w:after="0" w:line="240" w:lineRule="auto"/>
              <w:rPr>
                <w:rFonts w:ascii="Times New Roman" w:hAnsi="Times New Roman"/>
                <w:sz w:val="24"/>
                <w:szCs w:val="24"/>
                <w:lang w:val="en-US"/>
              </w:rPr>
            </w:pPr>
            <w:r w:rsidRPr="008F710D">
              <w:rPr>
                <w:rFonts w:ascii="Times New Roman" w:hAnsi="Times New Roman"/>
                <w:sz w:val="24"/>
                <w:szCs w:val="24"/>
              </w:rPr>
              <w:t xml:space="preserve">Price-Waterhouse </w:t>
            </w:r>
            <w:r w:rsidRPr="008F710D">
              <w:rPr>
                <w:rFonts w:ascii="Times New Roman" w:hAnsi="Times New Roman"/>
                <w:sz w:val="24"/>
                <w:szCs w:val="24"/>
                <w:lang w:val="en-US"/>
              </w:rPr>
              <w:t>Coopers-Brasil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ReUni</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shd w:val="clear" w:color="auto" w:fill="FFFFFF"/>
              </w:rPr>
              <w:t>Programa de Apoio a Planos de Reestruturação e Expansão das Universidade</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SBF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Setor Bancário e Financeiro não Bancário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SC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Serviços e Comércio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SCA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Conselho da Sociedade Corretora de Álcool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SDH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Secretaria de Direitos Humanos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SEDES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Secretaria Especial do Conselho de Desenvolvimento Econômico e Social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color w:val="000000"/>
                <w:sz w:val="24"/>
                <w:szCs w:val="24"/>
              </w:rPr>
              <w:t>SIMEFRE</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shd w:val="clear" w:color="auto" w:fill="FFFFFF"/>
              </w:rPr>
              <w:t>Sindicato Interestadual da Indústria de Materiais e Equipamentos Ferroviários e Rodoviários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SINDIMAQ</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Sindicato Nacional da Indústria de Máquinas e Equipamentos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SINDITEXTIL</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Sindicato das Indústrias de Fiação e Tecelagem do Estado de São Paulo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SINFAVEA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Sindicato Nacional dos Fabricantes de Veículos Automotores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color w:val="000000"/>
                <w:sz w:val="24"/>
                <w:szCs w:val="24"/>
              </w:rPr>
            </w:pPr>
            <w:r w:rsidRPr="008F710D">
              <w:rPr>
                <w:rFonts w:ascii="Times New Roman" w:hAnsi="Times New Roman"/>
                <w:color w:val="000000"/>
                <w:sz w:val="24"/>
                <w:szCs w:val="24"/>
              </w:rPr>
              <w:t>SINQUIRJ</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color w:val="000000"/>
                <w:sz w:val="24"/>
                <w:szCs w:val="24"/>
              </w:rPr>
              <w:t>Sindicato da Indústria de Produtos Químicos para Fins Industriais do Estado do Rio de Janeiro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SNA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Sociedade Nacional de Agricultura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SRI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Secretaria de Relações Institucionais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imes New Roman" w:hAnsi="Times New Roman"/>
                <w:color w:val="231F20"/>
                <w:sz w:val="24"/>
                <w:szCs w:val="24"/>
                <w:lang w:eastAsia="pt-BR"/>
              </w:rPr>
              <w:t xml:space="preserve">SRB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Sociedade Rural Brasileira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SUS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Sistema Único de Saúde</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SUSP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Sistema Único de Segurança Pública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TPE</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Movimento Todos Pela Educação</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UBC</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União Brasileira de Cegos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UFBA</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Universidade Federal da Bahia</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UFRGS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Universidade Federal do Rio Grande do Sul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UGT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imes New Roman" w:hAnsi="Times New Roman"/>
                <w:bCs/>
                <w:sz w:val="24"/>
                <w:szCs w:val="24"/>
              </w:rPr>
              <w:t>União Geral dos Trabalhadores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UNASCO</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União Nacional das Associações Cooperativas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heme="minorEastAsia" w:hAnsi="Times New Roman"/>
                <w:sz w:val="24"/>
                <w:szCs w:val="24"/>
              </w:rPr>
              <w:t xml:space="preserve">UNE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heme="minorEastAsia" w:hAnsi="Times New Roman"/>
                <w:sz w:val="24"/>
                <w:szCs w:val="24"/>
              </w:rPr>
              <w:t>União Nacional dos Estudantes</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UNICA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União das Indústrias de Cana-de-Açúcar</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 xml:space="preserve">UNICAMP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Universidade Estadual de Campinas</w:t>
            </w:r>
          </w:p>
        </w:tc>
      </w:tr>
      <w:tr w:rsidR="003D7D4D" w:rsidRPr="008F710D" w:rsidTr="001923EC">
        <w:tc>
          <w:tcPr>
            <w:tcW w:w="1809" w:type="dxa"/>
          </w:tcPr>
          <w:p w:rsidR="003D7D4D" w:rsidRPr="008F710D" w:rsidRDefault="003D7D4D" w:rsidP="001923EC">
            <w:pPr>
              <w:spacing w:after="0" w:line="240" w:lineRule="auto"/>
              <w:rPr>
                <w:rFonts w:ascii="Times New Roman" w:eastAsia="Times New Roman" w:hAnsi="Times New Roman"/>
                <w:sz w:val="24"/>
                <w:szCs w:val="24"/>
              </w:rPr>
            </w:pPr>
            <w:r w:rsidRPr="008F710D">
              <w:rPr>
                <w:rFonts w:ascii="Times New Roman" w:eastAsia="Times New Roman" w:hAnsi="Times New Roman"/>
                <w:sz w:val="24"/>
                <w:szCs w:val="24"/>
                <w:lang w:eastAsia="pt-BR"/>
              </w:rPr>
              <w:t xml:space="preserve">UNISOL </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eastAsia="Times New Roman" w:hAnsi="Times New Roman"/>
                <w:sz w:val="24"/>
                <w:szCs w:val="24"/>
                <w:lang w:eastAsia="pt-BR"/>
              </w:rPr>
              <w:t>União e Solidariedade das Cooperativas e Empreendimentos de Economia Social</w:t>
            </w:r>
          </w:p>
        </w:tc>
      </w:tr>
      <w:tr w:rsidR="003D7D4D" w:rsidRPr="008F710D" w:rsidTr="001923EC">
        <w:tc>
          <w:tcPr>
            <w:tcW w:w="1809"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USIMINAS</w:t>
            </w:r>
          </w:p>
        </w:tc>
        <w:tc>
          <w:tcPr>
            <w:tcW w:w="6804" w:type="dxa"/>
          </w:tcPr>
          <w:p w:rsidR="003D7D4D" w:rsidRPr="008F710D" w:rsidRDefault="003D7D4D" w:rsidP="001923EC">
            <w:pPr>
              <w:spacing w:after="0" w:line="240" w:lineRule="auto"/>
              <w:rPr>
                <w:rFonts w:ascii="Times New Roman" w:hAnsi="Times New Roman"/>
                <w:sz w:val="24"/>
                <w:szCs w:val="24"/>
              </w:rPr>
            </w:pPr>
            <w:r w:rsidRPr="008F710D">
              <w:rPr>
                <w:rFonts w:ascii="Times New Roman" w:hAnsi="Times New Roman"/>
                <w:sz w:val="24"/>
                <w:szCs w:val="24"/>
              </w:rPr>
              <w:t>Usinas Siderúrgicas de Minas Gerais</w:t>
            </w:r>
          </w:p>
        </w:tc>
      </w:tr>
    </w:tbl>
    <w:p w:rsidR="003D7D4D" w:rsidRPr="008F710D" w:rsidRDefault="003D7D4D" w:rsidP="001923EC">
      <w:pPr>
        <w:spacing w:after="0"/>
        <w:rPr>
          <w:rFonts w:ascii="Times New Roman" w:hAnsi="Times New Roman"/>
          <w:sz w:val="24"/>
          <w:szCs w:val="24"/>
        </w:rPr>
      </w:pPr>
    </w:p>
    <w:p w:rsidR="00175E42" w:rsidRDefault="00BE7F9F" w:rsidP="00175E42">
      <w:pPr>
        <w:jc w:val="center"/>
        <w:rPr>
          <w:rFonts w:ascii="Times New Roman" w:hAnsi="Times New Roman"/>
          <w:b/>
          <w:sz w:val="24"/>
          <w:szCs w:val="24"/>
        </w:rPr>
      </w:pPr>
      <w:r>
        <w:rPr>
          <w:rFonts w:ascii="Times New Roman" w:hAnsi="Times New Roman"/>
          <w:sz w:val="24"/>
          <w:szCs w:val="24"/>
        </w:rPr>
        <w:br w:type="page"/>
      </w:r>
      <w:r w:rsidR="00175E42" w:rsidRPr="00522A52">
        <w:rPr>
          <w:rFonts w:ascii="Times New Roman" w:hAnsi="Times New Roman"/>
          <w:b/>
          <w:sz w:val="24"/>
          <w:szCs w:val="24"/>
        </w:rPr>
        <w:t>SUMÁRIO</w:t>
      </w:r>
    </w:p>
    <w:p w:rsidR="00997B92" w:rsidRPr="00522A52" w:rsidRDefault="00997B92" w:rsidP="00997B92">
      <w:pPr>
        <w:spacing w:after="0"/>
        <w:jc w:val="center"/>
        <w:rPr>
          <w:rFonts w:ascii="Times New Roman" w:hAnsi="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44"/>
        <w:gridCol w:w="576"/>
      </w:tblGrid>
      <w:tr w:rsidR="00175E42" w:rsidRPr="00522A52" w:rsidTr="001C69D1">
        <w:tc>
          <w:tcPr>
            <w:tcW w:w="0" w:type="auto"/>
          </w:tcPr>
          <w:p w:rsidR="00175E42" w:rsidRPr="00522A52" w:rsidRDefault="00175E42" w:rsidP="00EE4D30">
            <w:pPr>
              <w:rPr>
                <w:rFonts w:ascii="Times New Roman" w:hAnsi="Times New Roman"/>
                <w:sz w:val="24"/>
                <w:szCs w:val="24"/>
              </w:rPr>
            </w:pPr>
            <w:r w:rsidRPr="00EE4D30">
              <w:rPr>
                <w:rFonts w:ascii="Times New Roman" w:hAnsi="Times New Roman"/>
                <w:b/>
                <w:sz w:val="24"/>
                <w:szCs w:val="24"/>
              </w:rPr>
              <w:t>INTRODUÇÃO</w:t>
            </w:r>
            <w:r w:rsidRPr="00522A52">
              <w:rPr>
                <w:rFonts w:ascii="Times New Roman" w:hAnsi="Times New Roman"/>
                <w:sz w:val="24"/>
                <w:szCs w:val="24"/>
              </w:rPr>
              <w:t xml:space="preserve"> .......................................................................................................</w:t>
            </w:r>
          </w:p>
        </w:tc>
        <w:tc>
          <w:tcPr>
            <w:tcW w:w="0" w:type="auto"/>
          </w:tcPr>
          <w:p w:rsidR="00175E42" w:rsidRPr="00522A52" w:rsidRDefault="00175E42" w:rsidP="00AD7F63">
            <w:pPr>
              <w:rPr>
                <w:rFonts w:ascii="Times New Roman" w:hAnsi="Times New Roman"/>
                <w:sz w:val="24"/>
                <w:szCs w:val="24"/>
              </w:rPr>
            </w:pPr>
            <w:r w:rsidRPr="00522A52">
              <w:rPr>
                <w:rFonts w:ascii="Times New Roman" w:hAnsi="Times New Roman"/>
                <w:sz w:val="24"/>
                <w:szCs w:val="24"/>
              </w:rPr>
              <w:t>1</w:t>
            </w:r>
          </w:p>
        </w:tc>
      </w:tr>
      <w:tr w:rsidR="00175E42" w:rsidRPr="00522A52" w:rsidTr="001C69D1">
        <w:tc>
          <w:tcPr>
            <w:tcW w:w="0" w:type="auto"/>
          </w:tcPr>
          <w:p w:rsidR="00175E42" w:rsidRPr="00EE4D30" w:rsidRDefault="00175E42" w:rsidP="00AD7F63">
            <w:pPr>
              <w:spacing w:line="240" w:lineRule="auto"/>
              <w:rPr>
                <w:rFonts w:ascii="Times New Roman" w:hAnsi="Times New Roman"/>
                <w:b/>
                <w:sz w:val="24"/>
                <w:szCs w:val="24"/>
              </w:rPr>
            </w:pPr>
            <w:r w:rsidRPr="00EE4D30">
              <w:rPr>
                <w:rFonts w:ascii="Times New Roman" w:hAnsi="Times New Roman"/>
                <w:b/>
                <w:sz w:val="24"/>
                <w:szCs w:val="24"/>
              </w:rPr>
              <w:t>CAPÍTULO 1 – ESTRUTURA NORMATIVA, MODO DE FUNCIONAMENTO E INSTÂNCIAS INTERNAS DO CDES</w:t>
            </w:r>
          </w:p>
        </w:tc>
        <w:tc>
          <w:tcPr>
            <w:tcW w:w="0" w:type="auto"/>
          </w:tcPr>
          <w:p w:rsidR="00175E42" w:rsidRPr="00522A52" w:rsidRDefault="00175E42" w:rsidP="00AD7F63">
            <w:pPr>
              <w:rPr>
                <w:rFonts w:ascii="Times New Roman" w:hAnsi="Times New Roman"/>
                <w:sz w:val="24"/>
                <w:szCs w:val="24"/>
              </w:rPr>
            </w:pPr>
          </w:p>
        </w:tc>
      </w:tr>
      <w:tr w:rsidR="00175E42" w:rsidRPr="00522A52" w:rsidTr="001C69D1">
        <w:tc>
          <w:tcPr>
            <w:tcW w:w="0" w:type="auto"/>
          </w:tcPr>
          <w:p w:rsidR="00175E42" w:rsidRPr="00522A52" w:rsidRDefault="00175E42" w:rsidP="009C6AB9">
            <w:pPr>
              <w:rPr>
                <w:rFonts w:ascii="Times New Roman" w:hAnsi="Times New Roman"/>
                <w:sz w:val="24"/>
                <w:szCs w:val="24"/>
              </w:rPr>
            </w:pPr>
            <w:r w:rsidRPr="00522A52">
              <w:rPr>
                <w:rFonts w:ascii="Times New Roman" w:hAnsi="Times New Roman"/>
                <w:sz w:val="24"/>
                <w:szCs w:val="24"/>
              </w:rPr>
              <w:t>1.1 – Introdução ........................................................................................................</w:t>
            </w:r>
          </w:p>
        </w:tc>
        <w:tc>
          <w:tcPr>
            <w:tcW w:w="0" w:type="auto"/>
          </w:tcPr>
          <w:p w:rsidR="00175E42" w:rsidRPr="00522A52" w:rsidRDefault="00997B92" w:rsidP="00AD7F63">
            <w:pPr>
              <w:rPr>
                <w:rFonts w:ascii="Times New Roman" w:hAnsi="Times New Roman"/>
                <w:sz w:val="24"/>
                <w:szCs w:val="24"/>
              </w:rPr>
            </w:pPr>
            <w:r>
              <w:rPr>
                <w:rFonts w:ascii="Times New Roman" w:hAnsi="Times New Roman"/>
                <w:sz w:val="24"/>
                <w:szCs w:val="24"/>
              </w:rPr>
              <w:t>32</w:t>
            </w:r>
          </w:p>
        </w:tc>
      </w:tr>
      <w:tr w:rsidR="00175E42" w:rsidRPr="00522A52" w:rsidTr="001C69D1">
        <w:tc>
          <w:tcPr>
            <w:tcW w:w="0" w:type="auto"/>
          </w:tcPr>
          <w:p w:rsidR="00175E42" w:rsidRPr="00522A52" w:rsidRDefault="00175E42" w:rsidP="00AD7F63">
            <w:pPr>
              <w:rPr>
                <w:rFonts w:ascii="Times New Roman" w:hAnsi="Times New Roman"/>
                <w:sz w:val="24"/>
                <w:szCs w:val="24"/>
              </w:rPr>
            </w:pPr>
            <w:r w:rsidRPr="00522A52">
              <w:rPr>
                <w:rFonts w:ascii="Times New Roman" w:hAnsi="Times New Roman"/>
                <w:sz w:val="24"/>
                <w:szCs w:val="24"/>
              </w:rPr>
              <w:t>1.2 - A Plenária do CDES .........................................................................................</w:t>
            </w:r>
          </w:p>
        </w:tc>
        <w:tc>
          <w:tcPr>
            <w:tcW w:w="0" w:type="auto"/>
          </w:tcPr>
          <w:p w:rsidR="00175E42" w:rsidRPr="00522A52" w:rsidRDefault="00997B92" w:rsidP="00AD7F63">
            <w:pPr>
              <w:rPr>
                <w:rFonts w:ascii="Times New Roman" w:hAnsi="Times New Roman"/>
                <w:sz w:val="24"/>
                <w:szCs w:val="24"/>
              </w:rPr>
            </w:pPr>
            <w:r>
              <w:rPr>
                <w:rFonts w:ascii="Times New Roman" w:hAnsi="Times New Roman"/>
                <w:sz w:val="24"/>
                <w:szCs w:val="24"/>
              </w:rPr>
              <w:t>32</w:t>
            </w:r>
          </w:p>
        </w:tc>
      </w:tr>
      <w:tr w:rsidR="00175E42" w:rsidRPr="00522A52" w:rsidTr="001C69D1">
        <w:tc>
          <w:tcPr>
            <w:tcW w:w="0" w:type="auto"/>
          </w:tcPr>
          <w:p w:rsidR="00175E42" w:rsidRPr="00522A52" w:rsidRDefault="00175E42" w:rsidP="00AD7F63">
            <w:pPr>
              <w:rPr>
                <w:rFonts w:ascii="Times New Roman" w:hAnsi="Times New Roman"/>
                <w:b/>
                <w:sz w:val="24"/>
                <w:szCs w:val="24"/>
              </w:rPr>
            </w:pPr>
            <w:r w:rsidRPr="00522A52">
              <w:rPr>
                <w:rFonts w:ascii="Times New Roman" w:hAnsi="Times New Roman"/>
                <w:sz w:val="24"/>
                <w:szCs w:val="24"/>
              </w:rPr>
              <w:t>1.3 - A Secretaria do CDES – a SEDES ...................................................................</w:t>
            </w:r>
          </w:p>
        </w:tc>
        <w:tc>
          <w:tcPr>
            <w:tcW w:w="0" w:type="auto"/>
          </w:tcPr>
          <w:p w:rsidR="00175E42" w:rsidRPr="00522A52" w:rsidRDefault="00997B92" w:rsidP="00AD7F63">
            <w:pPr>
              <w:rPr>
                <w:rFonts w:ascii="Times New Roman" w:hAnsi="Times New Roman"/>
                <w:sz w:val="24"/>
                <w:szCs w:val="24"/>
              </w:rPr>
            </w:pPr>
            <w:r>
              <w:rPr>
                <w:rFonts w:ascii="Times New Roman" w:hAnsi="Times New Roman"/>
                <w:sz w:val="24"/>
                <w:szCs w:val="24"/>
              </w:rPr>
              <w:t>45</w:t>
            </w:r>
          </w:p>
        </w:tc>
      </w:tr>
      <w:tr w:rsidR="00175E42" w:rsidRPr="00522A52" w:rsidTr="001C69D1">
        <w:tc>
          <w:tcPr>
            <w:tcW w:w="0" w:type="auto"/>
          </w:tcPr>
          <w:p w:rsidR="00175E42" w:rsidRPr="00522A52" w:rsidRDefault="00175E42" w:rsidP="00AD7F63">
            <w:pPr>
              <w:rPr>
                <w:rFonts w:ascii="Times New Roman" w:hAnsi="Times New Roman"/>
                <w:b/>
                <w:sz w:val="24"/>
                <w:szCs w:val="24"/>
              </w:rPr>
            </w:pPr>
            <w:r w:rsidRPr="00522A52">
              <w:rPr>
                <w:rFonts w:ascii="Times New Roman" w:hAnsi="Times New Roman"/>
                <w:sz w:val="24"/>
                <w:szCs w:val="24"/>
              </w:rPr>
              <w:t>1.4 - Os Grupos de Trabalho e de Acompanhamento ...............................................</w:t>
            </w:r>
          </w:p>
        </w:tc>
        <w:tc>
          <w:tcPr>
            <w:tcW w:w="0" w:type="auto"/>
          </w:tcPr>
          <w:p w:rsidR="00175E42" w:rsidRPr="00522A52" w:rsidRDefault="00997B92" w:rsidP="00AD7F63">
            <w:pPr>
              <w:rPr>
                <w:rFonts w:ascii="Times New Roman" w:hAnsi="Times New Roman"/>
                <w:sz w:val="24"/>
                <w:szCs w:val="24"/>
              </w:rPr>
            </w:pPr>
            <w:r>
              <w:rPr>
                <w:rFonts w:ascii="Times New Roman" w:hAnsi="Times New Roman"/>
                <w:sz w:val="24"/>
                <w:szCs w:val="24"/>
              </w:rPr>
              <w:t>52</w:t>
            </w:r>
          </w:p>
        </w:tc>
      </w:tr>
      <w:tr w:rsidR="00175E42" w:rsidRPr="00522A52" w:rsidTr="001C69D1">
        <w:tc>
          <w:tcPr>
            <w:tcW w:w="0" w:type="auto"/>
          </w:tcPr>
          <w:p w:rsidR="00175E42" w:rsidRPr="00522A52" w:rsidRDefault="00175E42" w:rsidP="00AD7F63">
            <w:pPr>
              <w:rPr>
                <w:rFonts w:ascii="Times New Roman" w:hAnsi="Times New Roman"/>
                <w:b/>
                <w:sz w:val="24"/>
                <w:szCs w:val="24"/>
              </w:rPr>
            </w:pPr>
            <w:r w:rsidRPr="00522A52">
              <w:rPr>
                <w:rFonts w:ascii="Times New Roman" w:hAnsi="Times New Roman"/>
                <w:sz w:val="24"/>
                <w:szCs w:val="24"/>
              </w:rPr>
              <w:t>1.5 – Observatório da Equidade ................................................................................</w:t>
            </w:r>
          </w:p>
        </w:tc>
        <w:tc>
          <w:tcPr>
            <w:tcW w:w="0" w:type="auto"/>
          </w:tcPr>
          <w:p w:rsidR="00175E42" w:rsidRPr="00522A52" w:rsidRDefault="00997B92" w:rsidP="00AD7F63">
            <w:pPr>
              <w:rPr>
                <w:rFonts w:ascii="Times New Roman" w:hAnsi="Times New Roman"/>
                <w:sz w:val="24"/>
                <w:szCs w:val="24"/>
              </w:rPr>
            </w:pPr>
            <w:r>
              <w:rPr>
                <w:rFonts w:ascii="Times New Roman" w:hAnsi="Times New Roman"/>
                <w:sz w:val="24"/>
                <w:szCs w:val="24"/>
              </w:rPr>
              <w:t>59</w:t>
            </w:r>
          </w:p>
        </w:tc>
      </w:tr>
      <w:tr w:rsidR="00175E42" w:rsidRPr="00522A52" w:rsidTr="001C69D1">
        <w:tc>
          <w:tcPr>
            <w:tcW w:w="0" w:type="auto"/>
          </w:tcPr>
          <w:p w:rsidR="00175E42" w:rsidRPr="00522A52" w:rsidRDefault="00175E42" w:rsidP="00AD7F63">
            <w:pPr>
              <w:ind w:left="567"/>
              <w:rPr>
                <w:rFonts w:ascii="Times New Roman" w:hAnsi="Times New Roman"/>
                <w:b/>
                <w:sz w:val="24"/>
                <w:szCs w:val="24"/>
              </w:rPr>
            </w:pPr>
            <w:r w:rsidRPr="00522A52">
              <w:rPr>
                <w:rFonts w:ascii="Times New Roman" w:hAnsi="Times New Roman"/>
                <w:sz w:val="24"/>
                <w:szCs w:val="24"/>
              </w:rPr>
              <w:t>1.5.1 – Considerações sobre o tema da equidade ...........................................</w:t>
            </w:r>
          </w:p>
        </w:tc>
        <w:tc>
          <w:tcPr>
            <w:tcW w:w="0" w:type="auto"/>
          </w:tcPr>
          <w:p w:rsidR="00175E42" w:rsidRPr="00522A52" w:rsidRDefault="00997B92" w:rsidP="00AD7F63">
            <w:pPr>
              <w:rPr>
                <w:rFonts w:ascii="Times New Roman" w:hAnsi="Times New Roman"/>
                <w:sz w:val="24"/>
                <w:szCs w:val="24"/>
              </w:rPr>
            </w:pPr>
            <w:r>
              <w:rPr>
                <w:rFonts w:ascii="Times New Roman" w:hAnsi="Times New Roman"/>
                <w:sz w:val="24"/>
                <w:szCs w:val="24"/>
              </w:rPr>
              <w:t>64</w:t>
            </w:r>
          </w:p>
        </w:tc>
      </w:tr>
      <w:tr w:rsidR="00175E42" w:rsidRPr="00522A52" w:rsidTr="001C69D1">
        <w:tc>
          <w:tcPr>
            <w:tcW w:w="0" w:type="auto"/>
          </w:tcPr>
          <w:p w:rsidR="00175E42" w:rsidRPr="00522A52" w:rsidRDefault="00175E42" w:rsidP="00AD7F63">
            <w:pPr>
              <w:rPr>
                <w:rFonts w:ascii="Times New Roman" w:hAnsi="Times New Roman"/>
                <w:sz w:val="24"/>
                <w:szCs w:val="24"/>
              </w:rPr>
            </w:pPr>
            <w:r w:rsidRPr="00522A52">
              <w:rPr>
                <w:rFonts w:ascii="Times New Roman" w:hAnsi="Times New Roman"/>
                <w:sz w:val="24"/>
                <w:szCs w:val="24"/>
              </w:rPr>
              <w:t>1.6 - O Comitê Gestor ...............................................................................................</w:t>
            </w:r>
          </w:p>
        </w:tc>
        <w:tc>
          <w:tcPr>
            <w:tcW w:w="0" w:type="auto"/>
          </w:tcPr>
          <w:p w:rsidR="00175E42" w:rsidRPr="00522A52" w:rsidRDefault="00997B92" w:rsidP="00AD7F63">
            <w:pPr>
              <w:rPr>
                <w:rFonts w:ascii="Times New Roman" w:hAnsi="Times New Roman"/>
                <w:sz w:val="24"/>
                <w:szCs w:val="24"/>
              </w:rPr>
            </w:pPr>
            <w:r>
              <w:rPr>
                <w:rFonts w:ascii="Times New Roman" w:hAnsi="Times New Roman"/>
                <w:sz w:val="24"/>
                <w:szCs w:val="24"/>
              </w:rPr>
              <w:t>69</w:t>
            </w:r>
          </w:p>
        </w:tc>
      </w:tr>
      <w:tr w:rsidR="00175E42" w:rsidRPr="00522A52" w:rsidTr="001C69D1">
        <w:tc>
          <w:tcPr>
            <w:tcW w:w="0" w:type="auto"/>
          </w:tcPr>
          <w:p w:rsidR="00175E42" w:rsidRPr="00AD7F63" w:rsidRDefault="00175E42" w:rsidP="00AD7F63">
            <w:pPr>
              <w:spacing w:line="240" w:lineRule="auto"/>
              <w:rPr>
                <w:rFonts w:ascii="Times New Roman" w:hAnsi="Times New Roman"/>
                <w:sz w:val="24"/>
                <w:szCs w:val="24"/>
              </w:rPr>
            </w:pPr>
            <w:r w:rsidRPr="00EE4D30">
              <w:rPr>
                <w:rFonts w:ascii="Times New Roman" w:hAnsi="Times New Roman"/>
                <w:b/>
                <w:sz w:val="24"/>
                <w:szCs w:val="24"/>
              </w:rPr>
              <w:t>CAPÍTULO 2 – CLASSES, FRAÇÕES DE CLASSES DOMINANTES E SUAS ENTIDADES DA SOCIEDADE CIVIL NO CDES</w:t>
            </w:r>
          </w:p>
        </w:tc>
        <w:tc>
          <w:tcPr>
            <w:tcW w:w="0" w:type="auto"/>
          </w:tcPr>
          <w:p w:rsidR="00175E42" w:rsidRPr="00522A52" w:rsidRDefault="00175E42" w:rsidP="00AD7F63">
            <w:pPr>
              <w:rPr>
                <w:rFonts w:ascii="Times New Roman" w:hAnsi="Times New Roman"/>
                <w:sz w:val="24"/>
                <w:szCs w:val="24"/>
              </w:rPr>
            </w:pPr>
          </w:p>
        </w:tc>
      </w:tr>
      <w:tr w:rsidR="00175E42" w:rsidRPr="00522A52" w:rsidTr="001C69D1">
        <w:tc>
          <w:tcPr>
            <w:tcW w:w="0" w:type="auto"/>
          </w:tcPr>
          <w:p w:rsidR="00175E42" w:rsidRPr="00522A52" w:rsidRDefault="00175E42" w:rsidP="00AD7F63">
            <w:pPr>
              <w:rPr>
                <w:rFonts w:ascii="Times New Roman" w:hAnsi="Times New Roman"/>
                <w:sz w:val="24"/>
                <w:szCs w:val="24"/>
              </w:rPr>
            </w:pPr>
            <w:r w:rsidRPr="00522A52">
              <w:rPr>
                <w:rFonts w:ascii="Times New Roman" w:hAnsi="Times New Roman"/>
                <w:sz w:val="24"/>
                <w:szCs w:val="24"/>
              </w:rPr>
              <w:t>2.1 - Hipóteses de trabalho ........................................................................................</w:t>
            </w:r>
          </w:p>
        </w:tc>
        <w:tc>
          <w:tcPr>
            <w:tcW w:w="0" w:type="auto"/>
          </w:tcPr>
          <w:p w:rsidR="00175E42" w:rsidRPr="00522A52" w:rsidRDefault="00997B92" w:rsidP="00AD7F63">
            <w:pPr>
              <w:rPr>
                <w:rFonts w:ascii="Times New Roman" w:hAnsi="Times New Roman"/>
                <w:sz w:val="24"/>
                <w:szCs w:val="24"/>
              </w:rPr>
            </w:pPr>
            <w:r>
              <w:rPr>
                <w:rFonts w:ascii="Times New Roman" w:hAnsi="Times New Roman"/>
                <w:sz w:val="24"/>
                <w:szCs w:val="24"/>
              </w:rPr>
              <w:t>79</w:t>
            </w:r>
          </w:p>
        </w:tc>
      </w:tr>
      <w:tr w:rsidR="00175E42" w:rsidRPr="00522A52" w:rsidTr="001C69D1">
        <w:tc>
          <w:tcPr>
            <w:tcW w:w="0" w:type="auto"/>
          </w:tcPr>
          <w:p w:rsidR="00175E42" w:rsidRPr="00522A52" w:rsidRDefault="00175E42" w:rsidP="00AD7F63">
            <w:pPr>
              <w:rPr>
                <w:rFonts w:ascii="Times New Roman" w:hAnsi="Times New Roman"/>
                <w:sz w:val="24"/>
                <w:szCs w:val="24"/>
              </w:rPr>
            </w:pPr>
            <w:r w:rsidRPr="00522A52">
              <w:rPr>
                <w:rFonts w:ascii="Times New Roman" w:hAnsi="Times New Roman"/>
                <w:sz w:val="24"/>
                <w:szCs w:val="24"/>
              </w:rPr>
              <w:t>2.2 - Os segmentos não empresariais no CDES ........................................................</w:t>
            </w:r>
          </w:p>
        </w:tc>
        <w:tc>
          <w:tcPr>
            <w:tcW w:w="0" w:type="auto"/>
          </w:tcPr>
          <w:p w:rsidR="00175E42" w:rsidRPr="00522A52" w:rsidRDefault="00997B92" w:rsidP="00AD7F63">
            <w:pPr>
              <w:rPr>
                <w:rFonts w:ascii="Times New Roman" w:hAnsi="Times New Roman"/>
                <w:sz w:val="24"/>
                <w:szCs w:val="24"/>
              </w:rPr>
            </w:pPr>
            <w:r>
              <w:rPr>
                <w:rFonts w:ascii="Times New Roman" w:hAnsi="Times New Roman"/>
                <w:sz w:val="24"/>
                <w:szCs w:val="24"/>
              </w:rPr>
              <w:t>82</w:t>
            </w:r>
          </w:p>
        </w:tc>
      </w:tr>
      <w:tr w:rsidR="001C69D1" w:rsidRPr="00522A52" w:rsidTr="001C69D1">
        <w:tc>
          <w:tcPr>
            <w:tcW w:w="0" w:type="auto"/>
          </w:tcPr>
          <w:p w:rsidR="001C69D1" w:rsidRPr="00522A52" w:rsidRDefault="001C69D1" w:rsidP="00EF3C4D">
            <w:pPr>
              <w:ind w:left="567"/>
              <w:rPr>
                <w:rFonts w:ascii="Times New Roman" w:hAnsi="Times New Roman"/>
                <w:sz w:val="24"/>
                <w:szCs w:val="24"/>
              </w:rPr>
            </w:pPr>
            <w:r w:rsidRPr="00522A52">
              <w:rPr>
                <w:rFonts w:ascii="Times New Roman" w:hAnsi="Times New Roman"/>
                <w:sz w:val="24"/>
                <w:szCs w:val="24"/>
              </w:rPr>
              <w:t>2.2.1 - O sindicalismo laboral ..........................................................................</w:t>
            </w:r>
          </w:p>
        </w:tc>
        <w:tc>
          <w:tcPr>
            <w:tcW w:w="0" w:type="auto"/>
          </w:tcPr>
          <w:p w:rsidR="001C69D1" w:rsidRDefault="001C69D1" w:rsidP="00AD7F63">
            <w:pPr>
              <w:rPr>
                <w:rFonts w:ascii="Times New Roman" w:hAnsi="Times New Roman"/>
                <w:sz w:val="24"/>
                <w:szCs w:val="24"/>
              </w:rPr>
            </w:pPr>
            <w:r>
              <w:rPr>
                <w:rFonts w:ascii="Times New Roman" w:hAnsi="Times New Roman"/>
                <w:sz w:val="24"/>
                <w:szCs w:val="24"/>
              </w:rPr>
              <w:t>82</w:t>
            </w:r>
          </w:p>
        </w:tc>
      </w:tr>
      <w:tr w:rsidR="001C69D1" w:rsidRPr="00522A52" w:rsidTr="001C69D1">
        <w:tc>
          <w:tcPr>
            <w:tcW w:w="0" w:type="auto"/>
          </w:tcPr>
          <w:p w:rsidR="001C69D1" w:rsidRPr="00522A52" w:rsidRDefault="001C69D1" w:rsidP="00EF3C4D">
            <w:pPr>
              <w:ind w:left="567"/>
              <w:rPr>
                <w:rFonts w:ascii="Times New Roman" w:hAnsi="Times New Roman"/>
                <w:sz w:val="24"/>
                <w:szCs w:val="24"/>
              </w:rPr>
            </w:pPr>
            <w:r w:rsidRPr="00522A52">
              <w:rPr>
                <w:rFonts w:ascii="Times New Roman" w:hAnsi="Times New Roman"/>
                <w:sz w:val="24"/>
                <w:szCs w:val="24"/>
              </w:rPr>
              <w:t xml:space="preserve">2.2.2 - As Demais Entidades da Sociedade </w:t>
            </w:r>
            <w:r>
              <w:rPr>
                <w:rFonts w:ascii="Times New Roman" w:hAnsi="Times New Roman"/>
                <w:sz w:val="24"/>
                <w:szCs w:val="24"/>
              </w:rPr>
              <w:t>C</w:t>
            </w:r>
            <w:r w:rsidRPr="00522A52">
              <w:rPr>
                <w:rFonts w:ascii="Times New Roman" w:hAnsi="Times New Roman"/>
                <w:sz w:val="24"/>
                <w:szCs w:val="24"/>
              </w:rPr>
              <w:t>ivil.............................................</w:t>
            </w:r>
          </w:p>
        </w:tc>
        <w:tc>
          <w:tcPr>
            <w:tcW w:w="0" w:type="auto"/>
          </w:tcPr>
          <w:p w:rsidR="001C69D1" w:rsidRDefault="001C69D1" w:rsidP="00AD7F63">
            <w:pPr>
              <w:rPr>
                <w:rFonts w:ascii="Times New Roman" w:hAnsi="Times New Roman"/>
                <w:sz w:val="24"/>
                <w:szCs w:val="24"/>
              </w:rPr>
            </w:pPr>
            <w:r>
              <w:rPr>
                <w:rFonts w:ascii="Times New Roman" w:hAnsi="Times New Roman"/>
                <w:sz w:val="24"/>
                <w:szCs w:val="24"/>
              </w:rPr>
              <w:t>86</w:t>
            </w:r>
          </w:p>
        </w:tc>
      </w:tr>
      <w:tr w:rsidR="001C69D1" w:rsidRPr="00522A52" w:rsidTr="001C69D1">
        <w:tc>
          <w:tcPr>
            <w:tcW w:w="0" w:type="auto"/>
          </w:tcPr>
          <w:p w:rsidR="001C69D1" w:rsidRPr="00522A52" w:rsidRDefault="001C69D1" w:rsidP="00EF3C4D">
            <w:pPr>
              <w:ind w:left="567"/>
              <w:rPr>
                <w:rFonts w:ascii="Times New Roman" w:hAnsi="Times New Roman"/>
                <w:sz w:val="24"/>
                <w:szCs w:val="24"/>
              </w:rPr>
            </w:pPr>
            <w:r w:rsidRPr="00522A52">
              <w:rPr>
                <w:rFonts w:ascii="Times New Roman" w:hAnsi="Times New Roman"/>
                <w:sz w:val="24"/>
                <w:szCs w:val="24"/>
              </w:rPr>
              <w:t>2.2.3 - Acadêmicos e personalidades ...............................................................</w:t>
            </w:r>
          </w:p>
        </w:tc>
        <w:tc>
          <w:tcPr>
            <w:tcW w:w="0" w:type="auto"/>
          </w:tcPr>
          <w:p w:rsidR="001C69D1" w:rsidRDefault="001C69D1" w:rsidP="00AD7F63">
            <w:pPr>
              <w:rPr>
                <w:rFonts w:ascii="Times New Roman" w:hAnsi="Times New Roman"/>
                <w:sz w:val="24"/>
                <w:szCs w:val="24"/>
              </w:rPr>
            </w:pPr>
            <w:r>
              <w:rPr>
                <w:rFonts w:ascii="Times New Roman" w:hAnsi="Times New Roman"/>
                <w:sz w:val="24"/>
                <w:szCs w:val="24"/>
              </w:rPr>
              <w:t>89</w:t>
            </w:r>
          </w:p>
        </w:tc>
      </w:tr>
      <w:tr w:rsidR="001C69D1" w:rsidRPr="00522A52" w:rsidTr="001C69D1">
        <w:tc>
          <w:tcPr>
            <w:tcW w:w="0" w:type="auto"/>
          </w:tcPr>
          <w:p w:rsidR="001C69D1" w:rsidRPr="00522A52" w:rsidRDefault="001C69D1" w:rsidP="00EF3C4D">
            <w:pPr>
              <w:ind w:left="567"/>
              <w:rPr>
                <w:rFonts w:ascii="Times New Roman" w:hAnsi="Times New Roman"/>
                <w:sz w:val="24"/>
                <w:szCs w:val="24"/>
              </w:rPr>
            </w:pPr>
            <w:r w:rsidRPr="00522A52">
              <w:rPr>
                <w:rFonts w:ascii="Times New Roman" w:hAnsi="Times New Roman"/>
                <w:sz w:val="24"/>
                <w:szCs w:val="24"/>
              </w:rPr>
              <w:t>2.2.4 - A proporcionalidade entre os se</w:t>
            </w:r>
            <w:r>
              <w:rPr>
                <w:rFonts w:ascii="Times New Roman" w:hAnsi="Times New Roman"/>
                <w:sz w:val="24"/>
                <w:szCs w:val="24"/>
              </w:rPr>
              <w:t>gmentos representados .........</w:t>
            </w:r>
            <w:r w:rsidRPr="00522A52">
              <w:rPr>
                <w:rFonts w:ascii="Times New Roman" w:hAnsi="Times New Roman"/>
                <w:sz w:val="24"/>
                <w:szCs w:val="24"/>
              </w:rPr>
              <w:t>.............</w:t>
            </w:r>
          </w:p>
        </w:tc>
        <w:tc>
          <w:tcPr>
            <w:tcW w:w="0" w:type="auto"/>
          </w:tcPr>
          <w:p w:rsidR="001C69D1" w:rsidRDefault="001C69D1" w:rsidP="00AD7F63">
            <w:pPr>
              <w:rPr>
                <w:rFonts w:ascii="Times New Roman" w:hAnsi="Times New Roman"/>
                <w:sz w:val="24"/>
                <w:szCs w:val="24"/>
              </w:rPr>
            </w:pPr>
            <w:r>
              <w:rPr>
                <w:rFonts w:ascii="Times New Roman" w:hAnsi="Times New Roman"/>
                <w:sz w:val="24"/>
                <w:szCs w:val="24"/>
              </w:rPr>
              <w:t>91</w:t>
            </w:r>
          </w:p>
        </w:tc>
      </w:tr>
      <w:tr w:rsidR="00175E42" w:rsidRPr="00522A52" w:rsidTr="001C69D1">
        <w:tc>
          <w:tcPr>
            <w:tcW w:w="0" w:type="auto"/>
          </w:tcPr>
          <w:p w:rsidR="00175E42" w:rsidRPr="00522A52" w:rsidRDefault="00175E42" w:rsidP="004B775E">
            <w:pPr>
              <w:rPr>
                <w:rFonts w:ascii="Times New Roman" w:hAnsi="Times New Roman"/>
                <w:sz w:val="24"/>
                <w:szCs w:val="24"/>
              </w:rPr>
            </w:pPr>
            <w:r w:rsidRPr="00522A52">
              <w:rPr>
                <w:rFonts w:ascii="Times New Roman" w:hAnsi="Times New Roman"/>
                <w:sz w:val="24"/>
                <w:szCs w:val="24"/>
              </w:rPr>
              <w:t>2.3 - As frações do capital e seu entrelaçamento</w:t>
            </w:r>
            <w:r w:rsidR="004B775E">
              <w:rPr>
                <w:rFonts w:ascii="Times New Roman" w:hAnsi="Times New Roman"/>
                <w:sz w:val="24"/>
                <w:szCs w:val="24"/>
              </w:rPr>
              <w:t xml:space="preserve"> ...............</w:t>
            </w:r>
            <w:r w:rsidRPr="00522A52">
              <w:rPr>
                <w:rFonts w:ascii="Times New Roman" w:hAnsi="Times New Roman"/>
                <w:sz w:val="24"/>
                <w:szCs w:val="24"/>
              </w:rPr>
              <w:t>.......................................</w:t>
            </w:r>
          </w:p>
        </w:tc>
        <w:tc>
          <w:tcPr>
            <w:tcW w:w="0" w:type="auto"/>
          </w:tcPr>
          <w:p w:rsidR="00175E42" w:rsidRPr="00522A52" w:rsidRDefault="004B775E" w:rsidP="00AD7F63">
            <w:pPr>
              <w:rPr>
                <w:rFonts w:ascii="Times New Roman" w:hAnsi="Times New Roman"/>
                <w:sz w:val="24"/>
                <w:szCs w:val="24"/>
              </w:rPr>
            </w:pPr>
            <w:r>
              <w:rPr>
                <w:rFonts w:ascii="Times New Roman" w:hAnsi="Times New Roman"/>
                <w:sz w:val="24"/>
                <w:szCs w:val="24"/>
              </w:rPr>
              <w:t>94</w:t>
            </w:r>
          </w:p>
        </w:tc>
      </w:tr>
      <w:tr w:rsidR="001C69D1" w:rsidRPr="00522A52" w:rsidTr="001C69D1">
        <w:tc>
          <w:tcPr>
            <w:tcW w:w="0" w:type="auto"/>
          </w:tcPr>
          <w:p w:rsidR="001C69D1" w:rsidRPr="00522A52" w:rsidRDefault="001C69D1" w:rsidP="001C69D1">
            <w:pPr>
              <w:ind w:left="567"/>
              <w:rPr>
                <w:rFonts w:ascii="Times New Roman" w:hAnsi="Times New Roman"/>
                <w:sz w:val="24"/>
                <w:szCs w:val="24"/>
              </w:rPr>
            </w:pPr>
            <w:r w:rsidRPr="00522A52">
              <w:rPr>
                <w:rFonts w:ascii="Times New Roman" w:hAnsi="Times New Roman"/>
                <w:sz w:val="24"/>
                <w:szCs w:val="24"/>
              </w:rPr>
              <w:t>2.3.1 - Abordagem teórica utilizada na pesquisa para o estudo das frações ....</w:t>
            </w:r>
          </w:p>
        </w:tc>
        <w:tc>
          <w:tcPr>
            <w:tcW w:w="0" w:type="auto"/>
          </w:tcPr>
          <w:p w:rsidR="001C69D1" w:rsidRDefault="001C69D1" w:rsidP="00AD7F63">
            <w:pPr>
              <w:rPr>
                <w:rFonts w:ascii="Times New Roman" w:hAnsi="Times New Roman"/>
                <w:sz w:val="24"/>
                <w:szCs w:val="24"/>
              </w:rPr>
            </w:pPr>
            <w:r>
              <w:rPr>
                <w:rFonts w:ascii="Times New Roman" w:hAnsi="Times New Roman"/>
                <w:sz w:val="24"/>
                <w:szCs w:val="24"/>
              </w:rPr>
              <w:t>94</w:t>
            </w:r>
          </w:p>
        </w:tc>
      </w:tr>
      <w:tr w:rsidR="00175E42" w:rsidRPr="00522A52" w:rsidTr="001C69D1">
        <w:tc>
          <w:tcPr>
            <w:tcW w:w="0" w:type="auto"/>
          </w:tcPr>
          <w:p w:rsidR="00175E42" w:rsidRPr="00522A52" w:rsidRDefault="00175E42" w:rsidP="00AD7F63">
            <w:pPr>
              <w:spacing w:after="0" w:line="360" w:lineRule="auto"/>
              <w:ind w:left="567"/>
              <w:rPr>
                <w:rFonts w:ascii="Times New Roman" w:hAnsi="Times New Roman"/>
                <w:sz w:val="24"/>
                <w:szCs w:val="24"/>
              </w:rPr>
            </w:pPr>
            <w:r w:rsidRPr="00522A52">
              <w:rPr>
                <w:rFonts w:ascii="Times New Roman" w:hAnsi="Times New Roman"/>
                <w:sz w:val="24"/>
                <w:szCs w:val="24"/>
              </w:rPr>
              <w:t>2.3.2 - O predomínio de setores empresariais de atividade industrial .............</w:t>
            </w:r>
          </w:p>
        </w:tc>
        <w:tc>
          <w:tcPr>
            <w:tcW w:w="0" w:type="auto"/>
          </w:tcPr>
          <w:p w:rsidR="00175E42" w:rsidRPr="00522A52" w:rsidRDefault="004B775E" w:rsidP="00AD7F63">
            <w:pPr>
              <w:rPr>
                <w:rFonts w:ascii="Times New Roman" w:hAnsi="Times New Roman"/>
                <w:sz w:val="24"/>
                <w:szCs w:val="24"/>
              </w:rPr>
            </w:pPr>
            <w:r>
              <w:rPr>
                <w:rFonts w:ascii="Times New Roman" w:hAnsi="Times New Roman"/>
                <w:sz w:val="24"/>
                <w:szCs w:val="24"/>
              </w:rPr>
              <w:t>97</w:t>
            </w:r>
          </w:p>
        </w:tc>
      </w:tr>
      <w:tr w:rsidR="00175E42" w:rsidRPr="00522A52" w:rsidTr="001C69D1">
        <w:tc>
          <w:tcPr>
            <w:tcW w:w="0" w:type="auto"/>
          </w:tcPr>
          <w:p w:rsidR="00175E42" w:rsidRPr="00522A52" w:rsidRDefault="00175E42" w:rsidP="00AD7F63">
            <w:pPr>
              <w:spacing w:after="0" w:line="240" w:lineRule="auto"/>
              <w:ind w:left="567"/>
              <w:rPr>
                <w:rFonts w:ascii="Times New Roman" w:hAnsi="Times New Roman"/>
                <w:sz w:val="24"/>
                <w:szCs w:val="24"/>
              </w:rPr>
            </w:pPr>
            <w:r w:rsidRPr="00522A52">
              <w:rPr>
                <w:rFonts w:ascii="Times New Roman" w:hAnsi="Times New Roman"/>
                <w:sz w:val="24"/>
                <w:szCs w:val="24"/>
              </w:rPr>
              <w:t>2.3.3 - Setores da fração industrial (produtora de valor</w:t>
            </w:r>
            <w:r>
              <w:rPr>
                <w:rFonts w:ascii="Times New Roman" w:hAnsi="Times New Roman"/>
                <w:sz w:val="24"/>
                <w:szCs w:val="24"/>
              </w:rPr>
              <w:t>).............................</w:t>
            </w:r>
            <w:r w:rsidRPr="00522A52">
              <w:rPr>
                <w:rFonts w:ascii="Times New Roman" w:hAnsi="Times New Roman"/>
                <w:sz w:val="24"/>
                <w:szCs w:val="24"/>
              </w:rPr>
              <w:t>....</w:t>
            </w:r>
          </w:p>
        </w:tc>
        <w:tc>
          <w:tcPr>
            <w:tcW w:w="0" w:type="auto"/>
          </w:tcPr>
          <w:p w:rsidR="00175E42" w:rsidRPr="00522A52" w:rsidRDefault="004B775E" w:rsidP="00AD7F63">
            <w:pPr>
              <w:rPr>
                <w:rFonts w:ascii="Times New Roman" w:hAnsi="Times New Roman"/>
                <w:sz w:val="24"/>
                <w:szCs w:val="24"/>
              </w:rPr>
            </w:pPr>
            <w:r>
              <w:rPr>
                <w:rFonts w:ascii="Times New Roman" w:hAnsi="Times New Roman"/>
                <w:sz w:val="24"/>
                <w:szCs w:val="24"/>
              </w:rPr>
              <w:t>102</w:t>
            </w:r>
          </w:p>
        </w:tc>
      </w:tr>
      <w:tr w:rsidR="00175E42" w:rsidRPr="00522A52" w:rsidTr="001C69D1">
        <w:tc>
          <w:tcPr>
            <w:tcW w:w="0" w:type="auto"/>
          </w:tcPr>
          <w:p w:rsidR="00175E42" w:rsidRPr="00522A52" w:rsidRDefault="00175E42" w:rsidP="00AD7F63">
            <w:pPr>
              <w:spacing w:line="240" w:lineRule="auto"/>
              <w:ind w:left="851"/>
              <w:jc w:val="both"/>
              <w:rPr>
                <w:rFonts w:ascii="Times New Roman" w:hAnsi="Times New Roman"/>
                <w:sz w:val="24"/>
                <w:szCs w:val="24"/>
              </w:rPr>
            </w:pPr>
            <w:r w:rsidRPr="00522A52">
              <w:rPr>
                <w:rFonts w:ascii="Times New Roman" w:hAnsi="Times New Roman"/>
                <w:sz w:val="24"/>
                <w:szCs w:val="24"/>
              </w:rPr>
              <w:t xml:space="preserve">2.3.3.1 – </w:t>
            </w:r>
            <w:r w:rsidR="004B775E" w:rsidRPr="004B775E">
              <w:rPr>
                <w:rFonts w:ascii="Times New Roman" w:hAnsi="Times New Roman"/>
                <w:sz w:val="24"/>
                <w:szCs w:val="24"/>
              </w:rPr>
              <w:t>A fração produtora de valor, commoditização e intensificação tecnológica</w:t>
            </w:r>
            <w:r w:rsidRPr="00522A52">
              <w:rPr>
                <w:rFonts w:ascii="Times New Roman" w:hAnsi="Times New Roman"/>
                <w:sz w:val="24"/>
                <w:szCs w:val="24"/>
              </w:rPr>
              <w:t>....................................................................</w:t>
            </w:r>
            <w:r w:rsidR="004B775E">
              <w:rPr>
                <w:rFonts w:ascii="Times New Roman" w:hAnsi="Times New Roman"/>
                <w:sz w:val="24"/>
                <w:szCs w:val="24"/>
              </w:rPr>
              <w:t>.........................</w:t>
            </w:r>
          </w:p>
        </w:tc>
        <w:tc>
          <w:tcPr>
            <w:tcW w:w="0" w:type="auto"/>
          </w:tcPr>
          <w:p w:rsidR="00175E42" w:rsidRPr="00522A52" w:rsidRDefault="004B775E" w:rsidP="004B775E">
            <w:pPr>
              <w:spacing w:before="240"/>
              <w:rPr>
                <w:rFonts w:ascii="Times New Roman" w:hAnsi="Times New Roman"/>
                <w:sz w:val="24"/>
                <w:szCs w:val="24"/>
              </w:rPr>
            </w:pPr>
            <w:r>
              <w:rPr>
                <w:rFonts w:ascii="Times New Roman" w:hAnsi="Times New Roman"/>
                <w:sz w:val="24"/>
                <w:szCs w:val="24"/>
              </w:rPr>
              <w:t>106</w:t>
            </w:r>
          </w:p>
        </w:tc>
      </w:tr>
      <w:tr w:rsidR="00175E42" w:rsidRPr="00522A52" w:rsidTr="001C69D1">
        <w:tc>
          <w:tcPr>
            <w:tcW w:w="0" w:type="auto"/>
          </w:tcPr>
          <w:p w:rsidR="00175E42" w:rsidRPr="00522A52" w:rsidRDefault="00175E42" w:rsidP="004B775E">
            <w:pPr>
              <w:ind w:left="851"/>
              <w:rPr>
                <w:rFonts w:ascii="Times New Roman" w:hAnsi="Times New Roman"/>
                <w:sz w:val="24"/>
                <w:szCs w:val="24"/>
              </w:rPr>
            </w:pPr>
            <w:r w:rsidRPr="00522A52">
              <w:rPr>
                <w:rFonts w:ascii="Times New Roman" w:hAnsi="Times New Roman"/>
                <w:sz w:val="24"/>
                <w:szCs w:val="24"/>
              </w:rPr>
              <w:t>2.3.3.2 – Breve estudo da agroindústria no CDES .....................................</w:t>
            </w:r>
          </w:p>
        </w:tc>
        <w:tc>
          <w:tcPr>
            <w:tcW w:w="0" w:type="auto"/>
          </w:tcPr>
          <w:p w:rsidR="00175E42" w:rsidRPr="00522A52" w:rsidRDefault="004B775E" w:rsidP="00AD7F63">
            <w:pPr>
              <w:rPr>
                <w:rFonts w:ascii="Times New Roman" w:hAnsi="Times New Roman"/>
                <w:sz w:val="24"/>
                <w:szCs w:val="24"/>
              </w:rPr>
            </w:pPr>
            <w:r>
              <w:rPr>
                <w:rFonts w:ascii="Times New Roman" w:hAnsi="Times New Roman"/>
                <w:sz w:val="24"/>
                <w:szCs w:val="24"/>
              </w:rPr>
              <w:t>116</w:t>
            </w:r>
          </w:p>
        </w:tc>
      </w:tr>
      <w:tr w:rsidR="00175E42" w:rsidRPr="00522A52" w:rsidTr="001C69D1">
        <w:tc>
          <w:tcPr>
            <w:tcW w:w="0" w:type="auto"/>
          </w:tcPr>
          <w:p w:rsidR="00175E42" w:rsidRPr="00522A52" w:rsidRDefault="00175E42" w:rsidP="004B775E">
            <w:pPr>
              <w:ind w:left="851"/>
              <w:rPr>
                <w:rFonts w:ascii="Times New Roman" w:hAnsi="Times New Roman"/>
                <w:sz w:val="24"/>
                <w:szCs w:val="24"/>
              </w:rPr>
            </w:pPr>
            <w:r w:rsidRPr="00522A52">
              <w:rPr>
                <w:rFonts w:ascii="Times New Roman" w:hAnsi="Times New Roman"/>
                <w:sz w:val="24"/>
                <w:szCs w:val="24"/>
              </w:rPr>
              <w:t>2.3.3.3 - Sumária reflexão sobre o debate da commoditização...................</w:t>
            </w:r>
          </w:p>
        </w:tc>
        <w:tc>
          <w:tcPr>
            <w:tcW w:w="0" w:type="auto"/>
          </w:tcPr>
          <w:p w:rsidR="00175E42" w:rsidRPr="00522A52" w:rsidRDefault="004B775E" w:rsidP="00AD7F63">
            <w:pPr>
              <w:rPr>
                <w:rFonts w:ascii="Times New Roman" w:hAnsi="Times New Roman"/>
                <w:sz w:val="24"/>
                <w:szCs w:val="24"/>
              </w:rPr>
            </w:pPr>
            <w:r>
              <w:rPr>
                <w:rFonts w:ascii="Times New Roman" w:hAnsi="Times New Roman"/>
                <w:sz w:val="24"/>
                <w:szCs w:val="24"/>
              </w:rPr>
              <w:t>125</w:t>
            </w:r>
          </w:p>
        </w:tc>
      </w:tr>
      <w:tr w:rsidR="00175E42" w:rsidRPr="00522A52" w:rsidTr="001C69D1">
        <w:tc>
          <w:tcPr>
            <w:tcW w:w="0" w:type="auto"/>
          </w:tcPr>
          <w:p w:rsidR="00175E42" w:rsidRPr="00522A52" w:rsidRDefault="00175E42" w:rsidP="00AD7F63">
            <w:pPr>
              <w:spacing w:after="0" w:line="240" w:lineRule="auto"/>
              <w:ind w:left="567"/>
              <w:jc w:val="both"/>
              <w:rPr>
                <w:rFonts w:ascii="Times New Roman" w:hAnsi="Times New Roman"/>
                <w:sz w:val="24"/>
                <w:szCs w:val="24"/>
              </w:rPr>
            </w:pPr>
            <w:r w:rsidRPr="00522A52">
              <w:rPr>
                <w:rFonts w:ascii="Times New Roman" w:hAnsi="Times New Roman"/>
                <w:sz w:val="24"/>
                <w:szCs w:val="24"/>
              </w:rPr>
              <w:t>2.3.4 – Grupos bancários, setores financeiros não bancários e associações</w:t>
            </w:r>
          </w:p>
          <w:p w:rsidR="00175E42" w:rsidRPr="00522A52" w:rsidRDefault="00175E42" w:rsidP="004B775E">
            <w:pPr>
              <w:spacing w:line="240" w:lineRule="auto"/>
              <w:ind w:left="567"/>
              <w:rPr>
                <w:rFonts w:ascii="Times New Roman" w:hAnsi="Times New Roman"/>
                <w:sz w:val="24"/>
                <w:szCs w:val="24"/>
              </w:rPr>
            </w:pPr>
            <w:r w:rsidRPr="00522A52">
              <w:rPr>
                <w:rFonts w:ascii="Times New Roman" w:hAnsi="Times New Roman"/>
                <w:sz w:val="24"/>
                <w:szCs w:val="24"/>
              </w:rPr>
              <w:t>da sociedade civil no CDES (2003-2006).......................................................</w:t>
            </w:r>
          </w:p>
        </w:tc>
        <w:tc>
          <w:tcPr>
            <w:tcW w:w="0" w:type="auto"/>
          </w:tcPr>
          <w:p w:rsidR="00175E42" w:rsidRPr="00522A52" w:rsidRDefault="004B775E" w:rsidP="004B775E">
            <w:pPr>
              <w:spacing w:before="240"/>
              <w:rPr>
                <w:rFonts w:ascii="Times New Roman" w:hAnsi="Times New Roman"/>
                <w:sz w:val="24"/>
                <w:szCs w:val="24"/>
              </w:rPr>
            </w:pPr>
            <w:r>
              <w:rPr>
                <w:rFonts w:ascii="Times New Roman" w:hAnsi="Times New Roman"/>
                <w:sz w:val="24"/>
                <w:szCs w:val="24"/>
              </w:rPr>
              <w:t>129</w:t>
            </w:r>
          </w:p>
        </w:tc>
      </w:tr>
      <w:tr w:rsidR="00175E42" w:rsidRPr="00522A52" w:rsidTr="001C69D1">
        <w:tc>
          <w:tcPr>
            <w:tcW w:w="0" w:type="auto"/>
          </w:tcPr>
          <w:p w:rsidR="00175E42" w:rsidRPr="00522A52" w:rsidRDefault="00175E42" w:rsidP="00AD7F63">
            <w:pPr>
              <w:ind w:left="851"/>
              <w:rPr>
                <w:rFonts w:ascii="Times New Roman" w:hAnsi="Times New Roman"/>
                <w:sz w:val="24"/>
                <w:szCs w:val="24"/>
              </w:rPr>
            </w:pPr>
            <w:r w:rsidRPr="00522A52">
              <w:rPr>
                <w:rFonts w:ascii="Times New Roman" w:hAnsi="Times New Roman"/>
                <w:sz w:val="24"/>
                <w:szCs w:val="24"/>
              </w:rPr>
              <w:t>2.3.4.1 – Os grupos bancários no CDES .....................................................</w:t>
            </w:r>
          </w:p>
        </w:tc>
        <w:tc>
          <w:tcPr>
            <w:tcW w:w="0" w:type="auto"/>
          </w:tcPr>
          <w:p w:rsidR="00175E42" w:rsidRPr="00522A52" w:rsidRDefault="004B775E" w:rsidP="00AD7F63">
            <w:pPr>
              <w:rPr>
                <w:rFonts w:ascii="Times New Roman" w:hAnsi="Times New Roman"/>
                <w:sz w:val="24"/>
                <w:szCs w:val="24"/>
              </w:rPr>
            </w:pPr>
            <w:r>
              <w:rPr>
                <w:rFonts w:ascii="Times New Roman" w:hAnsi="Times New Roman"/>
                <w:sz w:val="24"/>
                <w:szCs w:val="24"/>
              </w:rPr>
              <w:t>129</w:t>
            </w:r>
          </w:p>
        </w:tc>
      </w:tr>
      <w:tr w:rsidR="00175E42" w:rsidRPr="00522A52" w:rsidTr="001C69D1">
        <w:tc>
          <w:tcPr>
            <w:tcW w:w="0" w:type="auto"/>
          </w:tcPr>
          <w:p w:rsidR="00175E42" w:rsidRPr="00522A52" w:rsidRDefault="00175E42" w:rsidP="00AD7F63">
            <w:pPr>
              <w:spacing w:line="240" w:lineRule="auto"/>
              <w:ind w:left="851"/>
              <w:rPr>
                <w:rFonts w:ascii="Times New Roman" w:hAnsi="Times New Roman"/>
                <w:sz w:val="24"/>
                <w:szCs w:val="24"/>
              </w:rPr>
            </w:pPr>
            <w:r w:rsidRPr="00522A52">
              <w:rPr>
                <w:rFonts w:ascii="Times New Roman" w:hAnsi="Times New Roman"/>
                <w:sz w:val="24"/>
                <w:szCs w:val="24"/>
              </w:rPr>
              <w:t>2.3.4.2 – As associações da sociedade civil do setor bancário e financeiro atuantes no CDES .......................................................................................</w:t>
            </w:r>
          </w:p>
        </w:tc>
        <w:tc>
          <w:tcPr>
            <w:tcW w:w="0" w:type="auto"/>
          </w:tcPr>
          <w:p w:rsidR="00175E42" w:rsidRPr="00522A52" w:rsidRDefault="004B775E" w:rsidP="004B775E">
            <w:pPr>
              <w:spacing w:before="240"/>
              <w:rPr>
                <w:rFonts w:ascii="Times New Roman" w:hAnsi="Times New Roman"/>
                <w:sz w:val="24"/>
                <w:szCs w:val="24"/>
              </w:rPr>
            </w:pPr>
            <w:r>
              <w:rPr>
                <w:rFonts w:ascii="Times New Roman" w:hAnsi="Times New Roman"/>
                <w:sz w:val="24"/>
                <w:szCs w:val="24"/>
              </w:rPr>
              <w:t>135</w:t>
            </w:r>
          </w:p>
        </w:tc>
      </w:tr>
      <w:tr w:rsidR="00175E42" w:rsidRPr="00522A52" w:rsidTr="001C69D1">
        <w:tc>
          <w:tcPr>
            <w:tcW w:w="0" w:type="auto"/>
          </w:tcPr>
          <w:p w:rsidR="00175E42" w:rsidRPr="00522A52" w:rsidRDefault="00175E42" w:rsidP="00AD7F63">
            <w:pPr>
              <w:spacing w:line="240" w:lineRule="auto"/>
              <w:ind w:left="851"/>
              <w:rPr>
                <w:rFonts w:ascii="Times New Roman" w:hAnsi="Times New Roman"/>
                <w:sz w:val="24"/>
                <w:szCs w:val="24"/>
              </w:rPr>
            </w:pPr>
            <w:r w:rsidRPr="00522A52">
              <w:rPr>
                <w:rFonts w:ascii="Times New Roman" w:hAnsi="Times New Roman"/>
                <w:sz w:val="24"/>
                <w:szCs w:val="24"/>
              </w:rPr>
              <w:t>2.3.4.3 – As vinculações de conselheiros em associações empresar</w:t>
            </w:r>
            <w:r>
              <w:rPr>
                <w:rFonts w:ascii="Times New Roman" w:hAnsi="Times New Roman"/>
                <w:sz w:val="24"/>
                <w:szCs w:val="24"/>
              </w:rPr>
              <w:t>iais não bancárias da sociedade c</w:t>
            </w:r>
            <w:r w:rsidRPr="00522A52">
              <w:rPr>
                <w:rFonts w:ascii="Times New Roman" w:hAnsi="Times New Roman"/>
                <w:sz w:val="24"/>
                <w:szCs w:val="24"/>
              </w:rPr>
              <w:t>ivil.............................................</w:t>
            </w:r>
            <w:r w:rsidR="00F45304">
              <w:rPr>
                <w:rFonts w:ascii="Times New Roman" w:hAnsi="Times New Roman"/>
                <w:sz w:val="24"/>
                <w:szCs w:val="24"/>
              </w:rPr>
              <w:t>.</w:t>
            </w:r>
            <w:r w:rsidRPr="00522A52">
              <w:rPr>
                <w:rFonts w:ascii="Times New Roman" w:hAnsi="Times New Roman"/>
                <w:sz w:val="24"/>
                <w:szCs w:val="24"/>
              </w:rPr>
              <w:t>....................</w:t>
            </w:r>
          </w:p>
        </w:tc>
        <w:tc>
          <w:tcPr>
            <w:tcW w:w="0" w:type="auto"/>
          </w:tcPr>
          <w:p w:rsidR="00175E42" w:rsidRPr="00522A52" w:rsidRDefault="004B775E" w:rsidP="004B775E">
            <w:pPr>
              <w:spacing w:before="240"/>
              <w:rPr>
                <w:rFonts w:ascii="Times New Roman" w:hAnsi="Times New Roman"/>
                <w:sz w:val="24"/>
                <w:szCs w:val="24"/>
              </w:rPr>
            </w:pPr>
            <w:r>
              <w:rPr>
                <w:rFonts w:ascii="Times New Roman" w:hAnsi="Times New Roman"/>
                <w:sz w:val="24"/>
                <w:szCs w:val="24"/>
              </w:rPr>
              <w:t>145</w:t>
            </w:r>
          </w:p>
        </w:tc>
      </w:tr>
      <w:tr w:rsidR="00175E42" w:rsidRPr="00522A52" w:rsidTr="001C69D1">
        <w:tc>
          <w:tcPr>
            <w:tcW w:w="0" w:type="auto"/>
          </w:tcPr>
          <w:p w:rsidR="00175E42" w:rsidRPr="00522A52" w:rsidRDefault="00175E42" w:rsidP="00AD7F63">
            <w:pPr>
              <w:spacing w:line="240" w:lineRule="auto"/>
              <w:ind w:left="567"/>
              <w:rPr>
                <w:rFonts w:ascii="Times New Roman" w:hAnsi="Times New Roman"/>
                <w:sz w:val="24"/>
                <w:szCs w:val="24"/>
              </w:rPr>
            </w:pPr>
            <w:r w:rsidRPr="00522A52">
              <w:rPr>
                <w:rFonts w:ascii="Times New Roman" w:hAnsi="Times New Roman"/>
                <w:sz w:val="24"/>
                <w:szCs w:val="24"/>
              </w:rPr>
              <w:t>2.3.5 - A organização dos conselheiros-empresários nos aparelhos privados de hegemonia empresariais da sociedade civil.................................................</w:t>
            </w:r>
          </w:p>
        </w:tc>
        <w:tc>
          <w:tcPr>
            <w:tcW w:w="0" w:type="auto"/>
          </w:tcPr>
          <w:p w:rsidR="00175E42" w:rsidRPr="00522A52" w:rsidRDefault="00F45304" w:rsidP="00F45304">
            <w:pPr>
              <w:spacing w:before="240"/>
              <w:rPr>
                <w:rFonts w:ascii="Times New Roman" w:hAnsi="Times New Roman"/>
                <w:sz w:val="24"/>
                <w:szCs w:val="24"/>
              </w:rPr>
            </w:pPr>
            <w:r>
              <w:rPr>
                <w:rFonts w:ascii="Times New Roman" w:hAnsi="Times New Roman"/>
                <w:sz w:val="24"/>
                <w:szCs w:val="24"/>
              </w:rPr>
              <w:t>150</w:t>
            </w:r>
          </w:p>
        </w:tc>
      </w:tr>
      <w:tr w:rsidR="00175E42" w:rsidRPr="00522A52" w:rsidTr="001C69D1">
        <w:tc>
          <w:tcPr>
            <w:tcW w:w="0" w:type="auto"/>
          </w:tcPr>
          <w:p w:rsidR="00175E42" w:rsidRPr="00522A52" w:rsidRDefault="00175E42" w:rsidP="00071C54">
            <w:pPr>
              <w:pStyle w:val="NormalWeb"/>
              <w:spacing w:before="0" w:beforeAutospacing="0" w:after="240" w:afterAutospacing="0" w:line="360" w:lineRule="auto"/>
            </w:pPr>
            <w:r w:rsidRPr="00522A52">
              <w:t xml:space="preserve">2.4 – </w:t>
            </w:r>
            <w:r w:rsidR="003E22B2">
              <w:t>Doações eleitorais e c</w:t>
            </w:r>
            <w:r w:rsidRPr="00522A52">
              <w:t xml:space="preserve">oncentração e centralização do capital no CDES </w:t>
            </w:r>
            <w:r w:rsidR="00071C54">
              <w:t>.........</w:t>
            </w:r>
          </w:p>
        </w:tc>
        <w:tc>
          <w:tcPr>
            <w:tcW w:w="0" w:type="auto"/>
          </w:tcPr>
          <w:p w:rsidR="00175E42" w:rsidRPr="00522A52" w:rsidRDefault="00F45304" w:rsidP="00AD7F63">
            <w:pPr>
              <w:spacing w:after="0"/>
              <w:rPr>
                <w:rFonts w:ascii="Times New Roman" w:hAnsi="Times New Roman"/>
                <w:sz w:val="24"/>
                <w:szCs w:val="24"/>
              </w:rPr>
            </w:pPr>
            <w:r>
              <w:rPr>
                <w:rFonts w:ascii="Times New Roman" w:hAnsi="Times New Roman"/>
                <w:sz w:val="24"/>
                <w:szCs w:val="24"/>
              </w:rPr>
              <w:t>155</w:t>
            </w:r>
          </w:p>
        </w:tc>
      </w:tr>
      <w:tr w:rsidR="00175E42" w:rsidRPr="00522A52" w:rsidTr="001C69D1">
        <w:tc>
          <w:tcPr>
            <w:tcW w:w="0" w:type="auto"/>
          </w:tcPr>
          <w:p w:rsidR="00175E42" w:rsidRPr="00522A52" w:rsidRDefault="00175E42" w:rsidP="00AD7F63">
            <w:pPr>
              <w:spacing w:after="0" w:line="240" w:lineRule="auto"/>
              <w:rPr>
                <w:rFonts w:ascii="Times New Roman" w:hAnsi="Times New Roman"/>
                <w:sz w:val="24"/>
                <w:szCs w:val="24"/>
                <w:lang w:eastAsia="pt-BR"/>
              </w:rPr>
            </w:pPr>
            <w:r w:rsidRPr="00522A52">
              <w:rPr>
                <w:rFonts w:ascii="Times New Roman" w:hAnsi="Times New Roman"/>
                <w:sz w:val="24"/>
                <w:szCs w:val="24"/>
                <w:lang w:eastAsia="pt-BR"/>
              </w:rPr>
              <w:t>2.5 - Os grupos e firmas representados no CDES segundo origem de suas sedes..</w:t>
            </w:r>
            <w:r w:rsidR="001C69D1">
              <w:rPr>
                <w:rFonts w:ascii="Times New Roman" w:hAnsi="Times New Roman"/>
                <w:sz w:val="24"/>
                <w:szCs w:val="24"/>
                <w:lang w:eastAsia="pt-BR"/>
              </w:rPr>
              <w:t>.</w:t>
            </w:r>
            <w:r w:rsidRPr="00522A52">
              <w:rPr>
                <w:rFonts w:ascii="Times New Roman" w:hAnsi="Times New Roman"/>
                <w:sz w:val="24"/>
                <w:szCs w:val="24"/>
                <w:lang w:eastAsia="pt-BR"/>
              </w:rPr>
              <w:t>..</w:t>
            </w:r>
          </w:p>
          <w:p w:rsidR="00175E42" w:rsidRPr="00522A52" w:rsidRDefault="00175E42" w:rsidP="00AD7F63">
            <w:pPr>
              <w:spacing w:after="0"/>
              <w:rPr>
                <w:rFonts w:ascii="Times New Roman" w:hAnsi="Times New Roman"/>
                <w:sz w:val="24"/>
                <w:szCs w:val="24"/>
              </w:rPr>
            </w:pPr>
          </w:p>
        </w:tc>
        <w:tc>
          <w:tcPr>
            <w:tcW w:w="0" w:type="auto"/>
          </w:tcPr>
          <w:p w:rsidR="00175E42" w:rsidRPr="00522A52" w:rsidRDefault="00F45304" w:rsidP="00AD7F63">
            <w:pPr>
              <w:rPr>
                <w:rFonts w:ascii="Times New Roman" w:hAnsi="Times New Roman"/>
                <w:sz w:val="24"/>
                <w:szCs w:val="24"/>
              </w:rPr>
            </w:pPr>
            <w:r>
              <w:rPr>
                <w:rFonts w:ascii="Times New Roman" w:hAnsi="Times New Roman"/>
                <w:sz w:val="24"/>
                <w:szCs w:val="24"/>
              </w:rPr>
              <w:t>159</w:t>
            </w:r>
          </w:p>
        </w:tc>
      </w:tr>
      <w:tr w:rsidR="00175E42" w:rsidRPr="00522A52" w:rsidTr="001C69D1">
        <w:tc>
          <w:tcPr>
            <w:tcW w:w="0" w:type="auto"/>
          </w:tcPr>
          <w:p w:rsidR="00175E42" w:rsidRPr="00522A52" w:rsidRDefault="00175E42" w:rsidP="00175E42">
            <w:pPr>
              <w:spacing w:line="240" w:lineRule="auto"/>
              <w:rPr>
                <w:rFonts w:ascii="Times New Roman" w:hAnsi="Times New Roman"/>
                <w:sz w:val="24"/>
                <w:szCs w:val="24"/>
              </w:rPr>
            </w:pPr>
            <w:r w:rsidRPr="00522A52">
              <w:rPr>
                <w:rFonts w:ascii="Times New Roman" w:hAnsi="Times New Roman"/>
                <w:sz w:val="24"/>
                <w:szCs w:val="24"/>
              </w:rPr>
              <w:t xml:space="preserve">2.6 - Vinculações dos Conselheiros-Empresários com os demais órgãos da Sociedade </w:t>
            </w:r>
            <w:r>
              <w:rPr>
                <w:rFonts w:ascii="Times New Roman" w:hAnsi="Times New Roman"/>
                <w:sz w:val="24"/>
                <w:szCs w:val="24"/>
              </w:rPr>
              <w:t>P</w:t>
            </w:r>
            <w:r w:rsidRPr="00522A52">
              <w:rPr>
                <w:rFonts w:ascii="Times New Roman" w:hAnsi="Times New Roman"/>
                <w:sz w:val="24"/>
                <w:szCs w:val="24"/>
              </w:rPr>
              <w:t>olítica......................................................................................................</w:t>
            </w:r>
          </w:p>
        </w:tc>
        <w:tc>
          <w:tcPr>
            <w:tcW w:w="0" w:type="auto"/>
          </w:tcPr>
          <w:p w:rsidR="00175E42" w:rsidRPr="00522A52" w:rsidRDefault="00F45304" w:rsidP="00F45304">
            <w:pPr>
              <w:spacing w:before="240"/>
              <w:rPr>
                <w:rFonts w:ascii="Times New Roman" w:hAnsi="Times New Roman"/>
                <w:sz w:val="24"/>
                <w:szCs w:val="24"/>
              </w:rPr>
            </w:pPr>
            <w:r>
              <w:rPr>
                <w:rFonts w:ascii="Times New Roman" w:hAnsi="Times New Roman"/>
                <w:sz w:val="24"/>
                <w:szCs w:val="24"/>
              </w:rPr>
              <w:t>165</w:t>
            </w:r>
          </w:p>
        </w:tc>
      </w:tr>
      <w:tr w:rsidR="00175E42" w:rsidRPr="00522A52" w:rsidTr="001C69D1">
        <w:tc>
          <w:tcPr>
            <w:tcW w:w="0" w:type="auto"/>
          </w:tcPr>
          <w:p w:rsidR="00175E42" w:rsidRPr="00522A52" w:rsidRDefault="00175E42" w:rsidP="00AD7F63">
            <w:pPr>
              <w:rPr>
                <w:rFonts w:ascii="Times New Roman" w:hAnsi="Times New Roman"/>
                <w:sz w:val="24"/>
                <w:szCs w:val="24"/>
              </w:rPr>
            </w:pPr>
            <w:r w:rsidRPr="00522A52">
              <w:rPr>
                <w:rFonts w:ascii="Times New Roman" w:hAnsi="Times New Roman"/>
                <w:sz w:val="24"/>
                <w:szCs w:val="24"/>
              </w:rPr>
              <w:t>2.7 - Transnacionalização de Grupos Econômicos presen</w:t>
            </w:r>
            <w:r>
              <w:rPr>
                <w:rFonts w:ascii="Times New Roman" w:hAnsi="Times New Roman"/>
                <w:sz w:val="24"/>
                <w:szCs w:val="24"/>
              </w:rPr>
              <w:t>tes no CDES ..............</w:t>
            </w:r>
            <w:r w:rsidR="001C69D1">
              <w:rPr>
                <w:rFonts w:ascii="Times New Roman" w:hAnsi="Times New Roman"/>
                <w:sz w:val="24"/>
                <w:szCs w:val="24"/>
              </w:rPr>
              <w:t>.</w:t>
            </w:r>
            <w:r>
              <w:rPr>
                <w:rFonts w:ascii="Times New Roman" w:hAnsi="Times New Roman"/>
                <w:sz w:val="24"/>
                <w:szCs w:val="24"/>
              </w:rPr>
              <w:t>....</w:t>
            </w:r>
          </w:p>
        </w:tc>
        <w:tc>
          <w:tcPr>
            <w:tcW w:w="0" w:type="auto"/>
          </w:tcPr>
          <w:p w:rsidR="00175E42" w:rsidRPr="00522A52" w:rsidRDefault="00F45304" w:rsidP="00AD7F63">
            <w:pPr>
              <w:rPr>
                <w:rFonts w:ascii="Times New Roman" w:hAnsi="Times New Roman"/>
                <w:sz w:val="24"/>
                <w:szCs w:val="24"/>
              </w:rPr>
            </w:pPr>
            <w:r>
              <w:rPr>
                <w:rFonts w:ascii="Times New Roman" w:hAnsi="Times New Roman"/>
                <w:sz w:val="24"/>
                <w:szCs w:val="24"/>
              </w:rPr>
              <w:t>169</w:t>
            </w:r>
          </w:p>
        </w:tc>
      </w:tr>
      <w:tr w:rsidR="00175E42" w:rsidRPr="00522A52" w:rsidTr="001C69D1">
        <w:tc>
          <w:tcPr>
            <w:tcW w:w="0" w:type="auto"/>
          </w:tcPr>
          <w:p w:rsidR="00175E42" w:rsidRPr="00522A52" w:rsidRDefault="00175E42" w:rsidP="00AD7F63">
            <w:pPr>
              <w:rPr>
                <w:rFonts w:ascii="Times New Roman" w:hAnsi="Times New Roman"/>
                <w:sz w:val="24"/>
                <w:szCs w:val="24"/>
              </w:rPr>
            </w:pPr>
            <w:r w:rsidRPr="00522A52">
              <w:rPr>
                <w:rFonts w:ascii="Times New Roman" w:hAnsi="Times New Roman"/>
                <w:sz w:val="24"/>
                <w:szCs w:val="24"/>
              </w:rPr>
              <w:t>2.8 - O CDES como baluarte da “democratização às avessas” .................................</w:t>
            </w:r>
          </w:p>
        </w:tc>
        <w:tc>
          <w:tcPr>
            <w:tcW w:w="0" w:type="auto"/>
          </w:tcPr>
          <w:p w:rsidR="00175E42" w:rsidRPr="00522A52" w:rsidRDefault="00F45304" w:rsidP="00AD7F63">
            <w:pPr>
              <w:rPr>
                <w:rFonts w:ascii="Times New Roman" w:hAnsi="Times New Roman"/>
                <w:sz w:val="24"/>
                <w:szCs w:val="24"/>
              </w:rPr>
            </w:pPr>
            <w:r>
              <w:rPr>
                <w:rFonts w:ascii="Times New Roman" w:hAnsi="Times New Roman"/>
                <w:sz w:val="24"/>
                <w:szCs w:val="24"/>
              </w:rPr>
              <w:t>179</w:t>
            </w:r>
          </w:p>
        </w:tc>
      </w:tr>
      <w:tr w:rsidR="00175E42" w:rsidRPr="00522A52" w:rsidTr="001C69D1">
        <w:tc>
          <w:tcPr>
            <w:tcW w:w="0" w:type="auto"/>
          </w:tcPr>
          <w:p w:rsidR="00175E42" w:rsidRPr="00EE4D30" w:rsidRDefault="00175E42" w:rsidP="00AD7F63">
            <w:pPr>
              <w:spacing w:line="240" w:lineRule="auto"/>
              <w:rPr>
                <w:rFonts w:ascii="Times New Roman" w:hAnsi="Times New Roman"/>
                <w:b/>
                <w:sz w:val="24"/>
                <w:szCs w:val="24"/>
              </w:rPr>
            </w:pPr>
            <w:r w:rsidRPr="00EE4D30">
              <w:rPr>
                <w:rFonts w:ascii="Times New Roman" w:hAnsi="Times New Roman"/>
                <w:b/>
                <w:sz w:val="24"/>
                <w:szCs w:val="24"/>
              </w:rPr>
              <w:t>CAPÍTULO 3 – O DESENVOLVIMENTO EM DEBATE: AS LINHAS DE CLIVAGENS E A MONTAGEM DA HEGEMONIA SOCIAL-LIBERAL DO GRANDE CAPITAL PRODUTOR DE VALOR NO CDES (2003-2006)</w:t>
            </w:r>
          </w:p>
        </w:tc>
        <w:tc>
          <w:tcPr>
            <w:tcW w:w="0" w:type="auto"/>
          </w:tcPr>
          <w:p w:rsidR="00175E42" w:rsidRPr="00522A52" w:rsidRDefault="00175E42" w:rsidP="00AD7F63">
            <w:pPr>
              <w:rPr>
                <w:rFonts w:ascii="Times New Roman" w:hAnsi="Times New Roman"/>
                <w:sz w:val="24"/>
                <w:szCs w:val="24"/>
              </w:rPr>
            </w:pPr>
          </w:p>
        </w:tc>
      </w:tr>
      <w:tr w:rsidR="00175E42" w:rsidRPr="00522A52" w:rsidTr="001C69D1">
        <w:tc>
          <w:tcPr>
            <w:tcW w:w="0" w:type="auto"/>
          </w:tcPr>
          <w:p w:rsidR="00175E42" w:rsidRPr="00522A52" w:rsidRDefault="00175E42" w:rsidP="00AD7F63">
            <w:pPr>
              <w:rPr>
                <w:rFonts w:ascii="Times New Roman" w:hAnsi="Times New Roman"/>
                <w:sz w:val="24"/>
                <w:szCs w:val="24"/>
              </w:rPr>
            </w:pPr>
            <w:r w:rsidRPr="00522A52">
              <w:rPr>
                <w:rFonts w:ascii="Times New Roman" w:hAnsi="Times New Roman"/>
                <w:sz w:val="24"/>
                <w:szCs w:val="24"/>
              </w:rPr>
              <w:t>3.1 – Introdução.................................</w:t>
            </w:r>
            <w:r>
              <w:rPr>
                <w:rFonts w:ascii="Times New Roman" w:hAnsi="Times New Roman"/>
                <w:sz w:val="24"/>
                <w:szCs w:val="24"/>
              </w:rPr>
              <w:t>...........................</w:t>
            </w:r>
            <w:r w:rsidRPr="00522A52">
              <w:rPr>
                <w:rFonts w:ascii="Times New Roman" w:hAnsi="Times New Roman"/>
                <w:sz w:val="24"/>
                <w:szCs w:val="24"/>
              </w:rPr>
              <w:t>..</w:t>
            </w:r>
            <w:r>
              <w:rPr>
                <w:rFonts w:ascii="Times New Roman" w:hAnsi="Times New Roman"/>
                <w:sz w:val="24"/>
                <w:szCs w:val="24"/>
              </w:rPr>
              <w:t>.</w:t>
            </w:r>
            <w:r w:rsidRPr="00522A52">
              <w:rPr>
                <w:rFonts w:ascii="Times New Roman" w:hAnsi="Times New Roman"/>
                <w:sz w:val="24"/>
                <w:szCs w:val="24"/>
              </w:rPr>
              <w:t>..................................</w:t>
            </w:r>
            <w:r>
              <w:rPr>
                <w:rFonts w:ascii="Times New Roman" w:hAnsi="Times New Roman"/>
                <w:sz w:val="24"/>
                <w:szCs w:val="24"/>
              </w:rPr>
              <w:t>..</w:t>
            </w:r>
            <w:r w:rsidR="001C69D1">
              <w:rPr>
                <w:rFonts w:ascii="Times New Roman" w:hAnsi="Times New Roman"/>
                <w:sz w:val="24"/>
                <w:szCs w:val="24"/>
              </w:rPr>
              <w:t>..</w:t>
            </w:r>
            <w:r>
              <w:rPr>
                <w:rFonts w:ascii="Times New Roman" w:hAnsi="Times New Roman"/>
                <w:sz w:val="24"/>
                <w:szCs w:val="24"/>
              </w:rPr>
              <w:t>...</w:t>
            </w:r>
          </w:p>
        </w:tc>
        <w:tc>
          <w:tcPr>
            <w:tcW w:w="0" w:type="auto"/>
          </w:tcPr>
          <w:p w:rsidR="00175E42" w:rsidRPr="00522A52" w:rsidRDefault="00F45304" w:rsidP="00AD7F63">
            <w:pPr>
              <w:rPr>
                <w:rFonts w:ascii="Times New Roman" w:hAnsi="Times New Roman"/>
                <w:sz w:val="24"/>
                <w:szCs w:val="24"/>
              </w:rPr>
            </w:pPr>
            <w:r>
              <w:rPr>
                <w:rFonts w:ascii="Times New Roman" w:hAnsi="Times New Roman"/>
                <w:sz w:val="24"/>
                <w:szCs w:val="24"/>
              </w:rPr>
              <w:t>183</w:t>
            </w:r>
          </w:p>
        </w:tc>
      </w:tr>
      <w:tr w:rsidR="00175E42" w:rsidRPr="00522A52" w:rsidTr="001C69D1">
        <w:tc>
          <w:tcPr>
            <w:tcW w:w="0" w:type="auto"/>
          </w:tcPr>
          <w:p w:rsidR="00175E42" w:rsidRPr="00522A52" w:rsidRDefault="00175E42" w:rsidP="00AD7F63">
            <w:pPr>
              <w:spacing w:after="0" w:line="360" w:lineRule="auto"/>
              <w:jc w:val="both"/>
              <w:rPr>
                <w:rFonts w:ascii="Times New Roman" w:hAnsi="Times New Roman"/>
                <w:sz w:val="24"/>
                <w:szCs w:val="24"/>
              </w:rPr>
            </w:pPr>
            <w:r w:rsidRPr="00522A52">
              <w:rPr>
                <w:rFonts w:ascii="Times New Roman" w:hAnsi="Times New Roman"/>
                <w:sz w:val="24"/>
                <w:szCs w:val="24"/>
              </w:rPr>
              <w:t>3.2 – As Cartas de Concertação (2003-2004)...................................</w:t>
            </w:r>
            <w:r>
              <w:rPr>
                <w:rFonts w:ascii="Times New Roman" w:hAnsi="Times New Roman"/>
                <w:sz w:val="24"/>
                <w:szCs w:val="24"/>
              </w:rPr>
              <w:t>............</w:t>
            </w:r>
            <w:r w:rsidR="001C69D1">
              <w:rPr>
                <w:rFonts w:ascii="Times New Roman" w:hAnsi="Times New Roman"/>
                <w:sz w:val="24"/>
                <w:szCs w:val="24"/>
              </w:rPr>
              <w:t>.</w:t>
            </w:r>
            <w:r>
              <w:rPr>
                <w:rFonts w:ascii="Times New Roman" w:hAnsi="Times New Roman"/>
                <w:sz w:val="24"/>
                <w:szCs w:val="24"/>
              </w:rPr>
              <w:t>........</w:t>
            </w:r>
          </w:p>
        </w:tc>
        <w:tc>
          <w:tcPr>
            <w:tcW w:w="0" w:type="auto"/>
          </w:tcPr>
          <w:p w:rsidR="00175E42" w:rsidRPr="00522A52" w:rsidRDefault="00F45304" w:rsidP="00AD7F63">
            <w:pPr>
              <w:rPr>
                <w:rFonts w:ascii="Times New Roman" w:hAnsi="Times New Roman"/>
                <w:sz w:val="24"/>
                <w:szCs w:val="24"/>
              </w:rPr>
            </w:pPr>
            <w:r>
              <w:rPr>
                <w:rFonts w:ascii="Times New Roman" w:hAnsi="Times New Roman"/>
                <w:sz w:val="24"/>
                <w:szCs w:val="24"/>
              </w:rPr>
              <w:t>188</w:t>
            </w:r>
          </w:p>
        </w:tc>
      </w:tr>
      <w:tr w:rsidR="00175E42" w:rsidRPr="00522A52" w:rsidTr="001C69D1">
        <w:tc>
          <w:tcPr>
            <w:tcW w:w="0" w:type="auto"/>
          </w:tcPr>
          <w:p w:rsidR="00175E42" w:rsidRPr="00522A52" w:rsidRDefault="00175E42" w:rsidP="00AD7F63">
            <w:pPr>
              <w:spacing w:line="240" w:lineRule="auto"/>
              <w:rPr>
                <w:rFonts w:ascii="Times New Roman" w:hAnsi="Times New Roman"/>
                <w:sz w:val="24"/>
                <w:szCs w:val="24"/>
              </w:rPr>
            </w:pPr>
            <w:r w:rsidRPr="00522A52">
              <w:rPr>
                <w:rFonts w:ascii="Times New Roman" w:hAnsi="Times New Roman"/>
                <w:sz w:val="24"/>
                <w:szCs w:val="24"/>
              </w:rPr>
              <w:t>3.3 – A construção da noção de “desenvolvimento com equidade” e as tensões em torno da política econômica no CDES (2004-2005)</w:t>
            </w:r>
            <w:r>
              <w:rPr>
                <w:rFonts w:ascii="Times New Roman" w:hAnsi="Times New Roman"/>
                <w:sz w:val="24"/>
                <w:szCs w:val="24"/>
              </w:rPr>
              <w:t xml:space="preserve"> .................................................</w:t>
            </w:r>
          </w:p>
        </w:tc>
        <w:tc>
          <w:tcPr>
            <w:tcW w:w="0" w:type="auto"/>
          </w:tcPr>
          <w:p w:rsidR="00175E42" w:rsidRPr="00522A52" w:rsidRDefault="00F45304" w:rsidP="00F45304">
            <w:pPr>
              <w:spacing w:before="240"/>
              <w:rPr>
                <w:rFonts w:ascii="Times New Roman" w:hAnsi="Times New Roman"/>
                <w:sz w:val="24"/>
                <w:szCs w:val="24"/>
              </w:rPr>
            </w:pPr>
            <w:r>
              <w:rPr>
                <w:rFonts w:ascii="Times New Roman" w:hAnsi="Times New Roman"/>
                <w:sz w:val="24"/>
                <w:szCs w:val="24"/>
              </w:rPr>
              <w:t>205</w:t>
            </w:r>
          </w:p>
        </w:tc>
      </w:tr>
      <w:tr w:rsidR="00175E42" w:rsidRPr="00522A52" w:rsidTr="001C69D1">
        <w:tc>
          <w:tcPr>
            <w:tcW w:w="0" w:type="auto"/>
          </w:tcPr>
          <w:p w:rsidR="00175E42" w:rsidRPr="00522A52" w:rsidRDefault="00175E42" w:rsidP="00AD7F63">
            <w:pPr>
              <w:spacing w:after="0" w:line="240" w:lineRule="auto"/>
              <w:jc w:val="both"/>
              <w:rPr>
                <w:rFonts w:ascii="Times New Roman" w:hAnsi="Times New Roman"/>
                <w:sz w:val="24"/>
                <w:szCs w:val="24"/>
              </w:rPr>
            </w:pPr>
            <w:r w:rsidRPr="00522A52">
              <w:rPr>
                <w:rFonts w:ascii="Times New Roman" w:hAnsi="Times New Roman"/>
                <w:sz w:val="24"/>
                <w:szCs w:val="24"/>
              </w:rPr>
              <w:t>3.4 – O debate acerca da ampliação da composição do Conselho</w:t>
            </w:r>
          </w:p>
          <w:p w:rsidR="00175E42" w:rsidRPr="00522A52" w:rsidRDefault="00175E42" w:rsidP="00AD7F63">
            <w:pPr>
              <w:spacing w:line="240" w:lineRule="auto"/>
              <w:jc w:val="both"/>
              <w:rPr>
                <w:rFonts w:ascii="Times New Roman" w:hAnsi="Times New Roman"/>
                <w:sz w:val="24"/>
                <w:szCs w:val="24"/>
              </w:rPr>
            </w:pPr>
            <w:r w:rsidRPr="00522A52">
              <w:rPr>
                <w:rFonts w:ascii="Times New Roman" w:hAnsi="Times New Roman"/>
                <w:sz w:val="24"/>
                <w:szCs w:val="24"/>
              </w:rPr>
              <w:t xml:space="preserve"> Monetário Nacional (CNM) .....................................................................................</w:t>
            </w:r>
          </w:p>
        </w:tc>
        <w:tc>
          <w:tcPr>
            <w:tcW w:w="0" w:type="auto"/>
          </w:tcPr>
          <w:p w:rsidR="00175E42" w:rsidRPr="00522A52" w:rsidRDefault="00F45304" w:rsidP="00F45304">
            <w:pPr>
              <w:spacing w:before="240"/>
              <w:rPr>
                <w:rFonts w:ascii="Times New Roman" w:hAnsi="Times New Roman"/>
                <w:sz w:val="24"/>
                <w:szCs w:val="24"/>
              </w:rPr>
            </w:pPr>
            <w:r>
              <w:rPr>
                <w:rFonts w:ascii="Times New Roman" w:hAnsi="Times New Roman"/>
                <w:sz w:val="24"/>
                <w:szCs w:val="24"/>
              </w:rPr>
              <w:t>229</w:t>
            </w:r>
          </w:p>
        </w:tc>
      </w:tr>
      <w:tr w:rsidR="00175E42" w:rsidRPr="00522A52" w:rsidTr="001C69D1">
        <w:tc>
          <w:tcPr>
            <w:tcW w:w="0" w:type="auto"/>
          </w:tcPr>
          <w:p w:rsidR="00175E42" w:rsidRPr="00522A52" w:rsidRDefault="00175E42" w:rsidP="00AD7F63">
            <w:pPr>
              <w:rPr>
                <w:rFonts w:ascii="Times New Roman" w:hAnsi="Times New Roman"/>
                <w:sz w:val="24"/>
                <w:szCs w:val="24"/>
              </w:rPr>
            </w:pPr>
            <w:r w:rsidRPr="00522A52">
              <w:rPr>
                <w:rFonts w:ascii="Times New Roman" w:hAnsi="Times New Roman"/>
                <w:sz w:val="24"/>
                <w:szCs w:val="24"/>
              </w:rPr>
              <w:t>3.5 – A Agenda Nacional de Desenvolvimento (AND).............................................</w:t>
            </w:r>
          </w:p>
        </w:tc>
        <w:tc>
          <w:tcPr>
            <w:tcW w:w="0" w:type="auto"/>
          </w:tcPr>
          <w:p w:rsidR="00175E42" w:rsidRPr="00522A52" w:rsidRDefault="00F45304" w:rsidP="00AD7F63">
            <w:pPr>
              <w:rPr>
                <w:rFonts w:ascii="Times New Roman" w:hAnsi="Times New Roman"/>
                <w:sz w:val="24"/>
                <w:szCs w:val="24"/>
              </w:rPr>
            </w:pPr>
            <w:r>
              <w:rPr>
                <w:rFonts w:ascii="Times New Roman" w:hAnsi="Times New Roman"/>
                <w:sz w:val="24"/>
                <w:szCs w:val="24"/>
              </w:rPr>
              <w:t>246</w:t>
            </w:r>
          </w:p>
        </w:tc>
      </w:tr>
      <w:tr w:rsidR="00175E42" w:rsidRPr="00522A52" w:rsidTr="001C69D1">
        <w:tc>
          <w:tcPr>
            <w:tcW w:w="0" w:type="auto"/>
          </w:tcPr>
          <w:p w:rsidR="00175E42" w:rsidRPr="00522A52" w:rsidRDefault="00175E42" w:rsidP="00AD7F63">
            <w:pPr>
              <w:autoSpaceDE w:val="0"/>
              <w:autoSpaceDN w:val="0"/>
              <w:adjustRightInd w:val="0"/>
              <w:spacing w:after="0" w:line="240" w:lineRule="auto"/>
              <w:jc w:val="both"/>
              <w:rPr>
                <w:rFonts w:ascii="Times New Roman" w:hAnsi="Times New Roman"/>
                <w:color w:val="262626"/>
                <w:sz w:val="24"/>
                <w:szCs w:val="24"/>
              </w:rPr>
            </w:pPr>
            <w:r w:rsidRPr="00522A52">
              <w:rPr>
                <w:rFonts w:ascii="Times New Roman" w:hAnsi="Times New Roman"/>
                <w:color w:val="262626"/>
                <w:sz w:val="24"/>
                <w:szCs w:val="24"/>
              </w:rPr>
              <w:t>3.6 – Os Enunciados Estratégicos para o Desenvolvimento (EED)</w:t>
            </w:r>
          </w:p>
          <w:p w:rsidR="00175E42" w:rsidRPr="00522A52" w:rsidRDefault="00175E42" w:rsidP="00AD7F63">
            <w:pPr>
              <w:autoSpaceDE w:val="0"/>
              <w:autoSpaceDN w:val="0"/>
              <w:adjustRightInd w:val="0"/>
              <w:spacing w:after="0" w:line="240" w:lineRule="auto"/>
              <w:jc w:val="both"/>
              <w:rPr>
                <w:rFonts w:ascii="Times New Roman" w:hAnsi="Times New Roman"/>
                <w:color w:val="262626"/>
                <w:sz w:val="24"/>
                <w:szCs w:val="24"/>
              </w:rPr>
            </w:pPr>
            <w:r w:rsidRPr="00522A52">
              <w:rPr>
                <w:rFonts w:ascii="Times New Roman" w:hAnsi="Times New Roman"/>
                <w:color w:val="262626"/>
                <w:sz w:val="24"/>
                <w:szCs w:val="24"/>
              </w:rPr>
              <w:t>e o debate dos conselheiros com a FGV-RJ ..............................................................</w:t>
            </w:r>
          </w:p>
          <w:p w:rsidR="00175E42" w:rsidRPr="00522A52" w:rsidRDefault="00175E42" w:rsidP="00AD7F63">
            <w:pPr>
              <w:spacing w:after="0"/>
              <w:rPr>
                <w:rFonts w:ascii="Times New Roman" w:hAnsi="Times New Roman"/>
                <w:sz w:val="24"/>
                <w:szCs w:val="24"/>
              </w:rPr>
            </w:pPr>
          </w:p>
        </w:tc>
        <w:tc>
          <w:tcPr>
            <w:tcW w:w="0" w:type="auto"/>
          </w:tcPr>
          <w:p w:rsidR="00175E42" w:rsidRPr="00522A52" w:rsidRDefault="00F45304" w:rsidP="00F45304">
            <w:pPr>
              <w:spacing w:before="240"/>
              <w:rPr>
                <w:rFonts w:ascii="Times New Roman" w:hAnsi="Times New Roman"/>
                <w:sz w:val="24"/>
                <w:szCs w:val="24"/>
              </w:rPr>
            </w:pPr>
            <w:r>
              <w:rPr>
                <w:rFonts w:ascii="Times New Roman" w:hAnsi="Times New Roman"/>
                <w:sz w:val="24"/>
                <w:szCs w:val="24"/>
              </w:rPr>
              <w:t>256</w:t>
            </w:r>
          </w:p>
        </w:tc>
      </w:tr>
      <w:tr w:rsidR="00175E42" w:rsidRPr="00522A52" w:rsidTr="001C69D1">
        <w:tc>
          <w:tcPr>
            <w:tcW w:w="0" w:type="auto"/>
          </w:tcPr>
          <w:p w:rsidR="00175E42" w:rsidRPr="00522A52" w:rsidRDefault="00175E42" w:rsidP="00AD7F63">
            <w:pPr>
              <w:autoSpaceDE w:val="0"/>
              <w:autoSpaceDN w:val="0"/>
              <w:adjustRightInd w:val="0"/>
              <w:spacing w:line="360" w:lineRule="auto"/>
              <w:ind w:left="567"/>
              <w:jc w:val="both"/>
              <w:rPr>
                <w:rFonts w:ascii="Times New Roman" w:hAnsi="Times New Roman"/>
                <w:sz w:val="24"/>
                <w:szCs w:val="24"/>
              </w:rPr>
            </w:pPr>
            <w:r w:rsidRPr="00522A52">
              <w:rPr>
                <w:rFonts w:ascii="Times New Roman" w:hAnsi="Times New Roman"/>
                <w:sz w:val="24"/>
                <w:szCs w:val="24"/>
              </w:rPr>
              <w:t>3.6.1 – O debate dos conselheiros com a FGV-RJ ..........................................</w:t>
            </w:r>
          </w:p>
        </w:tc>
        <w:tc>
          <w:tcPr>
            <w:tcW w:w="0" w:type="auto"/>
          </w:tcPr>
          <w:p w:rsidR="00175E42" w:rsidRPr="00522A52" w:rsidRDefault="00F45304" w:rsidP="00AD7F63">
            <w:pPr>
              <w:rPr>
                <w:rFonts w:ascii="Times New Roman" w:hAnsi="Times New Roman"/>
                <w:sz w:val="24"/>
                <w:szCs w:val="24"/>
              </w:rPr>
            </w:pPr>
            <w:r>
              <w:rPr>
                <w:rFonts w:ascii="Times New Roman" w:hAnsi="Times New Roman"/>
                <w:sz w:val="24"/>
                <w:szCs w:val="24"/>
              </w:rPr>
              <w:t>256</w:t>
            </w:r>
          </w:p>
        </w:tc>
      </w:tr>
      <w:tr w:rsidR="00175E42" w:rsidRPr="00522A52" w:rsidTr="001C69D1">
        <w:tc>
          <w:tcPr>
            <w:tcW w:w="0" w:type="auto"/>
          </w:tcPr>
          <w:p w:rsidR="00175E42" w:rsidRPr="00522A52" w:rsidRDefault="00175E42" w:rsidP="001C69D1">
            <w:pPr>
              <w:ind w:left="567"/>
              <w:rPr>
                <w:rFonts w:ascii="Times New Roman" w:hAnsi="Times New Roman"/>
                <w:sz w:val="24"/>
                <w:szCs w:val="24"/>
              </w:rPr>
            </w:pPr>
            <w:r w:rsidRPr="00522A52">
              <w:rPr>
                <w:rFonts w:ascii="Times New Roman" w:hAnsi="Times New Roman"/>
                <w:sz w:val="24"/>
                <w:szCs w:val="24"/>
              </w:rPr>
              <w:t>3.6.2 – Os Enunciados Estratégicos para o Desenvolvimento (2006)</w:t>
            </w:r>
            <w:r w:rsidR="001C69D1">
              <w:rPr>
                <w:rFonts w:ascii="Times New Roman" w:hAnsi="Times New Roman"/>
                <w:sz w:val="24"/>
                <w:szCs w:val="24"/>
              </w:rPr>
              <w:t>.</w:t>
            </w:r>
            <w:r w:rsidRPr="00522A52">
              <w:rPr>
                <w:rFonts w:ascii="Times New Roman" w:hAnsi="Times New Roman"/>
                <w:sz w:val="24"/>
                <w:szCs w:val="24"/>
              </w:rPr>
              <w:t>.............</w:t>
            </w:r>
          </w:p>
        </w:tc>
        <w:tc>
          <w:tcPr>
            <w:tcW w:w="0" w:type="auto"/>
          </w:tcPr>
          <w:p w:rsidR="00175E42" w:rsidRPr="00522A52" w:rsidRDefault="00F45304" w:rsidP="00AD7F63">
            <w:pPr>
              <w:rPr>
                <w:rFonts w:ascii="Times New Roman" w:hAnsi="Times New Roman"/>
                <w:sz w:val="24"/>
                <w:szCs w:val="24"/>
              </w:rPr>
            </w:pPr>
            <w:r>
              <w:rPr>
                <w:rFonts w:ascii="Times New Roman" w:hAnsi="Times New Roman"/>
                <w:sz w:val="24"/>
                <w:szCs w:val="24"/>
              </w:rPr>
              <w:t>265</w:t>
            </w:r>
          </w:p>
        </w:tc>
      </w:tr>
      <w:tr w:rsidR="00175E42" w:rsidRPr="00522A52" w:rsidTr="001C69D1">
        <w:tc>
          <w:tcPr>
            <w:tcW w:w="0" w:type="auto"/>
          </w:tcPr>
          <w:p w:rsidR="00175E42" w:rsidRPr="00522A52" w:rsidRDefault="00175E42" w:rsidP="00AD7F63">
            <w:pPr>
              <w:spacing w:line="360" w:lineRule="auto"/>
              <w:jc w:val="both"/>
              <w:rPr>
                <w:rFonts w:ascii="Times New Roman" w:hAnsi="Times New Roman"/>
                <w:sz w:val="24"/>
                <w:szCs w:val="24"/>
              </w:rPr>
            </w:pPr>
            <w:r w:rsidRPr="00522A52">
              <w:rPr>
                <w:rFonts w:ascii="Times New Roman" w:hAnsi="Times New Roman"/>
                <w:color w:val="262626"/>
                <w:sz w:val="24"/>
                <w:szCs w:val="24"/>
              </w:rPr>
              <w:t>3.7 – Conclusão .........................................................................................................</w:t>
            </w:r>
          </w:p>
        </w:tc>
        <w:tc>
          <w:tcPr>
            <w:tcW w:w="0" w:type="auto"/>
          </w:tcPr>
          <w:p w:rsidR="00175E42" w:rsidRPr="00522A52" w:rsidRDefault="00F45304" w:rsidP="00AD7F63">
            <w:pPr>
              <w:rPr>
                <w:rFonts w:ascii="Times New Roman" w:hAnsi="Times New Roman"/>
                <w:sz w:val="24"/>
                <w:szCs w:val="24"/>
              </w:rPr>
            </w:pPr>
            <w:r>
              <w:rPr>
                <w:rFonts w:ascii="Times New Roman" w:hAnsi="Times New Roman"/>
                <w:sz w:val="24"/>
                <w:szCs w:val="24"/>
              </w:rPr>
              <w:t>274</w:t>
            </w:r>
          </w:p>
        </w:tc>
      </w:tr>
      <w:tr w:rsidR="00175E42" w:rsidRPr="00522A52" w:rsidTr="001C69D1">
        <w:tc>
          <w:tcPr>
            <w:tcW w:w="0" w:type="auto"/>
          </w:tcPr>
          <w:p w:rsidR="00175E42" w:rsidRPr="00EE4D30" w:rsidRDefault="00175E42" w:rsidP="00AD7F63">
            <w:pPr>
              <w:spacing w:line="240" w:lineRule="auto"/>
              <w:rPr>
                <w:rFonts w:ascii="Times New Roman" w:hAnsi="Times New Roman"/>
                <w:b/>
                <w:sz w:val="24"/>
                <w:szCs w:val="24"/>
              </w:rPr>
            </w:pPr>
            <w:r w:rsidRPr="00EE4D30">
              <w:rPr>
                <w:rFonts w:ascii="Times New Roman" w:hAnsi="Times New Roman"/>
                <w:b/>
                <w:sz w:val="24"/>
                <w:szCs w:val="24"/>
              </w:rPr>
              <w:t xml:space="preserve">CAPÍTULO 4 – O CDES DIANTE DA CRISE ECONÔMICA: CÂMARA DE GESTÃO PARA O CAPITAL E CANAL DE SUBSUNÇÃO REAL DOS TRABALHADORES (2007-2010) </w:t>
            </w:r>
          </w:p>
        </w:tc>
        <w:tc>
          <w:tcPr>
            <w:tcW w:w="0" w:type="auto"/>
          </w:tcPr>
          <w:p w:rsidR="00175E42" w:rsidRPr="00522A52" w:rsidRDefault="00175E42" w:rsidP="00AD7F63">
            <w:pPr>
              <w:rPr>
                <w:rFonts w:ascii="Times New Roman" w:hAnsi="Times New Roman"/>
                <w:sz w:val="24"/>
                <w:szCs w:val="24"/>
              </w:rPr>
            </w:pPr>
          </w:p>
        </w:tc>
      </w:tr>
      <w:tr w:rsidR="00175E42" w:rsidRPr="00522A52" w:rsidTr="001C69D1">
        <w:tc>
          <w:tcPr>
            <w:tcW w:w="0" w:type="auto"/>
          </w:tcPr>
          <w:p w:rsidR="00175E42" w:rsidRPr="00522A52" w:rsidRDefault="00175E42" w:rsidP="00F45304">
            <w:pPr>
              <w:spacing w:line="240" w:lineRule="auto"/>
              <w:rPr>
                <w:rFonts w:ascii="Times New Roman" w:hAnsi="Times New Roman"/>
                <w:sz w:val="24"/>
                <w:szCs w:val="24"/>
              </w:rPr>
            </w:pPr>
            <w:r w:rsidRPr="00522A52">
              <w:rPr>
                <w:rFonts w:ascii="Times New Roman" w:hAnsi="Times New Roman"/>
                <w:sz w:val="24"/>
                <w:szCs w:val="24"/>
              </w:rPr>
              <w:t>4.1 – Sumário contex</w:t>
            </w:r>
            <w:r w:rsidR="005A2E20">
              <w:rPr>
                <w:rFonts w:ascii="Times New Roman" w:hAnsi="Times New Roman"/>
                <w:sz w:val="24"/>
                <w:szCs w:val="24"/>
              </w:rPr>
              <w:t xml:space="preserve">to do CDES no período da crise, </w:t>
            </w:r>
            <w:r w:rsidRPr="00522A52">
              <w:rPr>
                <w:rFonts w:ascii="Times New Roman" w:hAnsi="Times New Roman"/>
                <w:sz w:val="24"/>
                <w:szCs w:val="24"/>
              </w:rPr>
              <w:t xml:space="preserve">periodização </w:t>
            </w:r>
            <w:r w:rsidR="005A2E20">
              <w:rPr>
                <w:rFonts w:ascii="Times New Roman" w:hAnsi="Times New Roman"/>
                <w:sz w:val="24"/>
                <w:szCs w:val="24"/>
              </w:rPr>
              <w:t>e hipóteses de trabalho ......................................................................................................................</w:t>
            </w:r>
          </w:p>
        </w:tc>
        <w:tc>
          <w:tcPr>
            <w:tcW w:w="0" w:type="auto"/>
          </w:tcPr>
          <w:p w:rsidR="00175E42" w:rsidRPr="00522A52" w:rsidRDefault="00F45304" w:rsidP="00F45304">
            <w:pPr>
              <w:spacing w:before="240"/>
              <w:rPr>
                <w:rFonts w:ascii="Times New Roman" w:hAnsi="Times New Roman"/>
                <w:sz w:val="24"/>
                <w:szCs w:val="24"/>
              </w:rPr>
            </w:pPr>
            <w:r>
              <w:rPr>
                <w:rFonts w:ascii="Times New Roman" w:hAnsi="Times New Roman"/>
                <w:sz w:val="24"/>
                <w:szCs w:val="24"/>
              </w:rPr>
              <w:t>281</w:t>
            </w:r>
          </w:p>
        </w:tc>
      </w:tr>
      <w:tr w:rsidR="00175E42" w:rsidRPr="00522A52" w:rsidTr="001C69D1">
        <w:tc>
          <w:tcPr>
            <w:tcW w:w="0" w:type="auto"/>
          </w:tcPr>
          <w:p w:rsidR="00175E42" w:rsidRPr="00522A52" w:rsidRDefault="00175E42" w:rsidP="00AD7F63">
            <w:pPr>
              <w:autoSpaceDE w:val="0"/>
              <w:autoSpaceDN w:val="0"/>
              <w:adjustRightInd w:val="0"/>
              <w:spacing w:after="0" w:line="240" w:lineRule="auto"/>
              <w:jc w:val="both"/>
              <w:rPr>
                <w:rFonts w:ascii="Times New Roman" w:hAnsi="Times New Roman"/>
                <w:sz w:val="24"/>
                <w:szCs w:val="24"/>
              </w:rPr>
            </w:pPr>
            <w:r w:rsidRPr="00522A52">
              <w:rPr>
                <w:rFonts w:ascii="Times New Roman" w:hAnsi="Times New Roman"/>
                <w:sz w:val="24"/>
                <w:szCs w:val="24"/>
              </w:rPr>
              <w:t xml:space="preserve">4.2 – O CDES como célula de gestão da crise para o capital pela </w:t>
            </w:r>
            <w:r w:rsidR="001C69D1">
              <w:rPr>
                <w:rFonts w:ascii="Times New Roman" w:hAnsi="Times New Roman"/>
                <w:sz w:val="24"/>
                <w:szCs w:val="24"/>
              </w:rPr>
              <w:t xml:space="preserve">via da </w:t>
            </w:r>
          </w:p>
          <w:p w:rsidR="00175E42" w:rsidRPr="00522A52" w:rsidRDefault="00175E42" w:rsidP="00F45304">
            <w:pPr>
              <w:autoSpaceDE w:val="0"/>
              <w:autoSpaceDN w:val="0"/>
              <w:adjustRightInd w:val="0"/>
              <w:spacing w:line="240" w:lineRule="auto"/>
              <w:rPr>
                <w:rFonts w:ascii="Times New Roman" w:hAnsi="Times New Roman"/>
                <w:sz w:val="24"/>
                <w:szCs w:val="24"/>
              </w:rPr>
            </w:pPr>
            <w:r w:rsidRPr="00522A52">
              <w:rPr>
                <w:rFonts w:ascii="Times New Roman" w:hAnsi="Times New Roman"/>
                <w:sz w:val="24"/>
                <w:szCs w:val="24"/>
              </w:rPr>
              <w:t>gestão econômica ...........................................................................................</w:t>
            </w:r>
            <w:r w:rsidR="001C69D1">
              <w:rPr>
                <w:rFonts w:ascii="Times New Roman" w:hAnsi="Times New Roman"/>
                <w:sz w:val="24"/>
                <w:szCs w:val="24"/>
              </w:rPr>
              <w:t>...........</w:t>
            </w:r>
          </w:p>
        </w:tc>
        <w:tc>
          <w:tcPr>
            <w:tcW w:w="0" w:type="auto"/>
          </w:tcPr>
          <w:p w:rsidR="00175E42" w:rsidRPr="00522A52" w:rsidRDefault="008F444D" w:rsidP="008F444D">
            <w:pPr>
              <w:spacing w:before="240"/>
              <w:rPr>
                <w:rFonts w:ascii="Times New Roman" w:hAnsi="Times New Roman"/>
                <w:sz w:val="24"/>
                <w:szCs w:val="24"/>
              </w:rPr>
            </w:pPr>
            <w:r>
              <w:rPr>
                <w:rFonts w:ascii="Times New Roman" w:hAnsi="Times New Roman"/>
                <w:sz w:val="24"/>
                <w:szCs w:val="24"/>
              </w:rPr>
              <w:t>293</w:t>
            </w:r>
          </w:p>
        </w:tc>
      </w:tr>
      <w:tr w:rsidR="00175E42" w:rsidRPr="00522A52" w:rsidTr="001C69D1">
        <w:tc>
          <w:tcPr>
            <w:tcW w:w="0" w:type="auto"/>
          </w:tcPr>
          <w:p w:rsidR="00175E42" w:rsidRPr="00522A52" w:rsidRDefault="00175E42" w:rsidP="00AD7F63">
            <w:pPr>
              <w:spacing w:line="240" w:lineRule="auto"/>
              <w:ind w:left="567"/>
              <w:rPr>
                <w:rFonts w:ascii="Times New Roman" w:hAnsi="Times New Roman"/>
                <w:sz w:val="24"/>
                <w:szCs w:val="24"/>
              </w:rPr>
            </w:pPr>
            <w:r w:rsidRPr="00522A52">
              <w:rPr>
                <w:rFonts w:ascii="Times New Roman" w:hAnsi="Times New Roman"/>
                <w:sz w:val="24"/>
                <w:szCs w:val="24"/>
              </w:rPr>
              <w:t>4.2.1 – A crise e o grande capital no CDES: expectativas, demandas e consagrações ....................................................................................................</w:t>
            </w:r>
          </w:p>
        </w:tc>
        <w:tc>
          <w:tcPr>
            <w:tcW w:w="0" w:type="auto"/>
          </w:tcPr>
          <w:p w:rsidR="00175E42" w:rsidRPr="00522A52" w:rsidRDefault="008F444D" w:rsidP="008F444D">
            <w:pPr>
              <w:spacing w:before="240"/>
              <w:rPr>
                <w:rFonts w:ascii="Times New Roman" w:hAnsi="Times New Roman"/>
                <w:sz w:val="24"/>
                <w:szCs w:val="24"/>
              </w:rPr>
            </w:pPr>
            <w:r>
              <w:rPr>
                <w:rFonts w:ascii="Times New Roman" w:hAnsi="Times New Roman"/>
                <w:sz w:val="24"/>
                <w:szCs w:val="24"/>
              </w:rPr>
              <w:t>296</w:t>
            </w:r>
          </w:p>
        </w:tc>
      </w:tr>
      <w:tr w:rsidR="00175E42" w:rsidRPr="00522A52" w:rsidTr="001C69D1">
        <w:tc>
          <w:tcPr>
            <w:tcW w:w="0" w:type="auto"/>
          </w:tcPr>
          <w:p w:rsidR="00175E42" w:rsidRPr="00522A52" w:rsidRDefault="00175E42" w:rsidP="008F444D">
            <w:pPr>
              <w:spacing w:line="240" w:lineRule="auto"/>
              <w:ind w:left="567"/>
              <w:rPr>
                <w:rFonts w:ascii="Times New Roman" w:hAnsi="Times New Roman"/>
                <w:sz w:val="24"/>
                <w:szCs w:val="24"/>
              </w:rPr>
            </w:pPr>
            <w:r w:rsidRPr="00522A52">
              <w:rPr>
                <w:rFonts w:ascii="Times New Roman" w:hAnsi="Times New Roman"/>
                <w:sz w:val="24"/>
                <w:szCs w:val="24"/>
              </w:rPr>
              <w:t xml:space="preserve">4.2.2 – Estado </w:t>
            </w:r>
            <w:r w:rsidR="008F444D">
              <w:rPr>
                <w:rFonts w:ascii="Times New Roman" w:hAnsi="Times New Roman"/>
                <w:sz w:val="24"/>
                <w:szCs w:val="24"/>
              </w:rPr>
              <w:t xml:space="preserve">enfrenta a crise para o </w:t>
            </w:r>
            <w:r w:rsidRPr="00522A52">
              <w:rPr>
                <w:rFonts w:ascii="Times New Roman" w:hAnsi="Times New Roman"/>
                <w:sz w:val="24"/>
                <w:szCs w:val="24"/>
              </w:rPr>
              <w:t>Capital: breves considerações acerca das políticas públicas no período decrise</w:t>
            </w:r>
            <w:r w:rsidR="008F444D">
              <w:rPr>
                <w:rFonts w:ascii="Times New Roman" w:hAnsi="Times New Roman"/>
                <w:sz w:val="24"/>
                <w:szCs w:val="24"/>
              </w:rPr>
              <w:t xml:space="preserve"> ......</w:t>
            </w:r>
            <w:r w:rsidRPr="00522A52">
              <w:rPr>
                <w:rFonts w:ascii="Times New Roman" w:hAnsi="Times New Roman"/>
                <w:sz w:val="24"/>
                <w:szCs w:val="24"/>
              </w:rPr>
              <w:t>...</w:t>
            </w:r>
            <w:r w:rsidR="008F444D">
              <w:rPr>
                <w:rFonts w:ascii="Times New Roman" w:hAnsi="Times New Roman"/>
                <w:sz w:val="24"/>
                <w:szCs w:val="24"/>
              </w:rPr>
              <w:t>.......</w:t>
            </w:r>
            <w:r w:rsidRPr="00522A52">
              <w:rPr>
                <w:rFonts w:ascii="Times New Roman" w:hAnsi="Times New Roman"/>
                <w:sz w:val="24"/>
                <w:szCs w:val="24"/>
              </w:rPr>
              <w:t>.......................................</w:t>
            </w:r>
          </w:p>
        </w:tc>
        <w:tc>
          <w:tcPr>
            <w:tcW w:w="0" w:type="auto"/>
          </w:tcPr>
          <w:p w:rsidR="00175E42" w:rsidRPr="00522A52" w:rsidRDefault="008F444D" w:rsidP="008F444D">
            <w:pPr>
              <w:spacing w:before="240"/>
              <w:rPr>
                <w:rFonts w:ascii="Times New Roman" w:hAnsi="Times New Roman"/>
                <w:sz w:val="24"/>
                <w:szCs w:val="24"/>
              </w:rPr>
            </w:pPr>
            <w:r>
              <w:rPr>
                <w:rFonts w:ascii="Times New Roman" w:hAnsi="Times New Roman"/>
                <w:sz w:val="24"/>
                <w:szCs w:val="24"/>
              </w:rPr>
              <w:t>312</w:t>
            </w:r>
          </w:p>
        </w:tc>
      </w:tr>
      <w:tr w:rsidR="00175E42" w:rsidRPr="00522A52" w:rsidTr="001C69D1">
        <w:tc>
          <w:tcPr>
            <w:tcW w:w="0" w:type="auto"/>
          </w:tcPr>
          <w:p w:rsidR="00175E42" w:rsidRPr="00522A52" w:rsidRDefault="00175E42" w:rsidP="00AD7F63">
            <w:pPr>
              <w:spacing w:line="240" w:lineRule="auto"/>
              <w:ind w:left="567"/>
              <w:rPr>
                <w:rFonts w:ascii="Times New Roman" w:hAnsi="Times New Roman"/>
                <w:sz w:val="24"/>
                <w:szCs w:val="24"/>
              </w:rPr>
            </w:pPr>
            <w:r w:rsidRPr="00522A52">
              <w:rPr>
                <w:rFonts w:ascii="Times New Roman" w:hAnsi="Times New Roman"/>
                <w:sz w:val="24"/>
                <w:szCs w:val="24"/>
              </w:rPr>
              <w:t>4.2.3 – Crise e classe trabalhadora no CDES: bancarização e empresariamento ..............................................................................................</w:t>
            </w:r>
          </w:p>
        </w:tc>
        <w:tc>
          <w:tcPr>
            <w:tcW w:w="0" w:type="auto"/>
          </w:tcPr>
          <w:p w:rsidR="00175E42" w:rsidRPr="00522A52" w:rsidRDefault="008F444D" w:rsidP="008F444D">
            <w:pPr>
              <w:spacing w:before="240"/>
              <w:rPr>
                <w:rFonts w:ascii="Times New Roman" w:hAnsi="Times New Roman"/>
                <w:sz w:val="24"/>
                <w:szCs w:val="24"/>
              </w:rPr>
            </w:pPr>
            <w:r>
              <w:rPr>
                <w:rFonts w:ascii="Times New Roman" w:hAnsi="Times New Roman"/>
                <w:sz w:val="24"/>
                <w:szCs w:val="24"/>
              </w:rPr>
              <w:t>317</w:t>
            </w:r>
          </w:p>
        </w:tc>
      </w:tr>
      <w:tr w:rsidR="00175E42" w:rsidRPr="00522A52" w:rsidTr="001C69D1">
        <w:tc>
          <w:tcPr>
            <w:tcW w:w="0" w:type="auto"/>
          </w:tcPr>
          <w:p w:rsidR="00175E42" w:rsidRPr="00522A52" w:rsidRDefault="00175E42" w:rsidP="00AD7F63">
            <w:pPr>
              <w:spacing w:line="240" w:lineRule="auto"/>
              <w:ind w:left="567"/>
              <w:rPr>
                <w:rFonts w:ascii="Times New Roman" w:hAnsi="Times New Roman"/>
                <w:sz w:val="24"/>
                <w:szCs w:val="24"/>
              </w:rPr>
            </w:pPr>
            <w:r w:rsidRPr="00522A52">
              <w:rPr>
                <w:rFonts w:ascii="Times New Roman" w:hAnsi="Times New Roman"/>
                <w:sz w:val="24"/>
                <w:szCs w:val="24"/>
              </w:rPr>
              <w:t>4.2.4 - Os conselheiros-empresários no Grupo de Acompanhamento da Crise do Ministério da Fazenda (GAC) ..................................</w:t>
            </w:r>
            <w:r>
              <w:rPr>
                <w:rFonts w:ascii="Times New Roman" w:hAnsi="Times New Roman"/>
                <w:sz w:val="24"/>
                <w:szCs w:val="24"/>
              </w:rPr>
              <w:t>.....................</w:t>
            </w:r>
            <w:r w:rsidRPr="00522A52">
              <w:rPr>
                <w:rFonts w:ascii="Times New Roman" w:hAnsi="Times New Roman"/>
                <w:sz w:val="24"/>
                <w:szCs w:val="24"/>
              </w:rPr>
              <w:t>.</w:t>
            </w:r>
            <w:r w:rsidR="001C69D1">
              <w:rPr>
                <w:rFonts w:ascii="Times New Roman" w:hAnsi="Times New Roman"/>
                <w:sz w:val="24"/>
                <w:szCs w:val="24"/>
              </w:rPr>
              <w:t>.</w:t>
            </w:r>
            <w:r w:rsidRPr="00522A52">
              <w:rPr>
                <w:rFonts w:ascii="Times New Roman" w:hAnsi="Times New Roman"/>
                <w:sz w:val="24"/>
                <w:szCs w:val="24"/>
              </w:rPr>
              <w:t>..</w:t>
            </w:r>
          </w:p>
        </w:tc>
        <w:tc>
          <w:tcPr>
            <w:tcW w:w="0" w:type="auto"/>
          </w:tcPr>
          <w:p w:rsidR="00175E42" w:rsidRPr="00522A52" w:rsidRDefault="008F444D" w:rsidP="008F444D">
            <w:pPr>
              <w:spacing w:before="240"/>
              <w:rPr>
                <w:rFonts w:ascii="Times New Roman" w:hAnsi="Times New Roman"/>
                <w:sz w:val="24"/>
                <w:szCs w:val="24"/>
              </w:rPr>
            </w:pPr>
            <w:r>
              <w:rPr>
                <w:rFonts w:ascii="Times New Roman" w:hAnsi="Times New Roman"/>
                <w:sz w:val="24"/>
                <w:szCs w:val="24"/>
              </w:rPr>
              <w:t>320</w:t>
            </w:r>
          </w:p>
        </w:tc>
      </w:tr>
      <w:tr w:rsidR="00175E42" w:rsidRPr="00522A52" w:rsidTr="001C69D1">
        <w:tc>
          <w:tcPr>
            <w:tcW w:w="0" w:type="auto"/>
          </w:tcPr>
          <w:p w:rsidR="00175E42" w:rsidRPr="00522A52" w:rsidRDefault="00175E42" w:rsidP="008F444D">
            <w:pPr>
              <w:spacing w:line="240" w:lineRule="auto"/>
              <w:rPr>
                <w:rFonts w:ascii="Times New Roman" w:hAnsi="Times New Roman"/>
                <w:sz w:val="24"/>
                <w:szCs w:val="24"/>
              </w:rPr>
            </w:pPr>
            <w:r w:rsidRPr="00522A52">
              <w:rPr>
                <w:rFonts w:ascii="Times New Roman" w:hAnsi="Times New Roman"/>
                <w:sz w:val="24"/>
                <w:szCs w:val="24"/>
              </w:rPr>
              <w:t xml:space="preserve">4.3 – O CDES como canal ou plataforma de disponibilização de força de trabalho e de expropriações secundárias para o capital diante da crise </w:t>
            </w:r>
            <w:r w:rsidR="008F444D">
              <w:rPr>
                <w:rFonts w:ascii="Times New Roman" w:hAnsi="Times New Roman"/>
                <w:sz w:val="24"/>
                <w:szCs w:val="24"/>
              </w:rPr>
              <w:t>.</w:t>
            </w:r>
            <w:r w:rsidRPr="00522A52">
              <w:rPr>
                <w:rFonts w:ascii="Times New Roman" w:hAnsi="Times New Roman"/>
                <w:sz w:val="24"/>
                <w:szCs w:val="24"/>
              </w:rPr>
              <w:t>.................................</w:t>
            </w:r>
          </w:p>
        </w:tc>
        <w:tc>
          <w:tcPr>
            <w:tcW w:w="0" w:type="auto"/>
          </w:tcPr>
          <w:p w:rsidR="00175E42" w:rsidRPr="00522A52" w:rsidRDefault="008F444D" w:rsidP="008F444D">
            <w:pPr>
              <w:spacing w:before="240" w:line="240" w:lineRule="auto"/>
              <w:rPr>
                <w:rFonts w:ascii="Times New Roman" w:hAnsi="Times New Roman"/>
                <w:sz w:val="24"/>
                <w:szCs w:val="24"/>
              </w:rPr>
            </w:pPr>
            <w:r>
              <w:rPr>
                <w:rFonts w:ascii="Times New Roman" w:hAnsi="Times New Roman"/>
                <w:sz w:val="24"/>
                <w:szCs w:val="24"/>
              </w:rPr>
              <w:t>325</w:t>
            </w:r>
          </w:p>
        </w:tc>
      </w:tr>
      <w:tr w:rsidR="00175E42" w:rsidRPr="00522A52" w:rsidTr="001C69D1">
        <w:tc>
          <w:tcPr>
            <w:tcW w:w="0" w:type="auto"/>
          </w:tcPr>
          <w:p w:rsidR="00175E42" w:rsidRPr="00522A52" w:rsidRDefault="00175E42" w:rsidP="00AD7F63">
            <w:pPr>
              <w:rPr>
                <w:rFonts w:ascii="Times New Roman" w:hAnsi="Times New Roman"/>
                <w:sz w:val="24"/>
                <w:szCs w:val="24"/>
              </w:rPr>
            </w:pPr>
            <w:r w:rsidRPr="00522A52">
              <w:rPr>
                <w:rFonts w:ascii="Times New Roman" w:hAnsi="Times New Roman"/>
                <w:sz w:val="24"/>
                <w:szCs w:val="24"/>
              </w:rPr>
              <w:t>4.4 – Conclusão .........................................................................................................</w:t>
            </w:r>
          </w:p>
        </w:tc>
        <w:tc>
          <w:tcPr>
            <w:tcW w:w="0" w:type="auto"/>
          </w:tcPr>
          <w:p w:rsidR="00175E42" w:rsidRPr="00522A52" w:rsidRDefault="008F444D" w:rsidP="00AD7F63">
            <w:pPr>
              <w:rPr>
                <w:rFonts w:ascii="Times New Roman" w:hAnsi="Times New Roman"/>
                <w:sz w:val="24"/>
                <w:szCs w:val="24"/>
              </w:rPr>
            </w:pPr>
            <w:r>
              <w:rPr>
                <w:rFonts w:ascii="Times New Roman" w:hAnsi="Times New Roman"/>
                <w:sz w:val="24"/>
                <w:szCs w:val="24"/>
              </w:rPr>
              <w:t>344</w:t>
            </w:r>
          </w:p>
        </w:tc>
      </w:tr>
      <w:tr w:rsidR="00175E42" w:rsidRPr="00522A52" w:rsidTr="001C69D1">
        <w:tc>
          <w:tcPr>
            <w:tcW w:w="0" w:type="auto"/>
          </w:tcPr>
          <w:p w:rsidR="00175E42" w:rsidRPr="00522A52" w:rsidRDefault="00175E42" w:rsidP="00EE4D30">
            <w:pPr>
              <w:spacing w:line="240" w:lineRule="auto"/>
              <w:rPr>
                <w:rFonts w:ascii="Times New Roman" w:hAnsi="Times New Roman"/>
                <w:sz w:val="24"/>
                <w:szCs w:val="24"/>
              </w:rPr>
            </w:pPr>
            <w:r w:rsidRPr="00EE4D30">
              <w:rPr>
                <w:rFonts w:ascii="Times New Roman" w:hAnsi="Times New Roman"/>
                <w:b/>
                <w:sz w:val="24"/>
                <w:szCs w:val="24"/>
              </w:rPr>
              <w:t xml:space="preserve">5.0 – </w:t>
            </w:r>
            <w:r w:rsidR="00EE4D30">
              <w:rPr>
                <w:rFonts w:ascii="Times New Roman" w:hAnsi="Times New Roman"/>
                <w:b/>
                <w:sz w:val="24"/>
                <w:szCs w:val="24"/>
              </w:rPr>
              <w:t xml:space="preserve">CONSIDERAÇÕES FINAIS </w:t>
            </w:r>
            <w:r w:rsidRPr="00522A52">
              <w:rPr>
                <w:rFonts w:ascii="Times New Roman" w:hAnsi="Times New Roman"/>
                <w:sz w:val="24"/>
                <w:szCs w:val="24"/>
              </w:rPr>
              <w:t>......</w:t>
            </w:r>
            <w:r>
              <w:rPr>
                <w:rFonts w:ascii="Times New Roman" w:hAnsi="Times New Roman"/>
                <w:sz w:val="24"/>
                <w:szCs w:val="24"/>
              </w:rPr>
              <w:t>..............................</w:t>
            </w:r>
            <w:r w:rsidRPr="00522A52">
              <w:rPr>
                <w:rFonts w:ascii="Times New Roman" w:hAnsi="Times New Roman"/>
                <w:sz w:val="24"/>
                <w:szCs w:val="24"/>
              </w:rPr>
              <w:t>............................</w:t>
            </w:r>
            <w:r w:rsidR="001C69D1">
              <w:rPr>
                <w:rFonts w:ascii="Times New Roman" w:hAnsi="Times New Roman"/>
                <w:sz w:val="24"/>
                <w:szCs w:val="24"/>
              </w:rPr>
              <w:t>.</w:t>
            </w:r>
            <w:r w:rsidRPr="00522A52">
              <w:rPr>
                <w:rFonts w:ascii="Times New Roman" w:hAnsi="Times New Roman"/>
                <w:sz w:val="24"/>
                <w:szCs w:val="24"/>
              </w:rPr>
              <w:t>.......</w:t>
            </w:r>
          </w:p>
        </w:tc>
        <w:tc>
          <w:tcPr>
            <w:tcW w:w="0" w:type="auto"/>
          </w:tcPr>
          <w:p w:rsidR="00175E42" w:rsidRPr="00522A52" w:rsidRDefault="008F444D" w:rsidP="00AD7F63">
            <w:pPr>
              <w:rPr>
                <w:rFonts w:ascii="Times New Roman" w:hAnsi="Times New Roman"/>
                <w:sz w:val="24"/>
                <w:szCs w:val="24"/>
              </w:rPr>
            </w:pPr>
            <w:r>
              <w:rPr>
                <w:rFonts w:ascii="Times New Roman" w:hAnsi="Times New Roman"/>
                <w:sz w:val="24"/>
                <w:szCs w:val="24"/>
              </w:rPr>
              <w:t>350</w:t>
            </w:r>
          </w:p>
        </w:tc>
      </w:tr>
      <w:tr w:rsidR="00175E42" w:rsidRPr="00522A52" w:rsidTr="001C69D1">
        <w:tc>
          <w:tcPr>
            <w:tcW w:w="0" w:type="auto"/>
          </w:tcPr>
          <w:p w:rsidR="00175E42" w:rsidRPr="00522A52" w:rsidRDefault="00EE4D30" w:rsidP="00EE4D30">
            <w:pPr>
              <w:rPr>
                <w:rFonts w:ascii="Times New Roman" w:hAnsi="Times New Roman"/>
                <w:sz w:val="24"/>
                <w:szCs w:val="24"/>
              </w:rPr>
            </w:pPr>
            <w:r w:rsidRPr="00EE4D30">
              <w:rPr>
                <w:rFonts w:ascii="Times New Roman" w:hAnsi="Times New Roman"/>
                <w:b/>
                <w:sz w:val="24"/>
                <w:szCs w:val="24"/>
              </w:rPr>
              <w:t>6.0 – REFERÊNCIAS BIBLIOGRÁFICAS E FONTES</w:t>
            </w:r>
            <w:r w:rsidR="00175E42" w:rsidRPr="00522A52">
              <w:rPr>
                <w:rFonts w:ascii="Times New Roman" w:hAnsi="Times New Roman"/>
                <w:sz w:val="24"/>
                <w:szCs w:val="24"/>
              </w:rPr>
              <w:t>....................................</w:t>
            </w:r>
          </w:p>
        </w:tc>
        <w:tc>
          <w:tcPr>
            <w:tcW w:w="0" w:type="auto"/>
          </w:tcPr>
          <w:p w:rsidR="00175E42" w:rsidRPr="00522A52" w:rsidRDefault="00060D90" w:rsidP="00AD7F63">
            <w:pPr>
              <w:rPr>
                <w:rFonts w:ascii="Times New Roman" w:hAnsi="Times New Roman"/>
                <w:sz w:val="24"/>
                <w:szCs w:val="24"/>
              </w:rPr>
            </w:pPr>
            <w:r>
              <w:rPr>
                <w:rFonts w:ascii="Times New Roman" w:hAnsi="Times New Roman"/>
                <w:sz w:val="24"/>
                <w:szCs w:val="24"/>
              </w:rPr>
              <w:t>360</w:t>
            </w:r>
          </w:p>
        </w:tc>
      </w:tr>
      <w:tr w:rsidR="00175E42" w:rsidRPr="00522A52" w:rsidTr="001C69D1">
        <w:tc>
          <w:tcPr>
            <w:tcW w:w="0" w:type="auto"/>
          </w:tcPr>
          <w:p w:rsidR="00175E42" w:rsidRPr="00522A52" w:rsidRDefault="00EE4D30" w:rsidP="00EE4D30">
            <w:pPr>
              <w:rPr>
                <w:rFonts w:ascii="Times New Roman" w:hAnsi="Times New Roman"/>
                <w:sz w:val="24"/>
                <w:szCs w:val="24"/>
              </w:rPr>
            </w:pPr>
            <w:r w:rsidRPr="00EE4D30">
              <w:rPr>
                <w:rFonts w:ascii="Times New Roman" w:hAnsi="Times New Roman"/>
                <w:b/>
                <w:sz w:val="24"/>
                <w:szCs w:val="24"/>
              </w:rPr>
              <w:t>7.0 – ANEXOS</w:t>
            </w:r>
            <w:r>
              <w:rPr>
                <w:rFonts w:ascii="Times New Roman" w:hAnsi="Times New Roman"/>
                <w:sz w:val="24"/>
                <w:szCs w:val="24"/>
              </w:rPr>
              <w:t xml:space="preserve"> .....</w:t>
            </w:r>
            <w:r w:rsidR="00175E42" w:rsidRPr="00522A52">
              <w:rPr>
                <w:rFonts w:ascii="Times New Roman" w:hAnsi="Times New Roman"/>
                <w:sz w:val="24"/>
                <w:szCs w:val="24"/>
              </w:rPr>
              <w:t>....................................................................................................</w:t>
            </w:r>
          </w:p>
        </w:tc>
        <w:tc>
          <w:tcPr>
            <w:tcW w:w="0" w:type="auto"/>
          </w:tcPr>
          <w:p w:rsidR="00175E42" w:rsidRPr="00522A52" w:rsidRDefault="00060D90" w:rsidP="00AD7F63">
            <w:pPr>
              <w:rPr>
                <w:rFonts w:ascii="Times New Roman" w:hAnsi="Times New Roman"/>
                <w:sz w:val="24"/>
                <w:szCs w:val="24"/>
              </w:rPr>
            </w:pPr>
            <w:r>
              <w:rPr>
                <w:rFonts w:ascii="Times New Roman" w:hAnsi="Times New Roman"/>
                <w:sz w:val="24"/>
                <w:szCs w:val="24"/>
              </w:rPr>
              <w:t>371</w:t>
            </w:r>
          </w:p>
        </w:tc>
      </w:tr>
    </w:tbl>
    <w:p w:rsidR="00175E42" w:rsidRPr="00522A52" w:rsidRDefault="00175E42" w:rsidP="00175E42">
      <w:pPr>
        <w:rPr>
          <w:rFonts w:ascii="Times New Roman" w:hAnsi="Times New Roman"/>
          <w:sz w:val="24"/>
          <w:szCs w:val="24"/>
        </w:rPr>
      </w:pPr>
    </w:p>
    <w:p w:rsidR="00BE7F9F" w:rsidRDefault="00BE7F9F" w:rsidP="005F0283">
      <w:pPr>
        <w:rPr>
          <w:rFonts w:ascii="Times New Roman" w:hAnsi="Times New Roman"/>
          <w:sz w:val="24"/>
          <w:szCs w:val="24"/>
        </w:rPr>
        <w:sectPr w:rsidR="00BE7F9F" w:rsidSect="0088518E">
          <w:footerReference w:type="default" r:id="rId9"/>
          <w:footerReference w:type="first" r:id="rId10"/>
          <w:pgSz w:w="11906" w:h="16838"/>
          <w:pgMar w:top="1417" w:right="1701" w:bottom="1417" w:left="1701" w:header="708" w:footer="708" w:gutter="0"/>
          <w:pgNumType w:fmt="lowerRoman" w:start="1"/>
          <w:cols w:space="708"/>
          <w:docGrid w:linePitch="360"/>
        </w:sectPr>
      </w:pPr>
    </w:p>
    <w:p w:rsidR="00582426" w:rsidRPr="004D4B7C" w:rsidRDefault="001247DB" w:rsidP="002E6389">
      <w:pPr>
        <w:pStyle w:val="Ttulo1"/>
        <w:jc w:val="center"/>
        <w:rPr>
          <w:sz w:val="24"/>
          <w:szCs w:val="24"/>
        </w:rPr>
      </w:pPr>
      <w:r>
        <w:rPr>
          <w:sz w:val="24"/>
          <w:szCs w:val="24"/>
        </w:rPr>
        <w:t>INTRODUÇÃO</w:t>
      </w:r>
    </w:p>
    <w:p w:rsidR="00582426" w:rsidRDefault="00582426" w:rsidP="00582426">
      <w:pPr>
        <w:jc w:val="center"/>
        <w:rPr>
          <w:rFonts w:ascii="Times New Roman" w:hAnsi="Times New Roman"/>
          <w:b/>
          <w:sz w:val="24"/>
          <w:szCs w:val="24"/>
        </w:rPr>
      </w:pPr>
    </w:p>
    <w:p w:rsidR="00582426" w:rsidRDefault="00582426" w:rsidP="00582426">
      <w:pPr>
        <w:spacing w:after="0" w:line="360" w:lineRule="auto"/>
        <w:jc w:val="both"/>
        <w:rPr>
          <w:rFonts w:ascii="Times New Roman" w:hAnsi="Times New Roman"/>
          <w:sz w:val="24"/>
          <w:szCs w:val="24"/>
        </w:rPr>
      </w:pPr>
      <w:r>
        <w:rPr>
          <w:rFonts w:ascii="Times New Roman" w:hAnsi="Times New Roman"/>
          <w:sz w:val="24"/>
          <w:szCs w:val="24"/>
        </w:rPr>
        <w:tab/>
        <w:t xml:space="preserve">A tese resulta de uma pesquisa sobre o Conselho de Desenvolvimento Econômico e Social (CDES) entre 2003 e 2010, embasada no arcabouço teórico marxista de Antonio Gramsci. Ela nasce de uma inquietação que acompanha minha trajetória de pesquisas e leituras há algum tempo e se relaciona às formas e mecanismos pelos quais as classes e frações de classes dominantes no capitalismo contemporâneo (e no Brasil recente em particular) inscrevem seus projetos </w:t>
      </w:r>
      <w:r w:rsidR="00077A77">
        <w:rPr>
          <w:rFonts w:ascii="Times New Roman" w:hAnsi="Times New Roman"/>
          <w:sz w:val="24"/>
          <w:szCs w:val="24"/>
        </w:rPr>
        <w:t>econômicos e políticos</w:t>
      </w:r>
      <w:r>
        <w:rPr>
          <w:rFonts w:ascii="Times New Roman" w:hAnsi="Times New Roman"/>
          <w:sz w:val="24"/>
          <w:szCs w:val="24"/>
        </w:rPr>
        <w:t xml:space="preserve"> no seio do aparelho de Estado, através de potentes aparelhos privados de hegemonia. Ela mescla, portanto, motivações de ordem teórico-política e tenta contribuir para o estudo de algumas facetas do Estado no Brasil durante os governos Lula da Silva</w:t>
      </w:r>
      <w:r w:rsidR="00077A77">
        <w:rPr>
          <w:rFonts w:ascii="Times New Roman" w:hAnsi="Times New Roman"/>
          <w:sz w:val="24"/>
          <w:szCs w:val="24"/>
        </w:rPr>
        <w:t>. Nesse período</w:t>
      </w:r>
      <w:r>
        <w:rPr>
          <w:rFonts w:ascii="Times New Roman" w:hAnsi="Times New Roman"/>
          <w:sz w:val="24"/>
          <w:szCs w:val="24"/>
        </w:rPr>
        <w:t xml:space="preserve"> converg</w:t>
      </w:r>
      <w:r w:rsidR="009B7E75">
        <w:rPr>
          <w:rFonts w:ascii="Times New Roman" w:hAnsi="Times New Roman"/>
          <w:sz w:val="24"/>
          <w:szCs w:val="24"/>
        </w:rPr>
        <w:t>i</w:t>
      </w:r>
      <w:r w:rsidR="00077A77">
        <w:rPr>
          <w:rFonts w:ascii="Times New Roman" w:hAnsi="Times New Roman"/>
          <w:sz w:val="24"/>
          <w:szCs w:val="24"/>
        </w:rPr>
        <w:t>ra</w:t>
      </w:r>
      <w:r>
        <w:rPr>
          <w:rFonts w:ascii="Times New Roman" w:hAnsi="Times New Roman"/>
          <w:sz w:val="24"/>
          <w:szCs w:val="24"/>
        </w:rPr>
        <w:t xml:space="preserve">m </w:t>
      </w:r>
      <w:r w:rsidR="009B7E75">
        <w:rPr>
          <w:rFonts w:ascii="Times New Roman" w:hAnsi="Times New Roman"/>
          <w:sz w:val="24"/>
          <w:szCs w:val="24"/>
        </w:rPr>
        <w:t xml:space="preserve">reivindicações e demandas </w:t>
      </w:r>
      <w:r>
        <w:rPr>
          <w:rFonts w:ascii="Times New Roman" w:hAnsi="Times New Roman"/>
          <w:sz w:val="24"/>
          <w:szCs w:val="24"/>
        </w:rPr>
        <w:t>das distintas entidades da sociedade civil, mas que podem grosso modo sertraduzidos no aprofundamento da aproximação programática de forças sociais</w:t>
      </w:r>
      <w:r w:rsidR="009B7E75">
        <w:rPr>
          <w:rFonts w:ascii="Times New Roman" w:hAnsi="Times New Roman"/>
          <w:sz w:val="24"/>
          <w:szCs w:val="24"/>
        </w:rPr>
        <w:t xml:space="preserve"> dí</w:t>
      </w:r>
      <w:r w:rsidR="00B63793">
        <w:rPr>
          <w:rFonts w:ascii="Times New Roman" w:hAnsi="Times New Roman"/>
          <w:sz w:val="24"/>
          <w:szCs w:val="24"/>
        </w:rPr>
        <w:t>s</w:t>
      </w:r>
      <w:r w:rsidR="009B7E75">
        <w:rPr>
          <w:rFonts w:ascii="Times New Roman" w:hAnsi="Times New Roman"/>
          <w:sz w:val="24"/>
          <w:szCs w:val="24"/>
        </w:rPr>
        <w:t>pares</w:t>
      </w:r>
      <w:r>
        <w:rPr>
          <w:rFonts w:ascii="Times New Roman" w:hAnsi="Times New Roman"/>
          <w:sz w:val="24"/>
          <w:szCs w:val="24"/>
        </w:rPr>
        <w:t xml:space="preserve">, principalmente entre as lideranças do empresariado e da cúpula da burocracia sindical laboral </w:t>
      </w:r>
      <w:r w:rsidRPr="009B7E75">
        <w:rPr>
          <w:rFonts w:ascii="Times New Roman" w:hAnsi="Times New Roman"/>
          <w:sz w:val="24"/>
          <w:szCs w:val="24"/>
        </w:rPr>
        <w:t xml:space="preserve">na </w:t>
      </w:r>
      <w:r w:rsidR="009B7E75" w:rsidRPr="009B7E75">
        <w:rPr>
          <w:rFonts w:ascii="Times New Roman" w:hAnsi="Times New Roman"/>
          <w:sz w:val="24"/>
          <w:szCs w:val="24"/>
        </w:rPr>
        <w:t>consolidação de uma hegemonia cuja justificativa social revestia-se de</w:t>
      </w:r>
      <w:r>
        <w:rPr>
          <w:rFonts w:ascii="Times New Roman" w:hAnsi="Times New Roman"/>
          <w:sz w:val="24"/>
          <w:szCs w:val="24"/>
        </w:rPr>
        <w:t>um</w:t>
      </w:r>
      <w:r w:rsidR="009B7E75">
        <w:rPr>
          <w:rFonts w:ascii="Times New Roman" w:hAnsi="Times New Roman"/>
          <w:sz w:val="24"/>
          <w:szCs w:val="24"/>
        </w:rPr>
        <w:t>a aura</w:t>
      </w:r>
      <w:r>
        <w:rPr>
          <w:rFonts w:ascii="Times New Roman" w:hAnsi="Times New Roman"/>
          <w:sz w:val="24"/>
          <w:szCs w:val="24"/>
        </w:rPr>
        <w:t xml:space="preserve"> de desenvolvimento capitalista “com inclusão social”. O Conselho de Desenvolvimento Econômico e Social (CDES) configurou-se como </w:t>
      </w:r>
      <w:r w:rsidRPr="000876F5">
        <w:rPr>
          <w:rFonts w:ascii="Times New Roman" w:hAnsi="Times New Roman"/>
          <w:i/>
          <w:sz w:val="24"/>
          <w:szCs w:val="24"/>
        </w:rPr>
        <w:t>um dos palcos</w:t>
      </w:r>
      <w:r>
        <w:rPr>
          <w:rFonts w:ascii="Times New Roman" w:hAnsi="Times New Roman"/>
          <w:sz w:val="24"/>
          <w:szCs w:val="24"/>
        </w:rPr>
        <w:t xml:space="preserve"> de atuação </w:t>
      </w:r>
      <w:r w:rsidR="00F3348F">
        <w:rPr>
          <w:rFonts w:ascii="Times New Roman" w:hAnsi="Times New Roman"/>
          <w:sz w:val="24"/>
          <w:szCs w:val="24"/>
        </w:rPr>
        <w:t xml:space="preserve">e amálgama </w:t>
      </w:r>
      <w:r>
        <w:rPr>
          <w:rFonts w:ascii="Times New Roman" w:hAnsi="Times New Roman"/>
          <w:sz w:val="24"/>
          <w:szCs w:val="24"/>
        </w:rPr>
        <w:t xml:space="preserve">destas forças sociais no interior do aparato estatal com o propósito de </w:t>
      </w:r>
      <w:r w:rsidRPr="00350A4E">
        <w:rPr>
          <w:rFonts w:ascii="Times New Roman" w:hAnsi="Times New Roman"/>
          <w:i/>
          <w:sz w:val="24"/>
          <w:szCs w:val="24"/>
        </w:rPr>
        <w:t xml:space="preserve">maturar </w:t>
      </w:r>
      <w:r w:rsidRPr="00350A4E">
        <w:rPr>
          <w:rFonts w:ascii="Times New Roman" w:hAnsi="Times New Roman"/>
          <w:sz w:val="24"/>
          <w:szCs w:val="24"/>
        </w:rPr>
        <w:t>e</w:t>
      </w:r>
      <w:r w:rsidRPr="00350A4E">
        <w:rPr>
          <w:rFonts w:ascii="Times New Roman" w:hAnsi="Times New Roman"/>
          <w:i/>
          <w:sz w:val="24"/>
          <w:szCs w:val="24"/>
        </w:rPr>
        <w:t xml:space="preserve"> aperfeiçoar</w:t>
      </w:r>
      <w:r w:rsidR="00F3348F">
        <w:rPr>
          <w:rFonts w:ascii="Times New Roman" w:hAnsi="Times New Roman"/>
          <w:sz w:val="24"/>
          <w:szCs w:val="24"/>
        </w:rPr>
        <w:t xml:space="preserve">a </w:t>
      </w:r>
      <w:r>
        <w:rPr>
          <w:rFonts w:ascii="Times New Roman" w:hAnsi="Times New Roman"/>
          <w:sz w:val="24"/>
          <w:szCs w:val="24"/>
        </w:rPr>
        <w:t>ampliação das formas de reprodução da acumulação capitalista, sob direção empresarial</w:t>
      </w:r>
      <w:r w:rsidR="00F3348F">
        <w:rPr>
          <w:rFonts w:ascii="Times New Roman" w:hAnsi="Times New Roman"/>
          <w:sz w:val="24"/>
          <w:szCs w:val="24"/>
        </w:rPr>
        <w:t xml:space="preserve"> de grandes monopólios</w:t>
      </w:r>
      <w:r>
        <w:rPr>
          <w:rFonts w:ascii="Times New Roman" w:hAnsi="Times New Roman"/>
          <w:sz w:val="24"/>
          <w:szCs w:val="24"/>
        </w:rPr>
        <w:t xml:space="preserve">, com feição distributiva oriunda da ressignificação rebaixada das </w:t>
      </w:r>
      <w:r w:rsidR="00813716">
        <w:rPr>
          <w:rFonts w:ascii="Times New Roman" w:hAnsi="Times New Roman"/>
          <w:sz w:val="24"/>
          <w:szCs w:val="24"/>
        </w:rPr>
        <w:t>reivindicações</w:t>
      </w:r>
      <w:r>
        <w:rPr>
          <w:rFonts w:ascii="Times New Roman" w:hAnsi="Times New Roman"/>
          <w:sz w:val="24"/>
          <w:szCs w:val="24"/>
        </w:rPr>
        <w:t xml:space="preserve"> populares.</w:t>
      </w:r>
    </w:p>
    <w:p w:rsidR="009512DE" w:rsidRPr="00791543" w:rsidRDefault="009512DE" w:rsidP="009512DE">
      <w:pPr>
        <w:spacing w:after="0" w:line="360" w:lineRule="auto"/>
        <w:ind w:firstLine="708"/>
        <w:jc w:val="both"/>
        <w:rPr>
          <w:rFonts w:ascii="Times New Roman" w:hAnsi="Times New Roman"/>
          <w:sz w:val="24"/>
          <w:szCs w:val="24"/>
        </w:rPr>
      </w:pPr>
      <w:r w:rsidRPr="00791543">
        <w:rPr>
          <w:rFonts w:ascii="Times New Roman" w:hAnsi="Times New Roman"/>
          <w:sz w:val="24"/>
          <w:szCs w:val="24"/>
        </w:rPr>
        <w:t xml:space="preserve">Esta tese </w:t>
      </w:r>
      <w:r w:rsidR="00594337" w:rsidRPr="00791543">
        <w:rPr>
          <w:rFonts w:ascii="Times New Roman" w:hAnsi="Times New Roman"/>
          <w:sz w:val="24"/>
          <w:szCs w:val="24"/>
        </w:rPr>
        <w:t xml:space="preserve">está atravessada por </w:t>
      </w:r>
      <w:r w:rsidRPr="00791543">
        <w:rPr>
          <w:rFonts w:ascii="Times New Roman" w:hAnsi="Times New Roman"/>
          <w:sz w:val="24"/>
          <w:szCs w:val="24"/>
        </w:rPr>
        <w:t>quatro grandes questões</w:t>
      </w:r>
      <w:r w:rsidR="00594337" w:rsidRPr="00791543">
        <w:rPr>
          <w:rFonts w:ascii="Times New Roman" w:hAnsi="Times New Roman"/>
          <w:sz w:val="24"/>
          <w:szCs w:val="24"/>
        </w:rPr>
        <w:t xml:space="preserve">. Elas se imbricam, se complementame se direcionam diretamente ao estudo </w:t>
      </w:r>
      <w:r w:rsidR="0043050E" w:rsidRPr="00791543">
        <w:rPr>
          <w:rFonts w:ascii="Times New Roman" w:hAnsi="Times New Roman"/>
          <w:sz w:val="24"/>
          <w:szCs w:val="24"/>
        </w:rPr>
        <w:t xml:space="preserve">de </w:t>
      </w:r>
      <w:r w:rsidR="0093518C" w:rsidRPr="00791543">
        <w:rPr>
          <w:rFonts w:ascii="Times New Roman" w:hAnsi="Times New Roman"/>
          <w:i/>
          <w:sz w:val="24"/>
          <w:szCs w:val="24"/>
        </w:rPr>
        <w:t xml:space="preserve">um dos muitos </w:t>
      </w:r>
      <w:r w:rsidR="00D73DCA" w:rsidRPr="00791543">
        <w:rPr>
          <w:rFonts w:ascii="Times New Roman" w:hAnsi="Times New Roman"/>
          <w:i/>
          <w:sz w:val="24"/>
          <w:szCs w:val="24"/>
        </w:rPr>
        <w:t>operadores</w:t>
      </w:r>
      <w:r w:rsidR="00CA37CD">
        <w:rPr>
          <w:rFonts w:ascii="Times New Roman" w:hAnsi="Times New Roman"/>
          <w:i/>
          <w:sz w:val="24"/>
          <w:szCs w:val="24"/>
        </w:rPr>
        <w:t xml:space="preserve">coletivos </w:t>
      </w:r>
      <w:r w:rsidR="00594337" w:rsidRPr="00791543">
        <w:rPr>
          <w:rFonts w:ascii="Times New Roman" w:hAnsi="Times New Roman"/>
          <w:sz w:val="24"/>
          <w:szCs w:val="24"/>
        </w:rPr>
        <w:t>d</w:t>
      </w:r>
      <w:r w:rsidR="00D73DCA" w:rsidRPr="00791543">
        <w:rPr>
          <w:rFonts w:ascii="Times New Roman" w:hAnsi="Times New Roman"/>
          <w:sz w:val="24"/>
          <w:szCs w:val="24"/>
        </w:rPr>
        <w:t>o</w:t>
      </w:r>
      <w:r w:rsidR="00594337" w:rsidRPr="00791543">
        <w:rPr>
          <w:rFonts w:ascii="Times New Roman" w:hAnsi="Times New Roman"/>
          <w:sz w:val="24"/>
          <w:szCs w:val="24"/>
        </w:rPr>
        <w:t xml:space="preserve"> exercício da dominação da ordem burguesa no Brasil sob os governos Lula da Silva</w:t>
      </w:r>
      <w:r w:rsidR="00D73DCA" w:rsidRPr="00791543">
        <w:rPr>
          <w:rFonts w:ascii="Times New Roman" w:hAnsi="Times New Roman"/>
          <w:sz w:val="24"/>
          <w:szCs w:val="24"/>
        </w:rPr>
        <w:t xml:space="preserve"> que, neste estudo, é o </w:t>
      </w:r>
      <w:r w:rsidR="0043050E" w:rsidRPr="00791543">
        <w:rPr>
          <w:rFonts w:ascii="Times New Roman" w:hAnsi="Times New Roman"/>
          <w:sz w:val="24"/>
          <w:szCs w:val="24"/>
        </w:rPr>
        <w:t>CDES</w:t>
      </w:r>
      <w:r w:rsidR="00594337" w:rsidRPr="00791543">
        <w:rPr>
          <w:rFonts w:ascii="Times New Roman" w:hAnsi="Times New Roman"/>
          <w:sz w:val="24"/>
          <w:szCs w:val="24"/>
        </w:rPr>
        <w:t>.</w:t>
      </w:r>
    </w:p>
    <w:p w:rsidR="00367706" w:rsidRPr="00791543" w:rsidRDefault="00594337" w:rsidP="002114D1">
      <w:pPr>
        <w:spacing w:after="0" w:line="360" w:lineRule="auto"/>
        <w:ind w:firstLine="708"/>
        <w:jc w:val="both"/>
        <w:rPr>
          <w:rFonts w:ascii="Times New Roman" w:hAnsi="Times New Roman"/>
          <w:sz w:val="24"/>
          <w:szCs w:val="24"/>
        </w:rPr>
      </w:pPr>
      <w:r w:rsidRPr="00791543">
        <w:rPr>
          <w:rFonts w:ascii="Times New Roman" w:hAnsi="Times New Roman"/>
          <w:sz w:val="24"/>
          <w:szCs w:val="24"/>
        </w:rPr>
        <w:t xml:space="preserve">A primeira delas </w:t>
      </w:r>
      <w:r w:rsidR="005C1C89" w:rsidRPr="00791543">
        <w:rPr>
          <w:rFonts w:ascii="Times New Roman" w:hAnsi="Times New Roman"/>
          <w:sz w:val="24"/>
          <w:szCs w:val="24"/>
        </w:rPr>
        <w:t xml:space="preserve">refuta </w:t>
      </w:r>
      <w:r w:rsidRPr="00791543">
        <w:rPr>
          <w:rFonts w:ascii="Times New Roman" w:hAnsi="Times New Roman"/>
          <w:sz w:val="24"/>
          <w:szCs w:val="24"/>
        </w:rPr>
        <w:t xml:space="preserve">qualquer concepção de que </w:t>
      </w:r>
      <w:r w:rsidR="00CC0712" w:rsidRPr="00791543">
        <w:rPr>
          <w:rFonts w:ascii="Times New Roman" w:hAnsi="Times New Roman"/>
          <w:sz w:val="24"/>
          <w:szCs w:val="24"/>
        </w:rPr>
        <w:t>a</w:t>
      </w:r>
      <w:r w:rsidRPr="00791543">
        <w:rPr>
          <w:rFonts w:ascii="Times New Roman" w:hAnsi="Times New Roman"/>
          <w:sz w:val="24"/>
          <w:szCs w:val="24"/>
        </w:rPr>
        <w:t xml:space="preserve"> sociedade civil corresponde ao “público não</w:t>
      </w:r>
      <w:r w:rsidR="001D5546" w:rsidRPr="00791543">
        <w:rPr>
          <w:rFonts w:ascii="Times New Roman" w:hAnsi="Times New Roman"/>
          <w:sz w:val="24"/>
          <w:szCs w:val="24"/>
        </w:rPr>
        <w:t>-</w:t>
      </w:r>
      <w:r w:rsidRPr="00791543">
        <w:rPr>
          <w:rFonts w:ascii="Times New Roman" w:hAnsi="Times New Roman"/>
          <w:sz w:val="24"/>
          <w:szCs w:val="24"/>
        </w:rPr>
        <w:t>estatal”, definição cara aos intelectuais social-liberais</w:t>
      </w:r>
      <w:r w:rsidR="002114D1" w:rsidRPr="00791543">
        <w:rPr>
          <w:rFonts w:ascii="Times New Roman" w:hAnsi="Times New Roman"/>
          <w:sz w:val="24"/>
          <w:szCs w:val="24"/>
        </w:rPr>
        <w:t xml:space="preserve">. Surgida no Brasil no decorrer dos anos 90, </w:t>
      </w:r>
      <w:r w:rsidR="005C1C89" w:rsidRPr="00791543">
        <w:rPr>
          <w:rFonts w:ascii="Times New Roman" w:hAnsi="Times New Roman"/>
          <w:sz w:val="24"/>
          <w:szCs w:val="24"/>
        </w:rPr>
        <w:t xml:space="preserve">esta noção de sociedade civil </w:t>
      </w:r>
      <w:r w:rsidR="002114D1" w:rsidRPr="00791543">
        <w:rPr>
          <w:rFonts w:ascii="Times New Roman" w:hAnsi="Times New Roman"/>
          <w:sz w:val="24"/>
          <w:szCs w:val="24"/>
        </w:rPr>
        <w:t xml:space="preserve">operou como força categorial </w:t>
      </w:r>
      <w:r w:rsidR="007E4942" w:rsidRPr="00791543">
        <w:rPr>
          <w:rFonts w:ascii="Times New Roman" w:hAnsi="Times New Roman"/>
          <w:sz w:val="24"/>
          <w:szCs w:val="24"/>
        </w:rPr>
        <w:t xml:space="preserve">com vistas </w:t>
      </w:r>
      <w:r w:rsidR="002114D1" w:rsidRPr="00791543">
        <w:rPr>
          <w:rFonts w:ascii="Times New Roman" w:hAnsi="Times New Roman"/>
          <w:sz w:val="24"/>
          <w:szCs w:val="24"/>
        </w:rPr>
        <w:t xml:space="preserve">à </w:t>
      </w:r>
      <w:r w:rsidR="001D5546" w:rsidRPr="00791543">
        <w:rPr>
          <w:rFonts w:ascii="Times New Roman" w:hAnsi="Times New Roman"/>
          <w:sz w:val="24"/>
          <w:szCs w:val="24"/>
        </w:rPr>
        <w:t>implementação</w:t>
      </w:r>
      <w:r w:rsidR="002114D1" w:rsidRPr="00791543">
        <w:rPr>
          <w:rFonts w:ascii="Times New Roman" w:hAnsi="Times New Roman"/>
          <w:sz w:val="24"/>
          <w:szCs w:val="24"/>
        </w:rPr>
        <w:t xml:space="preserve"> da Reforma do</w:t>
      </w:r>
      <w:r w:rsidR="00E468A1" w:rsidRPr="00791543">
        <w:rPr>
          <w:rFonts w:ascii="Times New Roman" w:hAnsi="Times New Roman"/>
          <w:sz w:val="24"/>
          <w:szCs w:val="24"/>
        </w:rPr>
        <w:t xml:space="preserve"> Aparelho do</w:t>
      </w:r>
      <w:r w:rsidR="002114D1" w:rsidRPr="00791543">
        <w:rPr>
          <w:rFonts w:ascii="Times New Roman" w:hAnsi="Times New Roman"/>
          <w:sz w:val="24"/>
          <w:szCs w:val="24"/>
        </w:rPr>
        <w:t xml:space="preserve"> Estado</w:t>
      </w:r>
      <w:r w:rsidR="001D5546" w:rsidRPr="00791543">
        <w:rPr>
          <w:rFonts w:ascii="Times New Roman" w:hAnsi="Times New Roman"/>
          <w:sz w:val="24"/>
          <w:szCs w:val="24"/>
        </w:rPr>
        <w:t>, iniciada em 1995 e</w:t>
      </w:r>
      <w:r w:rsidR="00E468A1" w:rsidRPr="00791543">
        <w:rPr>
          <w:rFonts w:ascii="Times New Roman" w:hAnsi="Times New Roman"/>
          <w:sz w:val="24"/>
          <w:szCs w:val="24"/>
        </w:rPr>
        <w:t xml:space="preserve"> conduzida pelo então ministro </w:t>
      </w:r>
      <w:r w:rsidR="001D5546" w:rsidRPr="00791543">
        <w:rPr>
          <w:rFonts w:ascii="Times New Roman" w:hAnsi="Times New Roman"/>
          <w:sz w:val="24"/>
          <w:szCs w:val="24"/>
        </w:rPr>
        <w:t>de Fernando Henrique Cardoso (FHC)</w:t>
      </w:r>
      <w:r w:rsidR="00692F9C" w:rsidRPr="00791543">
        <w:rPr>
          <w:rFonts w:ascii="Times New Roman" w:hAnsi="Times New Roman"/>
          <w:sz w:val="24"/>
          <w:szCs w:val="24"/>
        </w:rPr>
        <w:t>,</w:t>
      </w:r>
      <w:r w:rsidR="001D5546" w:rsidRPr="00791543">
        <w:rPr>
          <w:rFonts w:ascii="Times New Roman" w:hAnsi="Times New Roman"/>
          <w:sz w:val="24"/>
          <w:szCs w:val="24"/>
        </w:rPr>
        <w:t xml:space="preserve"> Luiz Carlos </w:t>
      </w:r>
      <w:r w:rsidR="00E468A1" w:rsidRPr="00791543">
        <w:rPr>
          <w:rFonts w:ascii="Times New Roman" w:hAnsi="Times New Roman"/>
          <w:sz w:val="24"/>
          <w:szCs w:val="24"/>
        </w:rPr>
        <w:t>Bresser Pereir</w:t>
      </w:r>
      <w:r w:rsidR="001D5546" w:rsidRPr="00791543">
        <w:rPr>
          <w:rFonts w:ascii="Times New Roman" w:hAnsi="Times New Roman"/>
          <w:sz w:val="24"/>
          <w:szCs w:val="24"/>
        </w:rPr>
        <w:t>a</w:t>
      </w:r>
      <w:r w:rsidR="00E468A1" w:rsidRPr="00791543">
        <w:rPr>
          <w:rFonts w:ascii="Times New Roman" w:hAnsi="Times New Roman"/>
          <w:sz w:val="24"/>
          <w:szCs w:val="24"/>
        </w:rPr>
        <w:t>.</w:t>
      </w:r>
      <w:r w:rsidR="001D5546" w:rsidRPr="00791543">
        <w:rPr>
          <w:rFonts w:ascii="Times New Roman" w:hAnsi="Times New Roman"/>
          <w:sz w:val="24"/>
          <w:szCs w:val="24"/>
        </w:rPr>
        <w:t xml:space="preserve"> O espaço “público não-estatal” era </w:t>
      </w:r>
      <w:r w:rsidR="00692F9C" w:rsidRPr="00791543">
        <w:rPr>
          <w:rFonts w:ascii="Times New Roman" w:hAnsi="Times New Roman"/>
          <w:sz w:val="24"/>
          <w:szCs w:val="24"/>
        </w:rPr>
        <w:t>constituído</w:t>
      </w:r>
      <w:r w:rsidR="001D5546" w:rsidRPr="00791543">
        <w:rPr>
          <w:rFonts w:ascii="Times New Roman" w:hAnsi="Times New Roman"/>
          <w:sz w:val="24"/>
          <w:szCs w:val="24"/>
        </w:rPr>
        <w:t>, nessa acepção, pelo conjunto de entidades denominadas “organizações sociais”</w:t>
      </w:r>
      <w:r w:rsidR="005C1C89" w:rsidRPr="00791543">
        <w:rPr>
          <w:rFonts w:ascii="Times New Roman" w:hAnsi="Times New Roman"/>
          <w:sz w:val="24"/>
          <w:szCs w:val="24"/>
        </w:rPr>
        <w:t xml:space="preserve"> e congêneres</w:t>
      </w:r>
      <w:r w:rsidR="007D2C0F" w:rsidRPr="00791543">
        <w:rPr>
          <w:rFonts w:ascii="Times New Roman" w:hAnsi="Times New Roman"/>
          <w:sz w:val="24"/>
          <w:szCs w:val="24"/>
        </w:rPr>
        <w:t xml:space="preserve"> “sem fins lucrativos”</w:t>
      </w:r>
      <w:r w:rsidR="007E4942" w:rsidRPr="00791543">
        <w:rPr>
          <w:rFonts w:ascii="Times New Roman" w:hAnsi="Times New Roman"/>
          <w:sz w:val="24"/>
          <w:szCs w:val="24"/>
        </w:rPr>
        <w:t xml:space="preserve">, que passaram a assumir a execução de políticas públicas ditas “não-exclusivas” do Estado. </w:t>
      </w:r>
      <w:r w:rsidR="00692F9C" w:rsidRPr="00791543">
        <w:rPr>
          <w:rFonts w:ascii="Times New Roman" w:hAnsi="Times New Roman"/>
          <w:sz w:val="24"/>
          <w:szCs w:val="24"/>
        </w:rPr>
        <w:t xml:space="preserve">Os intelectuais orgânicos burgueses definiam o “público não-estatal” </w:t>
      </w:r>
      <w:r w:rsidR="00026271" w:rsidRPr="00791543">
        <w:rPr>
          <w:rFonts w:ascii="Times New Roman" w:hAnsi="Times New Roman"/>
          <w:sz w:val="24"/>
          <w:szCs w:val="24"/>
        </w:rPr>
        <w:t xml:space="preserve">como esfera </w:t>
      </w:r>
      <w:r w:rsidR="00692F9C" w:rsidRPr="00791543">
        <w:rPr>
          <w:rFonts w:ascii="Times New Roman" w:hAnsi="Times New Roman"/>
          <w:sz w:val="24"/>
          <w:szCs w:val="24"/>
        </w:rPr>
        <w:t xml:space="preserve">que não se confundia </w:t>
      </w:r>
      <w:r w:rsidR="0043050E" w:rsidRPr="00791543">
        <w:rPr>
          <w:rFonts w:ascii="Times New Roman" w:hAnsi="Times New Roman"/>
          <w:sz w:val="24"/>
          <w:szCs w:val="24"/>
        </w:rPr>
        <w:t xml:space="preserve">nem com </w:t>
      </w:r>
      <w:r w:rsidR="00692F9C" w:rsidRPr="00791543">
        <w:rPr>
          <w:rFonts w:ascii="Times New Roman" w:hAnsi="Times New Roman"/>
          <w:sz w:val="24"/>
          <w:szCs w:val="24"/>
        </w:rPr>
        <w:t>o Estado</w:t>
      </w:r>
      <w:r w:rsidR="00026271" w:rsidRPr="00791543">
        <w:rPr>
          <w:rFonts w:ascii="Times New Roman" w:hAnsi="Times New Roman"/>
          <w:sz w:val="24"/>
          <w:szCs w:val="24"/>
        </w:rPr>
        <w:t xml:space="preserve"> (político)</w:t>
      </w:r>
      <w:r w:rsidR="00692F9C" w:rsidRPr="00791543">
        <w:rPr>
          <w:rFonts w:ascii="Times New Roman" w:hAnsi="Times New Roman"/>
          <w:sz w:val="24"/>
          <w:szCs w:val="24"/>
        </w:rPr>
        <w:t xml:space="preserve"> e </w:t>
      </w:r>
      <w:r w:rsidR="0043050E" w:rsidRPr="00791543">
        <w:rPr>
          <w:rFonts w:ascii="Times New Roman" w:hAnsi="Times New Roman"/>
          <w:sz w:val="24"/>
          <w:szCs w:val="24"/>
        </w:rPr>
        <w:t xml:space="preserve">nem </w:t>
      </w:r>
      <w:r w:rsidR="00692F9C" w:rsidRPr="00791543">
        <w:rPr>
          <w:rFonts w:ascii="Times New Roman" w:hAnsi="Times New Roman"/>
          <w:sz w:val="24"/>
          <w:szCs w:val="24"/>
        </w:rPr>
        <w:t>com o mercado</w:t>
      </w:r>
      <w:r w:rsidR="00026271" w:rsidRPr="00791543">
        <w:rPr>
          <w:rFonts w:ascii="Times New Roman" w:hAnsi="Times New Roman"/>
          <w:sz w:val="24"/>
          <w:szCs w:val="24"/>
        </w:rPr>
        <w:t xml:space="preserve"> (econômico), remetendo-o a um suposto “Terceiro Setor”, adequado ao trato </w:t>
      </w:r>
      <w:r w:rsidR="00E76822" w:rsidRPr="00791543">
        <w:rPr>
          <w:rFonts w:ascii="Times New Roman" w:hAnsi="Times New Roman"/>
          <w:sz w:val="24"/>
          <w:szCs w:val="24"/>
        </w:rPr>
        <w:t>do “</w:t>
      </w:r>
      <w:r w:rsidR="00026271" w:rsidRPr="00791543">
        <w:rPr>
          <w:rFonts w:ascii="Times New Roman" w:hAnsi="Times New Roman"/>
          <w:sz w:val="24"/>
          <w:szCs w:val="24"/>
        </w:rPr>
        <w:t xml:space="preserve">social” </w:t>
      </w:r>
      <w:r w:rsidR="0043050E" w:rsidRPr="00791543">
        <w:rPr>
          <w:rFonts w:ascii="Times New Roman" w:hAnsi="Times New Roman"/>
          <w:sz w:val="24"/>
          <w:szCs w:val="24"/>
        </w:rPr>
        <w:t>posto que</w:t>
      </w:r>
      <w:r w:rsidR="00026271" w:rsidRPr="00791543">
        <w:rPr>
          <w:rFonts w:ascii="Times New Roman" w:hAnsi="Times New Roman"/>
          <w:sz w:val="24"/>
          <w:szCs w:val="24"/>
        </w:rPr>
        <w:t xml:space="preserve"> suscetível de maior “controle social”</w:t>
      </w:r>
      <w:r w:rsidR="00692F9C" w:rsidRPr="00791543">
        <w:rPr>
          <w:rFonts w:ascii="Times New Roman" w:hAnsi="Times New Roman"/>
          <w:sz w:val="24"/>
          <w:szCs w:val="24"/>
        </w:rPr>
        <w:t xml:space="preserve">. Assim, o conceito de sociedade civil deslizava </w:t>
      </w:r>
      <w:r w:rsidR="00085A5D" w:rsidRPr="00791543">
        <w:rPr>
          <w:rFonts w:ascii="Times New Roman" w:hAnsi="Times New Roman"/>
          <w:sz w:val="24"/>
          <w:szCs w:val="24"/>
        </w:rPr>
        <w:t>d</w:t>
      </w:r>
      <w:r w:rsidR="00692F9C" w:rsidRPr="00791543">
        <w:rPr>
          <w:rFonts w:ascii="Times New Roman" w:hAnsi="Times New Roman"/>
          <w:sz w:val="24"/>
          <w:szCs w:val="24"/>
        </w:rPr>
        <w:t>o terreno do conflito social e da produção da contra-hegemonia</w:t>
      </w:r>
      <w:r w:rsidR="00CC0712" w:rsidRPr="00791543">
        <w:rPr>
          <w:rFonts w:ascii="Times New Roman" w:hAnsi="Times New Roman"/>
          <w:sz w:val="24"/>
          <w:szCs w:val="24"/>
        </w:rPr>
        <w:t>em acenso</w:t>
      </w:r>
      <w:r w:rsidR="00085A5D" w:rsidRPr="00791543">
        <w:rPr>
          <w:rFonts w:ascii="Times New Roman" w:hAnsi="Times New Roman"/>
          <w:sz w:val="24"/>
          <w:szCs w:val="24"/>
        </w:rPr>
        <w:t xml:space="preserve"> durante os anos 80</w:t>
      </w:r>
      <w:r w:rsidR="00692F9C" w:rsidRPr="00791543">
        <w:rPr>
          <w:rFonts w:ascii="Times New Roman" w:hAnsi="Times New Roman"/>
          <w:sz w:val="24"/>
          <w:szCs w:val="24"/>
        </w:rPr>
        <w:t xml:space="preserve">para o gerenciamento privatista do fundo público, em especial </w:t>
      </w:r>
      <w:r w:rsidR="00E76822" w:rsidRPr="00791543">
        <w:rPr>
          <w:rFonts w:ascii="Times New Roman" w:hAnsi="Times New Roman"/>
          <w:sz w:val="24"/>
          <w:szCs w:val="24"/>
        </w:rPr>
        <w:t>na</w:t>
      </w:r>
      <w:r w:rsidR="00692F9C" w:rsidRPr="00791543">
        <w:rPr>
          <w:rFonts w:ascii="Times New Roman" w:hAnsi="Times New Roman"/>
          <w:sz w:val="24"/>
          <w:szCs w:val="24"/>
        </w:rPr>
        <w:t>s áreas sociais.</w:t>
      </w:r>
    </w:p>
    <w:p w:rsidR="00587D60" w:rsidRPr="00791543" w:rsidRDefault="005F045C" w:rsidP="00AF0FCE">
      <w:pPr>
        <w:spacing w:after="0" w:line="360" w:lineRule="auto"/>
        <w:ind w:firstLine="708"/>
        <w:jc w:val="both"/>
        <w:rPr>
          <w:rFonts w:ascii="Times New Roman" w:hAnsi="Times New Roman"/>
          <w:sz w:val="24"/>
          <w:szCs w:val="24"/>
        </w:rPr>
      </w:pPr>
      <w:r w:rsidRPr="00791543">
        <w:rPr>
          <w:rFonts w:ascii="Times New Roman" w:hAnsi="Times New Roman"/>
          <w:sz w:val="24"/>
          <w:szCs w:val="24"/>
        </w:rPr>
        <w:t xml:space="preserve">A pesquisa apresentada nesta tese enfrenta </w:t>
      </w:r>
      <w:r w:rsidR="00871264" w:rsidRPr="00791543">
        <w:rPr>
          <w:rFonts w:ascii="Times New Roman" w:hAnsi="Times New Roman"/>
          <w:sz w:val="24"/>
          <w:szCs w:val="24"/>
        </w:rPr>
        <w:t>cabalmente</w:t>
      </w:r>
      <w:r w:rsidRPr="00791543">
        <w:rPr>
          <w:rFonts w:ascii="Times New Roman" w:hAnsi="Times New Roman"/>
          <w:sz w:val="24"/>
          <w:szCs w:val="24"/>
        </w:rPr>
        <w:t xml:space="preserve"> a concepção de sociedade civil </w:t>
      </w:r>
      <w:r w:rsidR="003B7A2C" w:rsidRPr="00791543">
        <w:rPr>
          <w:rFonts w:ascii="Times New Roman" w:hAnsi="Times New Roman"/>
          <w:sz w:val="24"/>
          <w:szCs w:val="24"/>
        </w:rPr>
        <w:t>desprovida</w:t>
      </w:r>
      <w:r w:rsidRPr="00791543">
        <w:rPr>
          <w:rFonts w:ascii="Times New Roman" w:hAnsi="Times New Roman"/>
          <w:sz w:val="24"/>
          <w:szCs w:val="24"/>
        </w:rPr>
        <w:t xml:space="preserve"> conteúdo classista e </w:t>
      </w:r>
      <w:r w:rsidR="003B7A2C" w:rsidRPr="00791543">
        <w:rPr>
          <w:rFonts w:ascii="Times New Roman" w:hAnsi="Times New Roman"/>
          <w:sz w:val="24"/>
          <w:szCs w:val="24"/>
        </w:rPr>
        <w:t>desagregada d</w:t>
      </w:r>
      <w:r w:rsidRPr="00791543">
        <w:rPr>
          <w:rFonts w:ascii="Times New Roman" w:hAnsi="Times New Roman"/>
          <w:sz w:val="24"/>
          <w:szCs w:val="24"/>
        </w:rPr>
        <w:t>o Estado</w:t>
      </w:r>
      <w:r w:rsidR="0093518C" w:rsidRPr="00791543">
        <w:rPr>
          <w:rFonts w:ascii="Times New Roman" w:hAnsi="Times New Roman"/>
          <w:sz w:val="24"/>
          <w:szCs w:val="24"/>
        </w:rPr>
        <w:t xml:space="preserve">, o que encolhe </w:t>
      </w:r>
      <w:r w:rsidR="00100BE1" w:rsidRPr="00791543">
        <w:rPr>
          <w:rFonts w:ascii="Times New Roman" w:hAnsi="Times New Roman"/>
          <w:sz w:val="24"/>
          <w:szCs w:val="24"/>
        </w:rPr>
        <w:t xml:space="preserve">e/ou dilui </w:t>
      </w:r>
      <w:r w:rsidR="0093518C" w:rsidRPr="00791543">
        <w:rPr>
          <w:rFonts w:ascii="Times New Roman" w:hAnsi="Times New Roman"/>
          <w:sz w:val="24"/>
          <w:szCs w:val="24"/>
        </w:rPr>
        <w:t xml:space="preserve">a noção </w:t>
      </w:r>
      <w:r w:rsidR="0044170C" w:rsidRPr="00791543">
        <w:rPr>
          <w:rFonts w:ascii="Times New Roman" w:hAnsi="Times New Roman"/>
          <w:sz w:val="24"/>
          <w:szCs w:val="24"/>
        </w:rPr>
        <w:t xml:space="preserve">de </w:t>
      </w:r>
      <w:r w:rsidR="0093518C" w:rsidRPr="00791543">
        <w:rPr>
          <w:rFonts w:ascii="Times New Roman" w:hAnsi="Times New Roman"/>
          <w:sz w:val="24"/>
          <w:szCs w:val="24"/>
        </w:rPr>
        <w:t>política, poder e dominação</w:t>
      </w:r>
      <w:r w:rsidRPr="00791543">
        <w:rPr>
          <w:rFonts w:ascii="Times New Roman" w:hAnsi="Times New Roman"/>
          <w:sz w:val="24"/>
          <w:szCs w:val="24"/>
        </w:rPr>
        <w:t xml:space="preserve">. </w:t>
      </w:r>
      <w:r w:rsidR="00AF0FCE" w:rsidRPr="00791543">
        <w:rPr>
          <w:rFonts w:ascii="Times New Roman" w:hAnsi="Times New Roman"/>
          <w:sz w:val="24"/>
          <w:szCs w:val="24"/>
        </w:rPr>
        <w:t xml:space="preserve">O Estado no Brasil está atravessado pela sociedade civil </w:t>
      </w:r>
      <w:r w:rsidR="00C41889" w:rsidRPr="00791543">
        <w:rPr>
          <w:rFonts w:ascii="Times New Roman" w:hAnsi="Times New Roman"/>
          <w:sz w:val="24"/>
          <w:szCs w:val="24"/>
        </w:rPr>
        <w:t>e e</w:t>
      </w:r>
      <w:r w:rsidR="005A06F1" w:rsidRPr="00791543">
        <w:rPr>
          <w:rFonts w:ascii="Times New Roman" w:hAnsi="Times New Roman"/>
          <w:sz w:val="24"/>
          <w:szCs w:val="24"/>
        </w:rPr>
        <w:t>ss</w:t>
      </w:r>
      <w:r w:rsidR="00C41889" w:rsidRPr="00791543">
        <w:rPr>
          <w:rFonts w:ascii="Times New Roman" w:hAnsi="Times New Roman"/>
          <w:sz w:val="24"/>
          <w:szCs w:val="24"/>
        </w:rPr>
        <w:t xml:space="preserve">a expressa as mediações presentes entre as </w:t>
      </w:r>
      <w:r w:rsidR="00A10DED" w:rsidRPr="00791543">
        <w:rPr>
          <w:rFonts w:ascii="Times New Roman" w:hAnsi="Times New Roman"/>
          <w:sz w:val="24"/>
          <w:szCs w:val="24"/>
        </w:rPr>
        <w:t>relações sociais de produção (</w:t>
      </w:r>
      <w:r w:rsidR="003B7A2C" w:rsidRPr="00791543">
        <w:rPr>
          <w:rFonts w:ascii="Times New Roman" w:hAnsi="Times New Roman"/>
          <w:sz w:val="24"/>
          <w:szCs w:val="24"/>
        </w:rPr>
        <w:t>não se subtrai às contradições de classe</w:t>
      </w:r>
      <w:r w:rsidR="00A10DED" w:rsidRPr="00791543">
        <w:rPr>
          <w:rFonts w:ascii="Times New Roman" w:hAnsi="Times New Roman"/>
          <w:sz w:val="24"/>
          <w:szCs w:val="24"/>
        </w:rPr>
        <w:t>)</w:t>
      </w:r>
      <w:r w:rsidR="00C41889" w:rsidRPr="00791543">
        <w:rPr>
          <w:rFonts w:ascii="Times New Roman" w:hAnsi="Times New Roman"/>
          <w:sz w:val="24"/>
          <w:szCs w:val="24"/>
        </w:rPr>
        <w:t xml:space="preserve"> e </w:t>
      </w:r>
      <w:r w:rsidR="00A10DED" w:rsidRPr="00791543">
        <w:rPr>
          <w:rFonts w:ascii="Times New Roman" w:hAnsi="Times New Roman"/>
          <w:sz w:val="24"/>
          <w:szCs w:val="24"/>
        </w:rPr>
        <w:t>a organização do</w:t>
      </w:r>
      <w:r w:rsidR="00C41889" w:rsidRPr="00791543">
        <w:rPr>
          <w:rFonts w:ascii="Times New Roman" w:hAnsi="Times New Roman"/>
          <w:sz w:val="24"/>
          <w:szCs w:val="24"/>
        </w:rPr>
        <w:t xml:space="preserve"> Estado</w:t>
      </w:r>
      <w:r w:rsidR="00A10DED" w:rsidRPr="00791543">
        <w:rPr>
          <w:rFonts w:ascii="Times New Roman" w:hAnsi="Times New Roman"/>
          <w:sz w:val="24"/>
          <w:szCs w:val="24"/>
        </w:rPr>
        <w:t xml:space="preserve">, </w:t>
      </w:r>
      <w:r w:rsidR="00CA37CD">
        <w:rPr>
          <w:rFonts w:ascii="Times New Roman" w:hAnsi="Times New Roman"/>
          <w:sz w:val="24"/>
          <w:szCs w:val="24"/>
        </w:rPr>
        <w:t>com vistas à</w:t>
      </w:r>
      <w:r w:rsidR="00B559F7" w:rsidRPr="00791543">
        <w:rPr>
          <w:rFonts w:ascii="Times New Roman" w:hAnsi="Times New Roman"/>
          <w:sz w:val="24"/>
          <w:szCs w:val="24"/>
        </w:rPr>
        <w:t xml:space="preserve"> produção e disseminação do convencimento: “a sociedade civil conecta o âmbito da dominação direta (a produção), por meio de sua organização e de seus intelectuais, ao terreno da direção geral e do comando sobre o conjunto da vida social, através do Estado”.</w:t>
      </w:r>
      <w:r w:rsidR="00C77971" w:rsidRPr="00791543">
        <w:rPr>
          <w:rStyle w:val="Refdenotaderodap"/>
          <w:rFonts w:ascii="Times New Roman" w:hAnsi="Times New Roman"/>
          <w:sz w:val="24"/>
          <w:szCs w:val="24"/>
        </w:rPr>
        <w:footnoteReference w:id="2"/>
      </w:r>
      <w:r w:rsidR="004C764E" w:rsidRPr="00791543">
        <w:rPr>
          <w:rFonts w:ascii="Times New Roman" w:hAnsi="Times New Roman"/>
          <w:sz w:val="24"/>
          <w:szCs w:val="24"/>
        </w:rPr>
        <w:t xml:space="preserve">No estudo sobre o CDES, a maioria esmagadora dos conselheiros foram organizadores de enorme variedade de entidades da sociedade civil, mesmo aqueles que não foram convocados </w:t>
      </w:r>
      <w:r w:rsidR="00B63793">
        <w:rPr>
          <w:rFonts w:ascii="Times New Roman" w:hAnsi="Times New Roman"/>
          <w:sz w:val="24"/>
          <w:szCs w:val="24"/>
        </w:rPr>
        <w:t>em razão do</w:t>
      </w:r>
      <w:r w:rsidR="004C764E" w:rsidRPr="00791543">
        <w:rPr>
          <w:rFonts w:ascii="Times New Roman" w:hAnsi="Times New Roman"/>
          <w:sz w:val="24"/>
          <w:szCs w:val="24"/>
        </w:rPr>
        <w:t xml:space="preserve"> credenciamento </w:t>
      </w:r>
      <w:r w:rsidR="00B63793">
        <w:rPr>
          <w:rFonts w:ascii="Times New Roman" w:hAnsi="Times New Roman"/>
          <w:sz w:val="24"/>
          <w:szCs w:val="24"/>
        </w:rPr>
        <w:t>junto à sociedade civil</w:t>
      </w:r>
      <w:r w:rsidR="004C764E" w:rsidRPr="00791543">
        <w:rPr>
          <w:rFonts w:ascii="Times New Roman" w:hAnsi="Times New Roman"/>
          <w:sz w:val="24"/>
          <w:szCs w:val="24"/>
        </w:rPr>
        <w:t xml:space="preserve"> (ocasião típica dos ban</w:t>
      </w:r>
      <w:r w:rsidR="00B63793">
        <w:rPr>
          <w:rFonts w:ascii="Times New Roman" w:hAnsi="Times New Roman"/>
          <w:sz w:val="24"/>
          <w:szCs w:val="24"/>
        </w:rPr>
        <w:t>queiros).</w:t>
      </w:r>
    </w:p>
    <w:p w:rsidR="00AF0FCE" w:rsidRPr="00791543" w:rsidRDefault="00F6741D" w:rsidP="00AF0FCE">
      <w:pPr>
        <w:spacing w:after="0" w:line="360" w:lineRule="auto"/>
        <w:ind w:firstLine="708"/>
        <w:jc w:val="both"/>
        <w:rPr>
          <w:rFonts w:ascii="Times New Roman" w:hAnsi="Times New Roman"/>
          <w:sz w:val="24"/>
          <w:szCs w:val="24"/>
        </w:rPr>
      </w:pPr>
      <w:r w:rsidRPr="00791543">
        <w:rPr>
          <w:rFonts w:ascii="Times New Roman" w:hAnsi="Times New Roman"/>
          <w:sz w:val="24"/>
          <w:szCs w:val="24"/>
        </w:rPr>
        <w:t xml:space="preserve">Nas </w:t>
      </w:r>
      <w:r w:rsidR="00587D60" w:rsidRPr="00791543">
        <w:rPr>
          <w:rFonts w:ascii="Times New Roman" w:hAnsi="Times New Roman"/>
          <w:sz w:val="24"/>
          <w:szCs w:val="24"/>
        </w:rPr>
        <w:t xml:space="preserve">duas </w:t>
      </w:r>
      <w:r w:rsidRPr="00791543">
        <w:rPr>
          <w:rFonts w:ascii="Times New Roman" w:hAnsi="Times New Roman"/>
          <w:sz w:val="24"/>
          <w:szCs w:val="24"/>
        </w:rPr>
        <w:t>últimas décadas</w:t>
      </w:r>
      <w:r w:rsidR="00474476" w:rsidRPr="00791543">
        <w:rPr>
          <w:rFonts w:ascii="Times New Roman" w:hAnsi="Times New Roman"/>
          <w:sz w:val="24"/>
          <w:szCs w:val="24"/>
        </w:rPr>
        <w:t>, inclusive, empresas e corporações capitalistas têm</w:t>
      </w:r>
      <w:r w:rsidR="000114CF" w:rsidRPr="00791543">
        <w:rPr>
          <w:rFonts w:ascii="Times New Roman" w:hAnsi="Times New Roman"/>
          <w:sz w:val="24"/>
          <w:szCs w:val="24"/>
        </w:rPr>
        <w:t xml:space="preserve"> sido convocadas,</w:t>
      </w:r>
      <w:r w:rsidRPr="00791543">
        <w:rPr>
          <w:rFonts w:ascii="Times New Roman" w:hAnsi="Times New Roman"/>
          <w:sz w:val="24"/>
          <w:szCs w:val="24"/>
        </w:rPr>
        <w:t>cada vez mais</w:t>
      </w:r>
      <w:r w:rsidR="000114CF" w:rsidRPr="00791543">
        <w:rPr>
          <w:rFonts w:ascii="Times New Roman" w:hAnsi="Times New Roman"/>
          <w:sz w:val="24"/>
          <w:szCs w:val="24"/>
        </w:rPr>
        <w:t>,</w:t>
      </w:r>
      <w:r w:rsidR="0092514F" w:rsidRPr="00791543">
        <w:rPr>
          <w:rFonts w:ascii="Times New Roman" w:hAnsi="Times New Roman"/>
          <w:sz w:val="24"/>
          <w:szCs w:val="24"/>
        </w:rPr>
        <w:t>para</w:t>
      </w:r>
      <w:r w:rsidR="000114CF" w:rsidRPr="00791543">
        <w:rPr>
          <w:rFonts w:ascii="Times New Roman" w:hAnsi="Times New Roman"/>
          <w:sz w:val="24"/>
          <w:szCs w:val="24"/>
        </w:rPr>
        <w:t xml:space="preserve"> investir</w:t>
      </w:r>
      <w:r w:rsidR="00474476" w:rsidRPr="00791543">
        <w:rPr>
          <w:rFonts w:ascii="Times New Roman" w:hAnsi="Times New Roman"/>
          <w:sz w:val="24"/>
          <w:szCs w:val="24"/>
        </w:rPr>
        <w:t xml:space="preserve"> pesadamente, </w:t>
      </w:r>
      <w:r w:rsidRPr="00791543">
        <w:rPr>
          <w:rFonts w:ascii="Times New Roman" w:hAnsi="Times New Roman"/>
          <w:sz w:val="24"/>
          <w:szCs w:val="24"/>
        </w:rPr>
        <w:t>como demiurgos</w:t>
      </w:r>
      <w:r w:rsidR="00474476" w:rsidRPr="00791543">
        <w:rPr>
          <w:rFonts w:ascii="Times New Roman" w:hAnsi="Times New Roman"/>
          <w:sz w:val="24"/>
          <w:szCs w:val="24"/>
        </w:rPr>
        <w:t xml:space="preserve"> da “responsabilidade </w:t>
      </w:r>
      <w:r w:rsidR="0016498E" w:rsidRPr="00791543">
        <w:rPr>
          <w:rFonts w:ascii="Times New Roman" w:hAnsi="Times New Roman"/>
          <w:sz w:val="24"/>
          <w:szCs w:val="24"/>
        </w:rPr>
        <w:t>social</w:t>
      </w:r>
      <w:r w:rsidR="00474476" w:rsidRPr="00791543">
        <w:rPr>
          <w:rFonts w:ascii="Times New Roman" w:hAnsi="Times New Roman"/>
          <w:sz w:val="24"/>
          <w:szCs w:val="24"/>
        </w:rPr>
        <w:t>”, na organização da produção do consenso</w:t>
      </w:r>
      <w:r w:rsidRPr="00791543">
        <w:rPr>
          <w:rFonts w:ascii="Times New Roman" w:hAnsi="Times New Roman"/>
          <w:sz w:val="24"/>
          <w:szCs w:val="24"/>
        </w:rPr>
        <w:t xml:space="preserve"> burguês</w:t>
      </w:r>
      <w:r w:rsidR="00D0691E" w:rsidRPr="00791543">
        <w:rPr>
          <w:rFonts w:ascii="Times New Roman" w:hAnsi="Times New Roman"/>
          <w:sz w:val="24"/>
          <w:szCs w:val="24"/>
        </w:rPr>
        <w:t>, operando como aparelhos privados de hegemonia</w:t>
      </w:r>
      <w:r w:rsidR="0016498E" w:rsidRPr="00791543">
        <w:rPr>
          <w:rFonts w:ascii="Times New Roman" w:hAnsi="Times New Roman"/>
          <w:sz w:val="24"/>
          <w:szCs w:val="24"/>
        </w:rPr>
        <w:t>através de</w:t>
      </w:r>
      <w:r w:rsidR="00BB1788" w:rsidRPr="00791543">
        <w:rPr>
          <w:rFonts w:ascii="Times New Roman" w:hAnsi="Times New Roman"/>
          <w:sz w:val="24"/>
          <w:szCs w:val="24"/>
        </w:rPr>
        <w:t xml:space="preserve"> seus programas, institutos efundações na</w:t>
      </w:r>
      <w:r w:rsidR="0016498E" w:rsidRPr="00791543">
        <w:rPr>
          <w:rFonts w:ascii="Times New Roman" w:hAnsi="Times New Roman"/>
          <w:sz w:val="24"/>
          <w:szCs w:val="24"/>
        </w:rPr>
        <w:t xml:space="preserve"> atuação </w:t>
      </w:r>
      <w:r w:rsidR="00BB1788" w:rsidRPr="00791543">
        <w:rPr>
          <w:rFonts w:ascii="Times New Roman" w:hAnsi="Times New Roman"/>
          <w:sz w:val="24"/>
          <w:szCs w:val="24"/>
        </w:rPr>
        <w:t>junto ao</w:t>
      </w:r>
      <w:r w:rsidRPr="00791543">
        <w:rPr>
          <w:rFonts w:ascii="Times New Roman" w:hAnsi="Times New Roman"/>
          <w:sz w:val="24"/>
          <w:szCs w:val="24"/>
        </w:rPr>
        <w:t>sistema</w:t>
      </w:r>
      <w:r w:rsidR="00474476" w:rsidRPr="00791543">
        <w:rPr>
          <w:rFonts w:ascii="Times New Roman" w:hAnsi="Times New Roman"/>
          <w:sz w:val="24"/>
          <w:szCs w:val="24"/>
        </w:rPr>
        <w:t xml:space="preserve"> educacional, </w:t>
      </w:r>
      <w:r w:rsidR="00BB1788" w:rsidRPr="00791543">
        <w:rPr>
          <w:rFonts w:ascii="Times New Roman" w:hAnsi="Times New Roman"/>
          <w:sz w:val="24"/>
          <w:szCs w:val="24"/>
        </w:rPr>
        <w:t>a</w:t>
      </w:r>
      <w:r w:rsidR="0016498E" w:rsidRPr="00791543">
        <w:rPr>
          <w:rFonts w:ascii="Times New Roman" w:hAnsi="Times New Roman"/>
          <w:sz w:val="24"/>
          <w:szCs w:val="24"/>
        </w:rPr>
        <w:t xml:space="preserve">o complexo </w:t>
      </w:r>
      <w:r w:rsidR="00474476" w:rsidRPr="00791543">
        <w:rPr>
          <w:rFonts w:ascii="Times New Roman" w:hAnsi="Times New Roman"/>
          <w:sz w:val="24"/>
          <w:szCs w:val="24"/>
        </w:rPr>
        <w:t xml:space="preserve">cultural, </w:t>
      </w:r>
      <w:r w:rsidR="00BB1788" w:rsidRPr="00791543">
        <w:rPr>
          <w:rFonts w:ascii="Times New Roman" w:hAnsi="Times New Roman"/>
          <w:sz w:val="24"/>
          <w:szCs w:val="24"/>
        </w:rPr>
        <w:t>à</w:t>
      </w:r>
      <w:r w:rsidR="0016498E" w:rsidRPr="00791543">
        <w:rPr>
          <w:rFonts w:ascii="Times New Roman" w:hAnsi="Times New Roman"/>
          <w:sz w:val="24"/>
          <w:szCs w:val="24"/>
        </w:rPr>
        <w:t xml:space="preserve"> questão </w:t>
      </w:r>
      <w:r w:rsidR="00474476" w:rsidRPr="00791543">
        <w:rPr>
          <w:rFonts w:ascii="Times New Roman" w:hAnsi="Times New Roman"/>
          <w:sz w:val="24"/>
          <w:szCs w:val="24"/>
        </w:rPr>
        <w:t>ambiental</w:t>
      </w:r>
      <w:r w:rsidR="0016498E" w:rsidRPr="00791543">
        <w:rPr>
          <w:rFonts w:ascii="Times New Roman" w:hAnsi="Times New Roman"/>
          <w:sz w:val="24"/>
          <w:szCs w:val="24"/>
        </w:rPr>
        <w:t xml:space="preserve"> e </w:t>
      </w:r>
      <w:r w:rsidR="00BB1788" w:rsidRPr="00791543">
        <w:rPr>
          <w:rFonts w:ascii="Times New Roman" w:hAnsi="Times New Roman"/>
          <w:sz w:val="24"/>
          <w:szCs w:val="24"/>
        </w:rPr>
        <w:t>ao gerenciamento</w:t>
      </w:r>
      <w:r w:rsidR="0016498E" w:rsidRPr="00791543">
        <w:rPr>
          <w:rFonts w:ascii="Times New Roman" w:hAnsi="Times New Roman"/>
          <w:sz w:val="24"/>
          <w:szCs w:val="24"/>
        </w:rPr>
        <w:t xml:space="preserve"> precári</w:t>
      </w:r>
      <w:r w:rsidR="00BB1788" w:rsidRPr="00791543">
        <w:rPr>
          <w:rFonts w:ascii="Times New Roman" w:hAnsi="Times New Roman"/>
          <w:sz w:val="24"/>
          <w:szCs w:val="24"/>
        </w:rPr>
        <w:t>oe pragmático desituações</w:t>
      </w:r>
      <w:r w:rsidR="0016498E" w:rsidRPr="00791543">
        <w:rPr>
          <w:rFonts w:ascii="Times New Roman" w:hAnsi="Times New Roman"/>
          <w:sz w:val="24"/>
          <w:szCs w:val="24"/>
        </w:rPr>
        <w:t xml:space="preserve"> que aflingem cotidianamente as classes subalternas (</w:t>
      </w:r>
      <w:r w:rsidR="00BB1788" w:rsidRPr="00791543">
        <w:rPr>
          <w:rFonts w:ascii="Times New Roman" w:hAnsi="Times New Roman"/>
          <w:sz w:val="24"/>
          <w:szCs w:val="24"/>
        </w:rPr>
        <w:t xml:space="preserve">desemprego, </w:t>
      </w:r>
      <w:r w:rsidR="0016498E" w:rsidRPr="00791543">
        <w:rPr>
          <w:rFonts w:ascii="Times New Roman" w:hAnsi="Times New Roman"/>
          <w:sz w:val="24"/>
          <w:szCs w:val="24"/>
        </w:rPr>
        <w:t xml:space="preserve">violência, </w:t>
      </w:r>
      <w:r w:rsidR="00BB1788" w:rsidRPr="00791543">
        <w:rPr>
          <w:rFonts w:ascii="Times New Roman" w:hAnsi="Times New Roman"/>
          <w:sz w:val="24"/>
          <w:szCs w:val="24"/>
        </w:rPr>
        <w:t>pauperismo</w:t>
      </w:r>
      <w:r w:rsidR="0016498E" w:rsidRPr="00791543">
        <w:rPr>
          <w:rFonts w:ascii="Times New Roman" w:hAnsi="Times New Roman"/>
          <w:sz w:val="24"/>
          <w:szCs w:val="24"/>
        </w:rPr>
        <w:t>,</w:t>
      </w:r>
      <w:r w:rsidR="00BB1788" w:rsidRPr="00791543">
        <w:rPr>
          <w:rFonts w:ascii="Times New Roman" w:hAnsi="Times New Roman"/>
          <w:sz w:val="24"/>
          <w:szCs w:val="24"/>
        </w:rPr>
        <w:t xml:space="preserve"> drogas</w:t>
      </w:r>
      <w:r w:rsidR="00D0691E" w:rsidRPr="00791543">
        <w:rPr>
          <w:rFonts w:ascii="Times New Roman" w:hAnsi="Times New Roman"/>
          <w:sz w:val="24"/>
          <w:szCs w:val="24"/>
        </w:rPr>
        <w:t xml:space="preserve"> etc</w:t>
      </w:r>
      <w:r w:rsidR="00BB1788" w:rsidRPr="00791543">
        <w:rPr>
          <w:rFonts w:ascii="Times New Roman" w:hAnsi="Times New Roman"/>
          <w:sz w:val="24"/>
          <w:szCs w:val="24"/>
        </w:rPr>
        <w:t>), a despeito de silenciarem quanto às fontes de produção das desigualdades s</w:t>
      </w:r>
      <w:r w:rsidR="00CA0999">
        <w:rPr>
          <w:rFonts w:ascii="Times New Roman" w:hAnsi="Times New Roman"/>
          <w:sz w:val="24"/>
          <w:szCs w:val="24"/>
        </w:rPr>
        <w:t>o</w:t>
      </w:r>
      <w:r w:rsidR="00BB1788" w:rsidRPr="00791543">
        <w:rPr>
          <w:rFonts w:ascii="Times New Roman" w:hAnsi="Times New Roman"/>
          <w:sz w:val="24"/>
          <w:szCs w:val="24"/>
        </w:rPr>
        <w:t xml:space="preserve">cioeconômicas no capitalismo. </w:t>
      </w:r>
      <w:r w:rsidR="00FD7286" w:rsidRPr="00791543">
        <w:rPr>
          <w:rFonts w:ascii="Times New Roman" w:hAnsi="Times New Roman"/>
          <w:sz w:val="24"/>
          <w:szCs w:val="24"/>
        </w:rPr>
        <w:t>Ocultações de a</w:t>
      </w:r>
      <w:r w:rsidR="00BB1788" w:rsidRPr="00791543">
        <w:rPr>
          <w:rFonts w:ascii="Times New Roman" w:hAnsi="Times New Roman"/>
          <w:sz w:val="24"/>
          <w:szCs w:val="24"/>
        </w:rPr>
        <w:t>ntagonismos, contradi</w:t>
      </w:r>
      <w:r w:rsidR="00FD7286" w:rsidRPr="00791543">
        <w:rPr>
          <w:rFonts w:ascii="Times New Roman" w:hAnsi="Times New Roman"/>
          <w:sz w:val="24"/>
          <w:szCs w:val="24"/>
        </w:rPr>
        <w:t>ções e</w:t>
      </w:r>
      <w:r w:rsidR="00BB1788" w:rsidRPr="00791543">
        <w:rPr>
          <w:rFonts w:ascii="Times New Roman" w:hAnsi="Times New Roman"/>
          <w:sz w:val="24"/>
          <w:szCs w:val="24"/>
        </w:rPr>
        <w:t xml:space="preserve"> conflitos de classes </w:t>
      </w:r>
      <w:r w:rsidR="00FD7286" w:rsidRPr="00791543">
        <w:rPr>
          <w:rFonts w:ascii="Times New Roman" w:hAnsi="Times New Roman"/>
          <w:sz w:val="24"/>
          <w:szCs w:val="24"/>
        </w:rPr>
        <w:t>caminham lado a lado com a expansão da mercantil-filantr</w:t>
      </w:r>
      <w:r w:rsidR="000114CF" w:rsidRPr="00791543">
        <w:rPr>
          <w:rFonts w:ascii="Times New Roman" w:hAnsi="Times New Roman"/>
          <w:sz w:val="24"/>
          <w:szCs w:val="24"/>
        </w:rPr>
        <w:t>opia</w:t>
      </w:r>
      <w:r w:rsidR="00FD7286" w:rsidRPr="00791543">
        <w:rPr>
          <w:rFonts w:ascii="Times New Roman" w:hAnsi="Times New Roman"/>
          <w:sz w:val="24"/>
          <w:szCs w:val="24"/>
        </w:rPr>
        <w:t xml:space="preserve"> e </w:t>
      </w:r>
      <w:r w:rsidR="000114CF" w:rsidRPr="00791543">
        <w:rPr>
          <w:rFonts w:ascii="Times New Roman" w:hAnsi="Times New Roman"/>
          <w:sz w:val="24"/>
          <w:szCs w:val="24"/>
        </w:rPr>
        <w:t xml:space="preserve">com a </w:t>
      </w:r>
      <w:r w:rsidR="00D77FC2" w:rsidRPr="00791543">
        <w:rPr>
          <w:rFonts w:ascii="Times New Roman" w:hAnsi="Times New Roman"/>
          <w:sz w:val="24"/>
          <w:szCs w:val="24"/>
        </w:rPr>
        <w:t xml:space="preserve">ampliação </w:t>
      </w:r>
      <w:r w:rsidR="00FD7286" w:rsidRPr="00791543">
        <w:rPr>
          <w:rFonts w:ascii="Times New Roman" w:hAnsi="Times New Roman"/>
          <w:sz w:val="24"/>
          <w:szCs w:val="24"/>
        </w:rPr>
        <w:t xml:space="preserve">das margens de lucro derivada do “marketing social”. </w:t>
      </w:r>
    </w:p>
    <w:p w:rsidR="00CA5B18" w:rsidRPr="00791543" w:rsidRDefault="00FD7286" w:rsidP="00CA5B18">
      <w:pPr>
        <w:spacing w:after="0" w:line="360" w:lineRule="auto"/>
        <w:ind w:firstLine="708"/>
        <w:jc w:val="both"/>
        <w:rPr>
          <w:rFonts w:ascii="Times New Roman" w:hAnsi="Times New Roman"/>
          <w:sz w:val="24"/>
          <w:szCs w:val="24"/>
        </w:rPr>
      </w:pPr>
      <w:r w:rsidRPr="00791543">
        <w:rPr>
          <w:rFonts w:ascii="Times New Roman" w:hAnsi="Times New Roman"/>
          <w:sz w:val="24"/>
          <w:szCs w:val="24"/>
        </w:rPr>
        <w:t xml:space="preserve">Ora, como </w:t>
      </w:r>
      <w:r w:rsidR="00B910E0" w:rsidRPr="00791543">
        <w:rPr>
          <w:rFonts w:ascii="Times New Roman" w:hAnsi="Times New Roman"/>
          <w:sz w:val="24"/>
          <w:szCs w:val="24"/>
        </w:rPr>
        <w:t>se sabe</w:t>
      </w:r>
      <w:r w:rsidRPr="00791543">
        <w:rPr>
          <w:rFonts w:ascii="Times New Roman" w:hAnsi="Times New Roman"/>
          <w:sz w:val="24"/>
          <w:szCs w:val="24"/>
        </w:rPr>
        <w:t>, a construção deste</w:t>
      </w:r>
      <w:r w:rsidR="00100BE1" w:rsidRPr="00791543">
        <w:rPr>
          <w:rFonts w:ascii="Times New Roman" w:hAnsi="Times New Roman"/>
          <w:sz w:val="24"/>
          <w:szCs w:val="24"/>
        </w:rPr>
        <w:t xml:space="preserve"> projeto de sociabilidade que envolve a conexão</w:t>
      </w:r>
      <w:r w:rsidR="000114CF" w:rsidRPr="00791543">
        <w:rPr>
          <w:rFonts w:ascii="Times New Roman" w:hAnsi="Times New Roman"/>
          <w:sz w:val="24"/>
          <w:szCs w:val="24"/>
        </w:rPr>
        <w:t xml:space="preserve"> íntima</w:t>
      </w:r>
      <w:r w:rsidR="00100BE1" w:rsidRPr="00791543">
        <w:rPr>
          <w:rFonts w:ascii="Times New Roman" w:hAnsi="Times New Roman"/>
          <w:sz w:val="24"/>
          <w:szCs w:val="24"/>
        </w:rPr>
        <w:t xml:space="preserve"> entre a sociedade civil concebida como “público não-estatal” e a “democratização do Estado” por meio do “controle social” das políticas públ</w:t>
      </w:r>
      <w:r w:rsidRPr="00791543">
        <w:rPr>
          <w:rFonts w:ascii="Times New Roman" w:hAnsi="Times New Roman"/>
          <w:sz w:val="24"/>
          <w:szCs w:val="24"/>
        </w:rPr>
        <w:t>icas não se originou</w:t>
      </w:r>
      <w:r w:rsidR="00100BE1" w:rsidRPr="00791543">
        <w:rPr>
          <w:rFonts w:ascii="Times New Roman" w:hAnsi="Times New Roman"/>
          <w:sz w:val="24"/>
          <w:szCs w:val="24"/>
        </w:rPr>
        <w:t xml:space="preserve"> da iniciat</w:t>
      </w:r>
      <w:r w:rsidR="00CA5B18" w:rsidRPr="00791543">
        <w:rPr>
          <w:rFonts w:ascii="Times New Roman" w:hAnsi="Times New Roman"/>
          <w:sz w:val="24"/>
          <w:szCs w:val="24"/>
        </w:rPr>
        <w:t>iva dos governos Lula da Silva</w:t>
      </w:r>
      <w:r w:rsidR="000114CF" w:rsidRPr="00791543">
        <w:rPr>
          <w:rFonts w:ascii="Times New Roman" w:hAnsi="Times New Roman"/>
          <w:sz w:val="24"/>
          <w:szCs w:val="24"/>
        </w:rPr>
        <w:t xml:space="preserve">, mas neles </w:t>
      </w:r>
      <w:r w:rsidR="00D0691E" w:rsidRPr="00791543">
        <w:rPr>
          <w:rFonts w:ascii="Times New Roman" w:hAnsi="Times New Roman"/>
          <w:sz w:val="24"/>
          <w:szCs w:val="24"/>
        </w:rPr>
        <w:t>aprofund</w:t>
      </w:r>
      <w:r w:rsidR="00C36EF1" w:rsidRPr="00791543">
        <w:rPr>
          <w:rFonts w:ascii="Times New Roman" w:hAnsi="Times New Roman"/>
          <w:sz w:val="24"/>
          <w:szCs w:val="24"/>
        </w:rPr>
        <w:t>ou</w:t>
      </w:r>
      <w:r w:rsidR="00092BF3" w:rsidRPr="00791543">
        <w:rPr>
          <w:rFonts w:ascii="Times New Roman" w:hAnsi="Times New Roman"/>
          <w:sz w:val="24"/>
          <w:szCs w:val="24"/>
        </w:rPr>
        <w:t xml:space="preserve">ou facilitou </w:t>
      </w:r>
      <w:r w:rsidR="00D0691E" w:rsidRPr="00791543">
        <w:rPr>
          <w:rFonts w:ascii="Times New Roman" w:hAnsi="Times New Roman"/>
          <w:sz w:val="24"/>
          <w:szCs w:val="24"/>
        </w:rPr>
        <w:t>o</w:t>
      </w:r>
      <w:r w:rsidR="000114CF" w:rsidRPr="00791543">
        <w:rPr>
          <w:rFonts w:ascii="Times New Roman" w:hAnsi="Times New Roman"/>
          <w:sz w:val="24"/>
          <w:szCs w:val="24"/>
        </w:rPr>
        <w:t xml:space="preserve"> “momento catártico” </w:t>
      </w:r>
      <w:r w:rsidR="00D0691E" w:rsidRPr="00791543">
        <w:rPr>
          <w:rFonts w:ascii="Times New Roman" w:hAnsi="Times New Roman"/>
          <w:sz w:val="24"/>
          <w:szCs w:val="24"/>
        </w:rPr>
        <w:t>d</w:t>
      </w:r>
      <w:r w:rsidR="000114CF" w:rsidRPr="00791543">
        <w:rPr>
          <w:rFonts w:ascii="Times New Roman" w:hAnsi="Times New Roman"/>
          <w:sz w:val="24"/>
          <w:szCs w:val="24"/>
        </w:rPr>
        <w:t>as classes dominantes</w:t>
      </w:r>
      <w:r w:rsidR="00BC7008" w:rsidRPr="00791543">
        <w:rPr>
          <w:rFonts w:ascii="Times New Roman" w:hAnsi="Times New Roman"/>
          <w:sz w:val="24"/>
          <w:szCs w:val="24"/>
        </w:rPr>
        <w:t xml:space="preserve">através da criação de novos instrumentos, instalados no âmbito do Estado restrito, </w:t>
      </w:r>
      <w:r w:rsidR="00C36EF1" w:rsidRPr="00791543">
        <w:rPr>
          <w:rFonts w:ascii="Times New Roman" w:hAnsi="Times New Roman"/>
          <w:sz w:val="24"/>
          <w:szCs w:val="24"/>
        </w:rPr>
        <w:t>responsáveis pelo</w:t>
      </w:r>
      <w:r w:rsidR="00BC7008" w:rsidRPr="00791543">
        <w:rPr>
          <w:rFonts w:ascii="Times New Roman" w:hAnsi="Times New Roman"/>
          <w:sz w:val="24"/>
          <w:szCs w:val="24"/>
        </w:rPr>
        <w:t xml:space="preserve"> acolhimento </w:t>
      </w:r>
      <w:r w:rsidR="00C36EF1" w:rsidRPr="00791543">
        <w:rPr>
          <w:rFonts w:ascii="Times New Roman" w:hAnsi="Times New Roman"/>
          <w:sz w:val="24"/>
          <w:szCs w:val="24"/>
        </w:rPr>
        <w:t xml:space="preserve">e refinamento </w:t>
      </w:r>
      <w:r w:rsidR="00BC7008" w:rsidRPr="00791543">
        <w:rPr>
          <w:rFonts w:ascii="Times New Roman" w:hAnsi="Times New Roman"/>
          <w:sz w:val="24"/>
          <w:szCs w:val="24"/>
        </w:rPr>
        <w:t xml:space="preserve">das demandas empresariais  </w:t>
      </w:r>
      <w:r w:rsidR="00C36EF1" w:rsidRPr="00791543">
        <w:rPr>
          <w:rFonts w:ascii="Times New Roman" w:hAnsi="Times New Roman"/>
          <w:sz w:val="24"/>
          <w:szCs w:val="24"/>
        </w:rPr>
        <w:t xml:space="preserve">que </w:t>
      </w:r>
      <w:r w:rsidR="00C36EF1" w:rsidRPr="00791543">
        <w:rPr>
          <w:rFonts w:ascii="Times New Roman" w:hAnsi="Times New Roman"/>
          <w:i/>
          <w:sz w:val="24"/>
          <w:szCs w:val="24"/>
        </w:rPr>
        <w:t xml:space="preserve">precisavam </w:t>
      </w:r>
      <w:r w:rsidR="00C36EF1" w:rsidRPr="00791543">
        <w:rPr>
          <w:rFonts w:ascii="Times New Roman" w:hAnsi="Times New Roman"/>
          <w:sz w:val="24"/>
          <w:szCs w:val="24"/>
        </w:rPr>
        <w:t xml:space="preserve">da participação ativa das lideranças de alguns grupos </w:t>
      </w:r>
      <w:r w:rsidR="00A94071" w:rsidRPr="00791543">
        <w:rPr>
          <w:rFonts w:ascii="Times New Roman" w:hAnsi="Times New Roman"/>
          <w:sz w:val="24"/>
          <w:szCs w:val="24"/>
        </w:rPr>
        <w:t>sociais de origem não empresarial</w:t>
      </w:r>
      <w:r w:rsidR="00594728" w:rsidRPr="00791543">
        <w:rPr>
          <w:rFonts w:ascii="Times New Roman" w:hAnsi="Times New Roman"/>
          <w:sz w:val="24"/>
          <w:szCs w:val="24"/>
        </w:rPr>
        <w:t xml:space="preserve"> e de origem subalterna </w:t>
      </w:r>
      <w:r w:rsidR="00CA5B18" w:rsidRPr="00791543">
        <w:rPr>
          <w:rFonts w:ascii="Times New Roman" w:hAnsi="Times New Roman"/>
          <w:sz w:val="24"/>
          <w:szCs w:val="24"/>
        </w:rPr>
        <w:t xml:space="preserve">- e aqui chego </w:t>
      </w:r>
      <w:r w:rsidR="00F43F4D" w:rsidRPr="00791543">
        <w:rPr>
          <w:rFonts w:ascii="Times New Roman" w:hAnsi="Times New Roman"/>
          <w:sz w:val="24"/>
          <w:szCs w:val="24"/>
        </w:rPr>
        <w:t>na</w:t>
      </w:r>
      <w:r w:rsidR="00587D60" w:rsidRPr="00791543">
        <w:rPr>
          <w:rFonts w:ascii="Times New Roman" w:hAnsi="Times New Roman"/>
          <w:sz w:val="24"/>
          <w:szCs w:val="24"/>
        </w:rPr>
        <w:t xml:space="preserve"> segunda grande inquietação desta</w:t>
      </w:r>
      <w:r w:rsidR="00CA5B18" w:rsidRPr="00791543">
        <w:rPr>
          <w:rFonts w:ascii="Times New Roman" w:hAnsi="Times New Roman"/>
          <w:sz w:val="24"/>
          <w:szCs w:val="24"/>
        </w:rPr>
        <w:t xml:space="preserve"> tese.</w:t>
      </w:r>
    </w:p>
    <w:p w:rsidR="00DA24D8" w:rsidRPr="00791543" w:rsidRDefault="00C36EF1" w:rsidP="002E0A0E">
      <w:pPr>
        <w:spacing w:after="0" w:line="360" w:lineRule="auto"/>
        <w:ind w:firstLine="708"/>
        <w:jc w:val="both"/>
        <w:rPr>
          <w:rFonts w:ascii="Times New Roman" w:hAnsi="Times New Roman"/>
          <w:sz w:val="24"/>
          <w:szCs w:val="24"/>
        </w:rPr>
      </w:pPr>
      <w:r w:rsidRPr="00791543">
        <w:rPr>
          <w:rFonts w:ascii="Times New Roman" w:hAnsi="Times New Roman"/>
          <w:sz w:val="24"/>
          <w:szCs w:val="24"/>
        </w:rPr>
        <w:t xml:space="preserve">As relações entre Estado e sociedade civil operadas durante os governos Lula da Silva </w:t>
      </w:r>
      <w:r w:rsidR="005A06F1" w:rsidRPr="00791543">
        <w:rPr>
          <w:rFonts w:ascii="Times New Roman" w:hAnsi="Times New Roman"/>
          <w:sz w:val="24"/>
          <w:szCs w:val="24"/>
        </w:rPr>
        <w:t>também se configuraram</w:t>
      </w:r>
      <w:r w:rsidR="007C16E0" w:rsidRPr="00791543">
        <w:rPr>
          <w:rFonts w:ascii="Times New Roman" w:hAnsi="Times New Roman"/>
          <w:sz w:val="24"/>
          <w:szCs w:val="24"/>
        </w:rPr>
        <w:t xml:space="preserve"> através da ampliação da introjeção de aparelhos privados de hegemonia empresariais da sociedade civil no âmbito do Executivo, </w:t>
      </w:r>
      <w:r w:rsidR="007C16E0" w:rsidRPr="00791543">
        <w:rPr>
          <w:rFonts w:ascii="Times New Roman" w:hAnsi="Times New Roman"/>
          <w:i/>
          <w:sz w:val="24"/>
          <w:szCs w:val="24"/>
        </w:rPr>
        <w:t xml:space="preserve">sob o formato de </w:t>
      </w:r>
      <w:r w:rsidR="007C16E0" w:rsidRPr="00791543">
        <w:rPr>
          <w:rFonts w:ascii="Times New Roman" w:hAnsi="Times New Roman"/>
          <w:sz w:val="24"/>
          <w:szCs w:val="24"/>
        </w:rPr>
        <w:t>“</w:t>
      </w:r>
      <w:r w:rsidR="007C16E0" w:rsidRPr="00791543">
        <w:rPr>
          <w:rFonts w:ascii="Times New Roman" w:hAnsi="Times New Roman"/>
          <w:i/>
          <w:sz w:val="24"/>
          <w:szCs w:val="24"/>
        </w:rPr>
        <w:t>democratização participativa das decisões</w:t>
      </w:r>
      <w:r w:rsidR="007C16E0" w:rsidRPr="00791543">
        <w:rPr>
          <w:rFonts w:ascii="Times New Roman" w:hAnsi="Times New Roman"/>
          <w:sz w:val="24"/>
          <w:szCs w:val="24"/>
        </w:rPr>
        <w:t>”. Ao fazê-lo</w:t>
      </w:r>
      <w:r w:rsidR="00A94071" w:rsidRPr="00791543">
        <w:rPr>
          <w:rFonts w:ascii="Times New Roman" w:hAnsi="Times New Roman"/>
          <w:sz w:val="24"/>
          <w:szCs w:val="24"/>
        </w:rPr>
        <w:t xml:space="preserve">, </w:t>
      </w:r>
      <w:r w:rsidR="00D851B7" w:rsidRPr="00791543">
        <w:rPr>
          <w:rFonts w:ascii="Times New Roman" w:hAnsi="Times New Roman"/>
          <w:sz w:val="24"/>
          <w:szCs w:val="24"/>
        </w:rPr>
        <w:t xml:space="preserve">cabe lembrar, </w:t>
      </w:r>
      <w:r w:rsidR="00594728" w:rsidRPr="00791543">
        <w:rPr>
          <w:rFonts w:ascii="Times New Roman" w:hAnsi="Times New Roman"/>
          <w:sz w:val="24"/>
          <w:szCs w:val="24"/>
        </w:rPr>
        <w:t xml:space="preserve">não </w:t>
      </w:r>
      <w:r w:rsidR="00250576" w:rsidRPr="00791543">
        <w:rPr>
          <w:rFonts w:ascii="Times New Roman" w:hAnsi="Times New Roman"/>
          <w:sz w:val="24"/>
          <w:szCs w:val="24"/>
        </w:rPr>
        <w:t>escanteou</w:t>
      </w:r>
      <w:r w:rsidR="00E75A5B" w:rsidRPr="00791543">
        <w:rPr>
          <w:rFonts w:ascii="Times New Roman" w:hAnsi="Times New Roman"/>
          <w:sz w:val="24"/>
          <w:szCs w:val="24"/>
        </w:rPr>
        <w:t xml:space="preserve">a função </w:t>
      </w:r>
      <w:r w:rsidR="00D851B7" w:rsidRPr="00791543">
        <w:rPr>
          <w:rFonts w:ascii="Times New Roman" w:hAnsi="Times New Roman"/>
          <w:sz w:val="24"/>
          <w:szCs w:val="24"/>
        </w:rPr>
        <w:t xml:space="preserve">das </w:t>
      </w:r>
      <w:r w:rsidR="00250576" w:rsidRPr="00791543">
        <w:rPr>
          <w:rFonts w:ascii="Times New Roman" w:hAnsi="Times New Roman"/>
          <w:sz w:val="24"/>
          <w:szCs w:val="24"/>
        </w:rPr>
        <w:t>“</w:t>
      </w:r>
      <w:r w:rsidR="00D851B7" w:rsidRPr="00791543">
        <w:rPr>
          <w:rFonts w:ascii="Times New Roman" w:hAnsi="Times New Roman"/>
          <w:sz w:val="24"/>
          <w:szCs w:val="24"/>
        </w:rPr>
        <w:t>fundações privadas e associações sem fins lucrativos” (FASFIL) na execução das políticas sociais inauguradas pelos governos FHC, passando de 276 mil entidades em 2002 para 290,7 mil em 2010, mantendo a representação de mais da metade (52,2%) do total de entidades sem fins lucrativos</w:t>
      </w:r>
      <w:r w:rsidR="00250576" w:rsidRPr="00791543">
        <w:rPr>
          <w:rFonts w:ascii="Times New Roman" w:hAnsi="Times New Roman"/>
          <w:sz w:val="24"/>
          <w:szCs w:val="24"/>
        </w:rPr>
        <w:t>,</w:t>
      </w:r>
      <w:r w:rsidR="00D851B7" w:rsidRPr="00791543">
        <w:rPr>
          <w:rStyle w:val="Refdenotaderodap"/>
          <w:rFonts w:ascii="Times New Roman" w:hAnsi="Times New Roman"/>
          <w:sz w:val="24"/>
          <w:szCs w:val="24"/>
        </w:rPr>
        <w:footnoteReference w:id="3"/>
      </w:r>
      <w:r w:rsidR="00250576" w:rsidRPr="00791543">
        <w:rPr>
          <w:rFonts w:ascii="Times New Roman" w:hAnsi="Times New Roman"/>
          <w:sz w:val="24"/>
          <w:szCs w:val="24"/>
        </w:rPr>
        <w:t xml:space="preserve"> mas a elas agregaram novos </w:t>
      </w:r>
      <w:r w:rsidR="00F53010" w:rsidRPr="00791543">
        <w:rPr>
          <w:rFonts w:ascii="Times New Roman" w:hAnsi="Times New Roman"/>
          <w:sz w:val="24"/>
          <w:szCs w:val="24"/>
        </w:rPr>
        <w:t>constructos institucionais</w:t>
      </w:r>
      <w:r w:rsidR="00A50E6B" w:rsidRPr="00791543">
        <w:rPr>
          <w:rFonts w:ascii="Times New Roman" w:hAnsi="Times New Roman"/>
          <w:sz w:val="24"/>
          <w:szCs w:val="24"/>
        </w:rPr>
        <w:t xml:space="preserve"> de porosidade empresarial</w:t>
      </w:r>
      <w:r w:rsidR="00250576" w:rsidRPr="00791543">
        <w:rPr>
          <w:rFonts w:ascii="Times New Roman" w:hAnsi="Times New Roman"/>
          <w:sz w:val="24"/>
          <w:szCs w:val="24"/>
        </w:rPr>
        <w:t xml:space="preserve">. </w:t>
      </w:r>
    </w:p>
    <w:p w:rsidR="007D1D9B" w:rsidRPr="00791543" w:rsidRDefault="00250576" w:rsidP="002E0A0E">
      <w:pPr>
        <w:spacing w:after="0" w:line="360" w:lineRule="auto"/>
        <w:ind w:firstLine="708"/>
        <w:jc w:val="both"/>
        <w:rPr>
          <w:rFonts w:ascii="Times New Roman" w:hAnsi="Times New Roman"/>
          <w:sz w:val="24"/>
          <w:szCs w:val="24"/>
        </w:rPr>
      </w:pPr>
      <w:r w:rsidRPr="00791543">
        <w:rPr>
          <w:rFonts w:ascii="Times New Roman" w:hAnsi="Times New Roman"/>
          <w:sz w:val="24"/>
          <w:szCs w:val="24"/>
        </w:rPr>
        <w:t xml:space="preserve">O movimento </w:t>
      </w:r>
      <w:r w:rsidR="002E1801" w:rsidRPr="00791543">
        <w:rPr>
          <w:rFonts w:ascii="Times New Roman" w:hAnsi="Times New Roman"/>
          <w:sz w:val="24"/>
          <w:szCs w:val="24"/>
        </w:rPr>
        <w:t>tomou alcance</w:t>
      </w:r>
      <w:r w:rsidR="005A06F1" w:rsidRPr="00791543">
        <w:rPr>
          <w:rFonts w:ascii="Times New Roman" w:hAnsi="Times New Roman"/>
          <w:sz w:val="24"/>
          <w:szCs w:val="24"/>
        </w:rPr>
        <w:t xml:space="preserve"> maior</w:t>
      </w:r>
      <w:r w:rsidRPr="00791543">
        <w:rPr>
          <w:rFonts w:ascii="Times New Roman" w:hAnsi="Times New Roman"/>
          <w:sz w:val="24"/>
          <w:szCs w:val="24"/>
        </w:rPr>
        <w:t>: não se trata</w:t>
      </w:r>
      <w:r w:rsidR="002E1801" w:rsidRPr="00791543">
        <w:rPr>
          <w:rFonts w:ascii="Times New Roman" w:hAnsi="Times New Roman"/>
          <w:sz w:val="24"/>
          <w:szCs w:val="24"/>
        </w:rPr>
        <w:t>va</w:t>
      </w:r>
      <w:r w:rsidRPr="00791543">
        <w:rPr>
          <w:rFonts w:ascii="Times New Roman" w:hAnsi="Times New Roman"/>
          <w:sz w:val="24"/>
          <w:szCs w:val="24"/>
        </w:rPr>
        <w:t xml:space="preserve"> apenas de fomentar entidades civis sob coordenação empresarial através de </w:t>
      </w:r>
      <w:r w:rsidR="008E76A5" w:rsidRPr="00791543">
        <w:rPr>
          <w:rFonts w:ascii="Times New Roman" w:hAnsi="Times New Roman"/>
          <w:sz w:val="24"/>
          <w:szCs w:val="24"/>
        </w:rPr>
        <w:t>“</w:t>
      </w:r>
      <w:r w:rsidRPr="00791543">
        <w:rPr>
          <w:rFonts w:ascii="Times New Roman" w:hAnsi="Times New Roman"/>
          <w:sz w:val="24"/>
          <w:szCs w:val="24"/>
        </w:rPr>
        <w:t xml:space="preserve">contratos de </w:t>
      </w:r>
      <w:r w:rsidR="008E76A5" w:rsidRPr="00791543">
        <w:rPr>
          <w:rFonts w:ascii="Times New Roman" w:hAnsi="Times New Roman"/>
          <w:sz w:val="24"/>
          <w:szCs w:val="24"/>
        </w:rPr>
        <w:t>gestão”</w:t>
      </w:r>
      <w:r w:rsidRPr="00791543">
        <w:rPr>
          <w:rFonts w:ascii="Times New Roman" w:hAnsi="Times New Roman"/>
          <w:sz w:val="24"/>
          <w:szCs w:val="24"/>
        </w:rPr>
        <w:t xml:space="preserve"> ou </w:t>
      </w:r>
      <w:r w:rsidR="008E76A5" w:rsidRPr="00791543">
        <w:rPr>
          <w:rFonts w:ascii="Times New Roman" w:hAnsi="Times New Roman"/>
          <w:sz w:val="24"/>
          <w:szCs w:val="24"/>
        </w:rPr>
        <w:t>“termos de parceria” na consecução de serviços públicos</w:t>
      </w:r>
      <w:r w:rsidRPr="00791543">
        <w:rPr>
          <w:rFonts w:ascii="Times New Roman" w:hAnsi="Times New Roman"/>
          <w:sz w:val="24"/>
          <w:szCs w:val="24"/>
        </w:rPr>
        <w:t>, mas</w:t>
      </w:r>
      <w:r w:rsidR="008E76A5" w:rsidRPr="00791543">
        <w:rPr>
          <w:rFonts w:ascii="Times New Roman" w:hAnsi="Times New Roman"/>
          <w:sz w:val="24"/>
          <w:szCs w:val="24"/>
        </w:rPr>
        <w:t xml:space="preserve">, </w:t>
      </w:r>
      <w:r w:rsidR="00F43F4D" w:rsidRPr="00791543">
        <w:rPr>
          <w:rFonts w:ascii="Times New Roman" w:hAnsi="Times New Roman"/>
          <w:i/>
          <w:sz w:val="24"/>
          <w:szCs w:val="24"/>
        </w:rPr>
        <w:t xml:space="preserve">também </w:t>
      </w:r>
      <w:r w:rsidR="008E76A5" w:rsidRPr="00791543">
        <w:rPr>
          <w:rFonts w:ascii="Times New Roman" w:hAnsi="Times New Roman"/>
          <w:sz w:val="24"/>
          <w:szCs w:val="24"/>
        </w:rPr>
        <w:t>por meio do CDES,</w:t>
      </w:r>
      <w:r w:rsidRPr="00791543">
        <w:rPr>
          <w:rFonts w:ascii="Times New Roman" w:hAnsi="Times New Roman"/>
          <w:sz w:val="24"/>
          <w:szCs w:val="24"/>
        </w:rPr>
        <w:t xml:space="preserve"> de </w:t>
      </w:r>
      <w:r w:rsidR="008E76A5" w:rsidRPr="00791543">
        <w:rPr>
          <w:rFonts w:ascii="Times New Roman" w:hAnsi="Times New Roman"/>
          <w:sz w:val="24"/>
          <w:szCs w:val="24"/>
        </w:rPr>
        <w:t xml:space="preserve">instituir o </w:t>
      </w:r>
      <w:r w:rsidR="008E76A5" w:rsidRPr="00791543">
        <w:rPr>
          <w:rFonts w:ascii="Times New Roman" w:hAnsi="Times New Roman"/>
          <w:i/>
          <w:sz w:val="24"/>
          <w:szCs w:val="24"/>
        </w:rPr>
        <w:t>empresariamento da gestão participativa no interior do aparato estatal</w:t>
      </w:r>
      <w:r w:rsidR="008E76A5" w:rsidRPr="00791543">
        <w:rPr>
          <w:rFonts w:ascii="Times New Roman" w:hAnsi="Times New Roman"/>
          <w:sz w:val="24"/>
          <w:szCs w:val="24"/>
        </w:rPr>
        <w:t xml:space="preserve">. </w:t>
      </w:r>
      <w:r w:rsidR="002E1801" w:rsidRPr="00791543">
        <w:rPr>
          <w:rFonts w:ascii="Times New Roman" w:hAnsi="Times New Roman"/>
          <w:sz w:val="24"/>
          <w:szCs w:val="24"/>
        </w:rPr>
        <w:t xml:space="preserve">Sob inconteste predomínio empresarial, várias instâncias de articulação política foram abertas na aparelhagem estatal, mas a pesquisa acerca do CDES </w:t>
      </w:r>
      <w:r w:rsidR="002E0A0E" w:rsidRPr="00791543">
        <w:rPr>
          <w:rFonts w:ascii="Times New Roman" w:hAnsi="Times New Roman"/>
          <w:sz w:val="24"/>
          <w:szCs w:val="24"/>
        </w:rPr>
        <w:t xml:space="preserve">irá </w:t>
      </w:r>
      <w:r w:rsidR="002E1801" w:rsidRPr="00791543">
        <w:rPr>
          <w:rFonts w:ascii="Times New Roman" w:hAnsi="Times New Roman"/>
          <w:sz w:val="24"/>
          <w:szCs w:val="24"/>
        </w:rPr>
        <w:t>mostra</w:t>
      </w:r>
      <w:r w:rsidR="002E0A0E" w:rsidRPr="00791543">
        <w:rPr>
          <w:rFonts w:ascii="Times New Roman" w:hAnsi="Times New Roman"/>
          <w:sz w:val="24"/>
          <w:szCs w:val="24"/>
        </w:rPr>
        <w:t>r ao leitor</w:t>
      </w:r>
      <w:r w:rsidR="002E1801" w:rsidRPr="00791543">
        <w:rPr>
          <w:rFonts w:ascii="Times New Roman" w:hAnsi="Times New Roman"/>
          <w:sz w:val="24"/>
          <w:szCs w:val="24"/>
        </w:rPr>
        <w:t xml:space="preserve"> uma singularidade marcante: </w:t>
      </w:r>
      <w:r w:rsidR="002E0A0E" w:rsidRPr="00791543">
        <w:rPr>
          <w:rFonts w:ascii="Times New Roman" w:hAnsi="Times New Roman"/>
          <w:sz w:val="24"/>
          <w:szCs w:val="24"/>
        </w:rPr>
        <w:t>o amadurecimento, através de um exercício paciente e cauteloso, da hegemonia empresaria</w:t>
      </w:r>
      <w:r w:rsidR="00B215E5" w:rsidRPr="00791543">
        <w:rPr>
          <w:rFonts w:ascii="Times New Roman" w:hAnsi="Times New Roman"/>
          <w:sz w:val="24"/>
          <w:szCs w:val="24"/>
        </w:rPr>
        <w:t xml:space="preserve">l do grande capital monopolista </w:t>
      </w:r>
      <w:r w:rsidR="00F729D2">
        <w:rPr>
          <w:rFonts w:ascii="Times New Roman" w:hAnsi="Times New Roman"/>
          <w:sz w:val="24"/>
          <w:szCs w:val="24"/>
        </w:rPr>
        <w:t>em face d</w:t>
      </w:r>
      <w:r w:rsidR="00B215E5" w:rsidRPr="00791543">
        <w:rPr>
          <w:rFonts w:ascii="Times New Roman" w:hAnsi="Times New Roman"/>
          <w:sz w:val="24"/>
          <w:szCs w:val="24"/>
        </w:rPr>
        <w:t xml:space="preserve">os demais capitais e aos </w:t>
      </w:r>
      <w:r w:rsidR="00092BF3" w:rsidRPr="00791543">
        <w:rPr>
          <w:rFonts w:ascii="Times New Roman" w:hAnsi="Times New Roman"/>
          <w:sz w:val="24"/>
          <w:szCs w:val="24"/>
        </w:rPr>
        <w:t xml:space="preserve">demais </w:t>
      </w:r>
      <w:r w:rsidR="00B215E5" w:rsidRPr="00791543">
        <w:rPr>
          <w:rFonts w:ascii="Times New Roman" w:hAnsi="Times New Roman"/>
          <w:sz w:val="24"/>
          <w:szCs w:val="24"/>
        </w:rPr>
        <w:t>grupos sociais representados.</w:t>
      </w:r>
    </w:p>
    <w:p w:rsidR="00360F49" w:rsidRPr="00791543" w:rsidRDefault="00DD66C5" w:rsidP="002E0A0E">
      <w:pPr>
        <w:spacing w:after="0" w:line="360" w:lineRule="auto"/>
        <w:ind w:firstLine="708"/>
        <w:jc w:val="both"/>
        <w:rPr>
          <w:rFonts w:ascii="Times New Roman" w:hAnsi="Times New Roman"/>
          <w:sz w:val="24"/>
          <w:szCs w:val="24"/>
        </w:rPr>
      </w:pPr>
      <w:r w:rsidRPr="00791543">
        <w:rPr>
          <w:rFonts w:ascii="Times New Roman" w:hAnsi="Times New Roman"/>
          <w:sz w:val="24"/>
          <w:szCs w:val="24"/>
        </w:rPr>
        <w:t xml:space="preserve">Além da representação empresarial, coabitavam num mesmo espaço de discussão e de formulação de propostas </w:t>
      </w:r>
      <w:r w:rsidR="009849AC" w:rsidRPr="00791543">
        <w:rPr>
          <w:rFonts w:ascii="Times New Roman" w:hAnsi="Times New Roman"/>
          <w:sz w:val="24"/>
          <w:szCs w:val="24"/>
        </w:rPr>
        <w:t xml:space="preserve">lideranças de </w:t>
      </w:r>
      <w:r w:rsidRPr="00791543">
        <w:rPr>
          <w:rFonts w:ascii="Times New Roman" w:hAnsi="Times New Roman"/>
          <w:sz w:val="24"/>
          <w:szCs w:val="24"/>
        </w:rPr>
        <w:t xml:space="preserve">diversas associações privadas da sociedade civil, nem todas empresariais, </w:t>
      </w:r>
      <w:r w:rsidR="009849AC" w:rsidRPr="00791543">
        <w:rPr>
          <w:rFonts w:ascii="Times New Roman" w:hAnsi="Times New Roman"/>
          <w:sz w:val="24"/>
          <w:szCs w:val="24"/>
        </w:rPr>
        <w:t>a burocracia sindical laboral e</w:t>
      </w:r>
      <w:r w:rsidRPr="00791543">
        <w:rPr>
          <w:rFonts w:ascii="Times New Roman" w:hAnsi="Times New Roman"/>
          <w:sz w:val="24"/>
          <w:szCs w:val="24"/>
        </w:rPr>
        <w:t xml:space="preserve"> intelectuais acadêmicos que traziam</w:t>
      </w:r>
      <w:r w:rsidR="000F1C5F" w:rsidRPr="00791543">
        <w:rPr>
          <w:rFonts w:ascii="Times New Roman" w:hAnsi="Times New Roman"/>
          <w:sz w:val="24"/>
          <w:szCs w:val="24"/>
        </w:rPr>
        <w:t xml:space="preserve"> (alguns pelo menos)</w:t>
      </w:r>
      <w:r w:rsidRPr="00791543">
        <w:rPr>
          <w:rFonts w:ascii="Times New Roman" w:hAnsi="Times New Roman"/>
          <w:sz w:val="24"/>
          <w:szCs w:val="24"/>
        </w:rPr>
        <w:t>, em sua trajetória, certa correspondência</w:t>
      </w:r>
      <w:r w:rsidR="00360F49" w:rsidRPr="00791543">
        <w:rPr>
          <w:rFonts w:ascii="Times New Roman" w:hAnsi="Times New Roman"/>
          <w:sz w:val="24"/>
          <w:szCs w:val="24"/>
        </w:rPr>
        <w:t xml:space="preserve">com o </w:t>
      </w:r>
      <w:r w:rsidR="009849AC" w:rsidRPr="00791543">
        <w:rPr>
          <w:rFonts w:ascii="Times New Roman" w:hAnsi="Times New Roman"/>
          <w:sz w:val="24"/>
          <w:szCs w:val="24"/>
        </w:rPr>
        <w:t>histórico</w:t>
      </w:r>
      <w:r w:rsidRPr="00791543">
        <w:rPr>
          <w:rFonts w:ascii="Times New Roman" w:hAnsi="Times New Roman"/>
          <w:sz w:val="24"/>
          <w:szCs w:val="24"/>
        </w:rPr>
        <w:t xml:space="preserve"> de lutas e reivindicações populares</w:t>
      </w:r>
      <w:r w:rsidR="0040458F" w:rsidRPr="00791543">
        <w:rPr>
          <w:rFonts w:ascii="Times New Roman" w:hAnsi="Times New Roman"/>
          <w:sz w:val="24"/>
          <w:szCs w:val="24"/>
        </w:rPr>
        <w:t xml:space="preserve">. </w:t>
      </w:r>
      <w:r w:rsidR="000666A8" w:rsidRPr="00791543">
        <w:rPr>
          <w:rFonts w:ascii="Times New Roman" w:hAnsi="Times New Roman"/>
          <w:sz w:val="24"/>
          <w:szCs w:val="24"/>
        </w:rPr>
        <w:t>A</w:t>
      </w:r>
      <w:r w:rsidR="0040458F" w:rsidRPr="00791543">
        <w:rPr>
          <w:rFonts w:ascii="Times New Roman" w:hAnsi="Times New Roman"/>
          <w:sz w:val="24"/>
          <w:szCs w:val="24"/>
        </w:rPr>
        <w:t xml:space="preserve"> ausência de militantes que encarnasse</w:t>
      </w:r>
      <w:r w:rsidR="000666A8" w:rsidRPr="00791543">
        <w:rPr>
          <w:rFonts w:ascii="Times New Roman" w:hAnsi="Times New Roman"/>
          <w:sz w:val="24"/>
          <w:szCs w:val="24"/>
        </w:rPr>
        <w:t>m</w:t>
      </w:r>
      <w:r w:rsidR="0040458F" w:rsidRPr="00791543">
        <w:rPr>
          <w:rFonts w:ascii="Times New Roman" w:hAnsi="Times New Roman"/>
          <w:sz w:val="24"/>
          <w:szCs w:val="24"/>
        </w:rPr>
        <w:t xml:space="preserve"> a representação de um projeto autenticamente contra-hegemônico nas plenárias do CDES, não desabon</w:t>
      </w:r>
      <w:r w:rsidR="00360F49" w:rsidRPr="00791543">
        <w:rPr>
          <w:rFonts w:ascii="Times New Roman" w:hAnsi="Times New Roman"/>
          <w:sz w:val="24"/>
          <w:szCs w:val="24"/>
        </w:rPr>
        <w:t>ou</w:t>
      </w:r>
      <w:r w:rsidR="00A67826" w:rsidRPr="00791543">
        <w:rPr>
          <w:rFonts w:ascii="Times New Roman" w:hAnsi="Times New Roman"/>
          <w:sz w:val="24"/>
          <w:szCs w:val="24"/>
        </w:rPr>
        <w:t>, ao contrário,</w:t>
      </w:r>
      <w:r w:rsidR="0040458F" w:rsidRPr="00791543">
        <w:rPr>
          <w:rFonts w:ascii="Times New Roman" w:hAnsi="Times New Roman"/>
          <w:sz w:val="24"/>
          <w:szCs w:val="24"/>
        </w:rPr>
        <w:t xml:space="preserve"> os intelectuais orgânicos do capital de </w:t>
      </w:r>
      <w:r w:rsidR="000666A8" w:rsidRPr="00791543">
        <w:rPr>
          <w:rFonts w:ascii="Times New Roman" w:hAnsi="Times New Roman"/>
          <w:sz w:val="24"/>
          <w:szCs w:val="24"/>
        </w:rPr>
        <w:t xml:space="preserve">empreenderem </w:t>
      </w:r>
      <w:r w:rsidR="0040458F" w:rsidRPr="00791543">
        <w:rPr>
          <w:rFonts w:ascii="Times New Roman" w:hAnsi="Times New Roman"/>
          <w:sz w:val="24"/>
          <w:szCs w:val="24"/>
        </w:rPr>
        <w:t xml:space="preserve">esforços para que o exercício da dominação de classes passasse a requerer o consenso e a legitimidade </w:t>
      </w:r>
      <w:r w:rsidR="000666A8" w:rsidRPr="00791543">
        <w:rPr>
          <w:rFonts w:ascii="Times New Roman" w:hAnsi="Times New Roman"/>
          <w:sz w:val="24"/>
          <w:szCs w:val="24"/>
        </w:rPr>
        <w:t xml:space="preserve">dos demais grupos sociais representados </w:t>
      </w:r>
      <w:r w:rsidR="0040458F" w:rsidRPr="00791543">
        <w:rPr>
          <w:rFonts w:ascii="Times New Roman" w:hAnsi="Times New Roman"/>
          <w:sz w:val="24"/>
          <w:szCs w:val="24"/>
        </w:rPr>
        <w:t xml:space="preserve">como referências básicas e precípuas para </w:t>
      </w:r>
      <w:r w:rsidR="000666A8" w:rsidRPr="00791543">
        <w:rPr>
          <w:rFonts w:ascii="Times New Roman" w:hAnsi="Times New Roman"/>
          <w:sz w:val="24"/>
          <w:szCs w:val="24"/>
        </w:rPr>
        <w:t xml:space="preserve">a </w:t>
      </w:r>
      <w:r w:rsidR="00A67826" w:rsidRPr="00791543">
        <w:rPr>
          <w:rFonts w:ascii="Times New Roman" w:hAnsi="Times New Roman"/>
          <w:sz w:val="24"/>
          <w:szCs w:val="24"/>
        </w:rPr>
        <w:t xml:space="preserve">produção </w:t>
      </w:r>
      <w:r w:rsidR="00DA24D8" w:rsidRPr="00791543">
        <w:rPr>
          <w:rFonts w:ascii="Times New Roman" w:hAnsi="Times New Roman"/>
          <w:sz w:val="24"/>
          <w:szCs w:val="24"/>
        </w:rPr>
        <w:t xml:space="preserve">paulatina </w:t>
      </w:r>
      <w:r w:rsidR="00A67826" w:rsidRPr="00791543">
        <w:rPr>
          <w:rFonts w:ascii="Times New Roman" w:hAnsi="Times New Roman"/>
          <w:sz w:val="24"/>
          <w:szCs w:val="24"/>
        </w:rPr>
        <w:t xml:space="preserve">de uma </w:t>
      </w:r>
      <w:r w:rsidR="000666A8" w:rsidRPr="00791543">
        <w:rPr>
          <w:rFonts w:ascii="Times New Roman" w:hAnsi="Times New Roman"/>
          <w:i/>
          <w:sz w:val="24"/>
          <w:szCs w:val="24"/>
        </w:rPr>
        <w:t>soldagem e/ou amalgamento</w:t>
      </w:r>
      <w:r w:rsidR="00DA24D8" w:rsidRPr="00791543">
        <w:rPr>
          <w:rFonts w:ascii="Times New Roman" w:hAnsi="Times New Roman"/>
          <w:i/>
          <w:sz w:val="24"/>
          <w:szCs w:val="24"/>
        </w:rPr>
        <w:t>, ainda que sob tensões,</w:t>
      </w:r>
      <w:r w:rsidR="00F729D2">
        <w:rPr>
          <w:rFonts w:ascii="Times New Roman" w:hAnsi="Times New Roman"/>
          <w:sz w:val="24"/>
          <w:szCs w:val="24"/>
        </w:rPr>
        <w:t>ante a</w:t>
      </w:r>
      <w:r w:rsidR="00A078BC" w:rsidRPr="00791543">
        <w:rPr>
          <w:rFonts w:ascii="Times New Roman" w:hAnsi="Times New Roman"/>
          <w:sz w:val="24"/>
          <w:szCs w:val="24"/>
        </w:rPr>
        <w:t>o</w:t>
      </w:r>
      <w:r w:rsidR="0040458F" w:rsidRPr="00791543">
        <w:rPr>
          <w:rFonts w:ascii="Times New Roman" w:hAnsi="Times New Roman"/>
          <w:sz w:val="24"/>
          <w:szCs w:val="24"/>
        </w:rPr>
        <w:t xml:space="preserve"> projeto de sociabilidade </w:t>
      </w:r>
      <w:r w:rsidR="00A67826" w:rsidRPr="00791543">
        <w:rPr>
          <w:rFonts w:ascii="Times New Roman" w:hAnsi="Times New Roman"/>
          <w:sz w:val="24"/>
          <w:szCs w:val="24"/>
        </w:rPr>
        <w:t xml:space="preserve">social-liberal e “novo-desenvolvimentista” </w:t>
      </w:r>
      <w:r w:rsidR="000666A8" w:rsidRPr="00791543">
        <w:rPr>
          <w:rFonts w:ascii="Times New Roman" w:hAnsi="Times New Roman"/>
          <w:i/>
          <w:sz w:val="24"/>
          <w:szCs w:val="24"/>
        </w:rPr>
        <w:t>dirigido pelo grande capital monopolista</w:t>
      </w:r>
      <w:r w:rsidR="000666A8" w:rsidRPr="00791543">
        <w:rPr>
          <w:rFonts w:ascii="Times New Roman" w:hAnsi="Times New Roman"/>
          <w:sz w:val="24"/>
          <w:szCs w:val="24"/>
        </w:rPr>
        <w:t>.</w:t>
      </w:r>
    </w:p>
    <w:p w:rsidR="00EA6141" w:rsidRPr="00791543" w:rsidRDefault="00A67826" w:rsidP="002E0A0E">
      <w:pPr>
        <w:spacing w:after="0" w:line="360" w:lineRule="auto"/>
        <w:ind w:firstLine="708"/>
        <w:jc w:val="both"/>
        <w:rPr>
          <w:rFonts w:ascii="Times New Roman" w:hAnsi="Times New Roman"/>
          <w:sz w:val="24"/>
          <w:szCs w:val="24"/>
        </w:rPr>
      </w:pPr>
      <w:r w:rsidRPr="00791543">
        <w:rPr>
          <w:rFonts w:ascii="Times New Roman" w:hAnsi="Times New Roman"/>
          <w:sz w:val="24"/>
          <w:szCs w:val="24"/>
        </w:rPr>
        <w:t>A pesquisa sobre</w:t>
      </w:r>
      <w:r w:rsidR="000F1C5F" w:rsidRPr="00791543">
        <w:rPr>
          <w:rFonts w:ascii="Times New Roman" w:hAnsi="Times New Roman"/>
          <w:sz w:val="24"/>
          <w:szCs w:val="24"/>
        </w:rPr>
        <w:t xml:space="preserve"> o CDES </w:t>
      </w:r>
      <w:r w:rsidRPr="00791543">
        <w:rPr>
          <w:rFonts w:ascii="Times New Roman" w:hAnsi="Times New Roman"/>
          <w:sz w:val="24"/>
          <w:szCs w:val="24"/>
        </w:rPr>
        <w:t>mostrará</w:t>
      </w:r>
      <w:r w:rsidR="00B215E5" w:rsidRPr="00791543">
        <w:rPr>
          <w:rFonts w:ascii="Times New Roman" w:hAnsi="Times New Roman"/>
          <w:sz w:val="24"/>
          <w:szCs w:val="24"/>
        </w:rPr>
        <w:t>, como terceira grande questão que a atravessa,</w:t>
      </w:r>
      <w:r w:rsidRPr="00791543">
        <w:rPr>
          <w:rFonts w:ascii="Times New Roman" w:hAnsi="Times New Roman"/>
          <w:sz w:val="24"/>
          <w:szCs w:val="24"/>
        </w:rPr>
        <w:t xml:space="preserve"> como est</w:t>
      </w:r>
      <w:r w:rsidR="000F1C5F" w:rsidRPr="00791543">
        <w:rPr>
          <w:rFonts w:ascii="Times New Roman" w:hAnsi="Times New Roman"/>
          <w:sz w:val="24"/>
          <w:szCs w:val="24"/>
        </w:rPr>
        <w:t>a instituição estatal</w:t>
      </w:r>
      <w:r w:rsidR="00EA6141" w:rsidRPr="00791543">
        <w:rPr>
          <w:rFonts w:ascii="Times New Roman" w:hAnsi="Times New Roman"/>
          <w:i/>
          <w:sz w:val="24"/>
          <w:szCs w:val="24"/>
        </w:rPr>
        <w:t xml:space="preserve">fomentou, permitiu e </w:t>
      </w:r>
      <w:r w:rsidR="00850BD4" w:rsidRPr="00791543">
        <w:rPr>
          <w:rFonts w:ascii="Times New Roman" w:hAnsi="Times New Roman"/>
          <w:i/>
          <w:sz w:val="24"/>
          <w:szCs w:val="24"/>
        </w:rPr>
        <w:t>expressou a operacionalizaçãod</w:t>
      </w:r>
      <w:r w:rsidRPr="00791543">
        <w:rPr>
          <w:rFonts w:ascii="Times New Roman" w:hAnsi="Times New Roman"/>
          <w:i/>
          <w:sz w:val="24"/>
          <w:szCs w:val="24"/>
        </w:rPr>
        <w:t>a hegemonia empresarial</w:t>
      </w:r>
      <w:r w:rsidRPr="00791543">
        <w:rPr>
          <w:rFonts w:ascii="Times New Roman" w:hAnsi="Times New Roman"/>
          <w:sz w:val="24"/>
          <w:szCs w:val="24"/>
        </w:rPr>
        <w:t xml:space="preserve"> sobre o conjunto das agências e agentes da sociedade civil</w:t>
      </w:r>
      <w:r w:rsidR="00850BD4" w:rsidRPr="00791543">
        <w:rPr>
          <w:rFonts w:ascii="Times New Roman" w:hAnsi="Times New Roman"/>
          <w:i/>
          <w:sz w:val="24"/>
          <w:szCs w:val="24"/>
        </w:rPr>
        <w:t>ali presentes</w:t>
      </w:r>
      <w:r w:rsidR="00360F49" w:rsidRPr="00791543">
        <w:rPr>
          <w:rFonts w:ascii="Times New Roman" w:hAnsi="Times New Roman"/>
          <w:sz w:val="24"/>
          <w:szCs w:val="24"/>
        </w:rPr>
        <w:t xml:space="preserve"> e não sobre o conjunto das relações sociais brasileiro</w:t>
      </w:r>
      <w:r w:rsidR="00306450" w:rsidRPr="00791543">
        <w:rPr>
          <w:rFonts w:ascii="Times New Roman" w:hAnsi="Times New Roman"/>
          <w:sz w:val="24"/>
          <w:szCs w:val="24"/>
        </w:rPr>
        <w:t xml:space="preserve">.Isto foi viabilizado </w:t>
      </w:r>
      <w:r w:rsidR="00850BD4" w:rsidRPr="00791543">
        <w:rPr>
          <w:rFonts w:ascii="Times New Roman" w:hAnsi="Times New Roman"/>
          <w:sz w:val="24"/>
          <w:szCs w:val="24"/>
        </w:rPr>
        <w:t xml:space="preserve">não apenas </w:t>
      </w:r>
      <w:r w:rsidR="00306450" w:rsidRPr="00791543">
        <w:rPr>
          <w:rFonts w:ascii="Times New Roman" w:hAnsi="Times New Roman"/>
          <w:sz w:val="24"/>
          <w:szCs w:val="24"/>
        </w:rPr>
        <w:t>pelos</w:t>
      </w:r>
      <w:r w:rsidR="00850BD4" w:rsidRPr="00791543">
        <w:rPr>
          <w:rFonts w:ascii="Times New Roman" w:hAnsi="Times New Roman"/>
          <w:sz w:val="24"/>
          <w:szCs w:val="24"/>
        </w:rPr>
        <w:t xml:space="preserve"> operadores governamentais (secretários-executivos e funcionários da Secretaria do Conselho, ministros de Estado e o próprio Presidente da República), mas, sobretudo, por meio de uma </w:t>
      </w:r>
      <w:r w:rsidR="00850BD4" w:rsidRPr="00791543">
        <w:rPr>
          <w:rFonts w:ascii="Times New Roman" w:hAnsi="Times New Roman"/>
          <w:i/>
          <w:sz w:val="24"/>
          <w:szCs w:val="24"/>
        </w:rPr>
        <w:t xml:space="preserve">espécie </w:t>
      </w:r>
      <w:r w:rsidR="00B63793">
        <w:rPr>
          <w:rFonts w:ascii="Times New Roman" w:hAnsi="Times New Roman"/>
          <w:i/>
          <w:sz w:val="24"/>
          <w:szCs w:val="24"/>
        </w:rPr>
        <w:t xml:space="preserve">de </w:t>
      </w:r>
      <w:r w:rsidR="00A078BC" w:rsidRPr="00791543">
        <w:rPr>
          <w:rFonts w:ascii="Times New Roman" w:hAnsi="Times New Roman"/>
          <w:i/>
          <w:sz w:val="24"/>
          <w:szCs w:val="24"/>
        </w:rPr>
        <w:t xml:space="preserve">exercício permanente </w:t>
      </w:r>
      <w:r w:rsidR="00850BD4" w:rsidRPr="00791543">
        <w:rPr>
          <w:rFonts w:ascii="Times New Roman" w:hAnsi="Times New Roman"/>
          <w:i/>
          <w:sz w:val="24"/>
          <w:szCs w:val="24"/>
        </w:rPr>
        <w:t>de</w:t>
      </w:r>
      <w:r w:rsidR="00EA6141" w:rsidRPr="00791543">
        <w:rPr>
          <w:rFonts w:ascii="Times New Roman" w:hAnsi="Times New Roman"/>
          <w:i/>
          <w:sz w:val="24"/>
          <w:szCs w:val="24"/>
        </w:rPr>
        <w:t xml:space="preserve"> gestão</w:t>
      </w:r>
      <w:r w:rsidR="00850BD4" w:rsidRPr="00791543">
        <w:rPr>
          <w:rFonts w:ascii="Times New Roman" w:hAnsi="Times New Roman"/>
          <w:i/>
          <w:sz w:val="24"/>
          <w:szCs w:val="24"/>
        </w:rPr>
        <w:t>interna</w:t>
      </w:r>
      <w:r w:rsidR="00EA6141" w:rsidRPr="00791543">
        <w:rPr>
          <w:rFonts w:ascii="Times New Roman" w:hAnsi="Times New Roman"/>
          <w:i/>
          <w:sz w:val="24"/>
          <w:szCs w:val="24"/>
        </w:rPr>
        <w:t xml:space="preserve"> de conflitos </w:t>
      </w:r>
      <w:r w:rsidR="00EA6141" w:rsidRPr="00791543">
        <w:rPr>
          <w:rFonts w:ascii="Times New Roman" w:hAnsi="Times New Roman"/>
          <w:sz w:val="24"/>
          <w:szCs w:val="24"/>
        </w:rPr>
        <w:t xml:space="preserve">dentro de uma proposta de “pactuação” e “concertação” social. </w:t>
      </w:r>
    </w:p>
    <w:p w:rsidR="00384015" w:rsidRPr="00791543" w:rsidRDefault="00F12AFB" w:rsidP="00AE79FC">
      <w:pPr>
        <w:spacing w:after="0" w:line="360" w:lineRule="auto"/>
        <w:ind w:firstLine="708"/>
        <w:jc w:val="both"/>
        <w:rPr>
          <w:rFonts w:ascii="Times New Roman" w:hAnsi="Times New Roman"/>
          <w:sz w:val="24"/>
          <w:szCs w:val="24"/>
        </w:rPr>
      </w:pPr>
      <w:r w:rsidRPr="00791543">
        <w:rPr>
          <w:rFonts w:ascii="Times New Roman" w:hAnsi="Times New Roman"/>
          <w:sz w:val="24"/>
          <w:szCs w:val="24"/>
        </w:rPr>
        <w:t xml:space="preserve">A quarta grande interrogação que atravessa a tese trata da questão da hegemonia. </w:t>
      </w:r>
      <w:r w:rsidR="00EA6141" w:rsidRPr="00791543">
        <w:rPr>
          <w:rFonts w:ascii="Times New Roman" w:hAnsi="Times New Roman"/>
          <w:sz w:val="24"/>
          <w:szCs w:val="24"/>
        </w:rPr>
        <w:t xml:space="preserve">As principais </w:t>
      </w:r>
      <w:r w:rsidR="00360F49" w:rsidRPr="00791543">
        <w:rPr>
          <w:rFonts w:ascii="Times New Roman" w:hAnsi="Times New Roman"/>
          <w:sz w:val="24"/>
          <w:szCs w:val="24"/>
        </w:rPr>
        <w:t>investigações</w:t>
      </w:r>
      <w:r w:rsidR="00EA6141" w:rsidRPr="00791543">
        <w:rPr>
          <w:rFonts w:ascii="Times New Roman" w:hAnsi="Times New Roman"/>
          <w:sz w:val="24"/>
          <w:szCs w:val="24"/>
        </w:rPr>
        <w:t xml:space="preserve"> sobre o tema da hegemonia </w:t>
      </w:r>
      <w:r w:rsidR="00360F49" w:rsidRPr="00791543">
        <w:rPr>
          <w:rFonts w:ascii="Times New Roman" w:hAnsi="Times New Roman"/>
          <w:sz w:val="24"/>
          <w:szCs w:val="24"/>
        </w:rPr>
        <w:t xml:space="preserve">no Brasil recente abrem reflexões sobre quais classes e frações de classes dominantes imprimem a direção da construção permanente do consenso ativo e </w:t>
      </w:r>
      <w:r w:rsidR="003B6FB5" w:rsidRPr="00791543">
        <w:rPr>
          <w:rFonts w:ascii="Times New Roman" w:hAnsi="Times New Roman"/>
          <w:sz w:val="24"/>
          <w:szCs w:val="24"/>
        </w:rPr>
        <w:t xml:space="preserve">sobre </w:t>
      </w:r>
      <w:r w:rsidR="00360F49" w:rsidRPr="00791543">
        <w:rPr>
          <w:rFonts w:ascii="Times New Roman" w:hAnsi="Times New Roman"/>
          <w:sz w:val="24"/>
          <w:szCs w:val="24"/>
        </w:rPr>
        <w:t xml:space="preserve">asua </w:t>
      </w:r>
      <w:r w:rsidR="00EA6141" w:rsidRPr="00791543">
        <w:rPr>
          <w:rFonts w:ascii="Times New Roman" w:hAnsi="Times New Roman"/>
          <w:sz w:val="24"/>
          <w:szCs w:val="24"/>
        </w:rPr>
        <w:t>significa</w:t>
      </w:r>
      <w:r w:rsidR="00360F49" w:rsidRPr="00791543">
        <w:rPr>
          <w:rFonts w:ascii="Times New Roman" w:hAnsi="Times New Roman"/>
          <w:sz w:val="24"/>
          <w:szCs w:val="24"/>
        </w:rPr>
        <w:t xml:space="preserve">ção, isto é, </w:t>
      </w:r>
      <w:r w:rsidR="003B6FB5" w:rsidRPr="00791543">
        <w:rPr>
          <w:rFonts w:ascii="Times New Roman" w:hAnsi="Times New Roman"/>
          <w:sz w:val="24"/>
          <w:szCs w:val="24"/>
        </w:rPr>
        <w:t>abordam linhas mestras mais visíveis d</w:t>
      </w:r>
      <w:r w:rsidR="00360F49" w:rsidRPr="00791543">
        <w:rPr>
          <w:rFonts w:ascii="Times New Roman" w:hAnsi="Times New Roman"/>
          <w:sz w:val="24"/>
          <w:szCs w:val="24"/>
        </w:rPr>
        <w:t xml:space="preserve">o conteúdo do projeto </w:t>
      </w:r>
      <w:r w:rsidR="003B6FB5" w:rsidRPr="00791543">
        <w:rPr>
          <w:rFonts w:ascii="Times New Roman" w:hAnsi="Times New Roman"/>
          <w:sz w:val="24"/>
          <w:szCs w:val="24"/>
        </w:rPr>
        <w:t xml:space="preserve">de hegemonia </w:t>
      </w:r>
      <w:r w:rsidR="00360F49" w:rsidRPr="00791543">
        <w:rPr>
          <w:rFonts w:ascii="Times New Roman" w:hAnsi="Times New Roman"/>
          <w:sz w:val="24"/>
          <w:szCs w:val="24"/>
        </w:rPr>
        <w:t>n</w:t>
      </w:r>
      <w:r w:rsidR="00EA6141" w:rsidRPr="00791543">
        <w:rPr>
          <w:rFonts w:ascii="Times New Roman" w:hAnsi="Times New Roman"/>
          <w:sz w:val="24"/>
          <w:szCs w:val="24"/>
        </w:rPr>
        <w:t>os governos Lula da Silva</w:t>
      </w:r>
      <w:r w:rsidR="00360F49" w:rsidRPr="00791543">
        <w:rPr>
          <w:rFonts w:ascii="Times New Roman" w:hAnsi="Times New Roman"/>
          <w:sz w:val="24"/>
          <w:szCs w:val="24"/>
        </w:rPr>
        <w:t xml:space="preserve">. </w:t>
      </w:r>
      <w:r w:rsidR="00A36952" w:rsidRPr="00791543">
        <w:rPr>
          <w:rFonts w:ascii="Times New Roman" w:hAnsi="Times New Roman"/>
          <w:sz w:val="24"/>
          <w:szCs w:val="24"/>
        </w:rPr>
        <w:t xml:space="preserve">Alguns analistas e movimentos sociais consideram que não há hegemonia e que, portanto, as burguesias brasileiras asseguram a dominação sob a estrita forma autocrática. </w:t>
      </w:r>
      <w:r w:rsidR="00950864" w:rsidRPr="00791543">
        <w:rPr>
          <w:rFonts w:ascii="Times New Roman" w:hAnsi="Times New Roman"/>
          <w:sz w:val="24"/>
          <w:szCs w:val="24"/>
        </w:rPr>
        <w:t>A posição que sustenta a ausência de hegemonia pode também ser encontrada pela análise de Singer sobre o papel dos governos Lula e Dilma em “equilibrar as classes fundamentais – proletários e capitalistas -,</w:t>
      </w:r>
      <w:r w:rsidR="00A30E9B" w:rsidRPr="00791543">
        <w:rPr>
          <w:rFonts w:ascii="Times New Roman" w:hAnsi="Times New Roman"/>
          <w:sz w:val="24"/>
          <w:szCs w:val="24"/>
        </w:rPr>
        <w:t xml:space="preserve"> pois o seu sucesso depende de que nenhuma delas tenha força para impor os próprios desígnios (...)”</w:t>
      </w:r>
      <w:r w:rsidR="00A30E9B" w:rsidRPr="00791543">
        <w:rPr>
          <w:rStyle w:val="Refdenotaderodap"/>
          <w:rFonts w:ascii="Times New Roman" w:hAnsi="Times New Roman"/>
          <w:sz w:val="24"/>
          <w:szCs w:val="24"/>
        </w:rPr>
        <w:footnoteReference w:id="4"/>
      </w:r>
      <w:r w:rsidR="00A30E9B" w:rsidRPr="00791543">
        <w:rPr>
          <w:rFonts w:ascii="Times New Roman" w:hAnsi="Times New Roman"/>
          <w:sz w:val="24"/>
          <w:szCs w:val="24"/>
        </w:rPr>
        <w:t>defendendo</w:t>
      </w:r>
      <w:r w:rsidR="00950864" w:rsidRPr="00791543">
        <w:rPr>
          <w:rFonts w:ascii="Times New Roman" w:hAnsi="Times New Roman"/>
          <w:sz w:val="24"/>
          <w:szCs w:val="24"/>
        </w:rPr>
        <w:t xml:space="preserve"> o bonapartismo. </w:t>
      </w:r>
      <w:r w:rsidR="00A36952" w:rsidRPr="00791543">
        <w:rPr>
          <w:rFonts w:ascii="Times New Roman" w:hAnsi="Times New Roman"/>
          <w:sz w:val="24"/>
          <w:szCs w:val="24"/>
        </w:rPr>
        <w:t xml:space="preserve">Para </w:t>
      </w:r>
      <w:r w:rsidR="006569F2" w:rsidRPr="00791543">
        <w:rPr>
          <w:rFonts w:ascii="Times New Roman" w:hAnsi="Times New Roman"/>
          <w:sz w:val="24"/>
          <w:szCs w:val="24"/>
        </w:rPr>
        <w:t>Boito Jr.</w:t>
      </w:r>
      <w:r w:rsidR="00A36952" w:rsidRPr="00791543">
        <w:rPr>
          <w:rFonts w:ascii="Times New Roman" w:hAnsi="Times New Roman"/>
          <w:sz w:val="24"/>
          <w:szCs w:val="24"/>
        </w:rPr>
        <w:t xml:space="preserve">, a </w:t>
      </w:r>
      <w:r w:rsidR="001323FA" w:rsidRPr="00791543">
        <w:rPr>
          <w:rFonts w:ascii="Times New Roman" w:hAnsi="Times New Roman"/>
          <w:sz w:val="24"/>
          <w:szCs w:val="24"/>
        </w:rPr>
        <w:t xml:space="preserve">hegemonia, nos governos Lula da Silva, estava em disputa entre as frações da burguesia que compunham o bloco no poder: a </w:t>
      </w:r>
      <w:r w:rsidR="00A36952" w:rsidRPr="00791543">
        <w:rPr>
          <w:rFonts w:ascii="Times New Roman" w:hAnsi="Times New Roman"/>
          <w:sz w:val="24"/>
          <w:szCs w:val="24"/>
        </w:rPr>
        <w:t>burguesia interna lidera</w:t>
      </w:r>
      <w:r w:rsidR="001323FA" w:rsidRPr="00791543">
        <w:rPr>
          <w:rFonts w:ascii="Times New Roman" w:hAnsi="Times New Roman"/>
          <w:sz w:val="24"/>
          <w:szCs w:val="24"/>
        </w:rPr>
        <w:t>va</w:t>
      </w:r>
      <w:r w:rsidR="00A36952" w:rsidRPr="00791543">
        <w:rPr>
          <w:rFonts w:ascii="Times New Roman" w:hAnsi="Times New Roman"/>
          <w:sz w:val="24"/>
          <w:szCs w:val="24"/>
        </w:rPr>
        <w:t xml:space="preserve"> uma frente neodesenvolvimentista composta </w:t>
      </w:r>
      <w:r w:rsidR="001323FA" w:rsidRPr="00791543">
        <w:rPr>
          <w:rFonts w:ascii="Times New Roman" w:hAnsi="Times New Roman"/>
          <w:sz w:val="24"/>
          <w:szCs w:val="24"/>
        </w:rPr>
        <w:t>pelos setoressindicais e popular</w:t>
      </w:r>
      <w:r w:rsidR="00950864" w:rsidRPr="00791543">
        <w:rPr>
          <w:rFonts w:ascii="Times New Roman" w:hAnsi="Times New Roman"/>
          <w:sz w:val="24"/>
          <w:szCs w:val="24"/>
        </w:rPr>
        <w:t xml:space="preserve"> – que o governo buscava manter e consolidar - </w:t>
      </w:r>
      <w:r w:rsidR="00A36952" w:rsidRPr="00791543">
        <w:rPr>
          <w:rFonts w:ascii="Times New Roman" w:hAnsi="Times New Roman"/>
          <w:sz w:val="24"/>
          <w:szCs w:val="24"/>
        </w:rPr>
        <w:t xml:space="preserve">em oposição a outra parcela da burguesia </w:t>
      </w:r>
      <w:r w:rsidR="00950864" w:rsidRPr="00791543">
        <w:rPr>
          <w:rFonts w:ascii="Times New Roman" w:hAnsi="Times New Roman"/>
          <w:sz w:val="24"/>
          <w:szCs w:val="24"/>
        </w:rPr>
        <w:t xml:space="preserve">brasileira </w:t>
      </w:r>
      <w:r w:rsidR="00A36952" w:rsidRPr="00791543">
        <w:rPr>
          <w:rFonts w:ascii="Times New Roman" w:hAnsi="Times New Roman"/>
          <w:sz w:val="24"/>
          <w:szCs w:val="24"/>
        </w:rPr>
        <w:t>(</w:t>
      </w:r>
      <w:r w:rsidR="00950864" w:rsidRPr="00791543">
        <w:rPr>
          <w:rFonts w:ascii="Times New Roman" w:hAnsi="Times New Roman"/>
          <w:sz w:val="24"/>
          <w:szCs w:val="24"/>
        </w:rPr>
        <w:t xml:space="preserve">a </w:t>
      </w:r>
      <w:r w:rsidR="00A36952" w:rsidRPr="00791543">
        <w:rPr>
          <w:rFonts w:ascii="Times New Roman" w:hAnsi="Times New Roman"/>
          <w:sz w:val="24"/>
          <w:szCs w:val="24"/>
        </w:rPr>
        <w:t xml:space="preserve">compradora) </w:t>
      </w:r>
      <w:r w:rsidR="001323FA" w:rsidRPr="00791543">
        <w:rPr>
          <w:rFonts w:ascii="Times New Roman" w:hAnsi="Times New Roman"/>
          <w:sz w:val="24"/>
          <w:szCs w:val="24"/>
        </w:rPr>
        <w:t>integrada</w:t>
      </w:r>
      <w:r w:rsidR="00A36952" w:rsidRPr="00791543">
        <w:rPr>
          <w:rFonts w:ascii="Times New Roman" w:hAnsi="Times New Roman"/>
          <w:sz w:val="24"/>
          <w:szCs w:val="24"/>
        </w:rPr>
        <w:t xml:space="preserve"> ao capital </w:t>
      </w:r>
      <w:r w:rsidR="001323FA" w:rsidRPr="00791543">
        <w:rPr>
          <w:rFonts w:ascii="Times New Roman" w:hAnsi="Times New Roman"/>
          <w:sz w:val="24"/>
          <w:szCs w:val="24"/>
        </w:rPr>
        <w:t xml:space="preserve">financeiro </w:t>
      </w:r>
      <w:r w:rsidR="00A36952" w:rsidRPr="00791543">
        <w:rPr>
          <w:rFonts w:ascii="Times New Roman" w:hAnsi="Times New Roman"/>
          <w:sz w:val="24"/>
          <w:szCs w:val="24"/>
        </w:rPr>
        <w:t>internacional e a setores conservadores.</w:t>
      </w:r>
      <w:r w:rsidR="003879DE" w:rsidRPr="00791543">
        <w:rPr>
          <w:rStyle w:val="Refdenotaderodap"/>
          <w:rFonts w:ascii="Times New Roman" w:hAnsi="Times New Roman"/>
          <w:sz w:val="24"/>
          <w:szCs w:val="24"/>
        </w:rPr>
        <w:footnoteReference w:id="5"/>
      </w:r>
      <w:r w:rsidR="00AF49CB" w:rsidRPr="00791543">
        <w:rPr>
          <w:rFonts w:ascii="Times New Roman" w:hAnsi="Times New Roman"/>
          <w:sz w:val="24"/>
          <w:szCs w:val="24"/>
        </w:rPr>
        <w:t xml:space="preserve"> Para muitos, a sociabilidade do capital inaugurada na década de 90 segue sendo dirigida por uma classe de rentistas e financistas</w:t>
      </w:r>
      <w:r w:rsidR="003879DE" w:rsidRPr="00791543">
        <w:rPr>
          <w:rFonts w:ascii="Times New Roman" w:hAnsi="Times New Roman"/>
          <w:sz w:val="24"/>
          <w:szCs w:val="24"/>
        </w:rPr>
        <w:t xml:space="preserve"> internacionais</w:t>
      </w:r>
      <w:r w:rsidR="00AF49CB" w:rsidRPr="00791543">
        <w:rPr>
          <w:rFonts w:ascii="Times New Roman" w:hAnsi="Times New Roman"/>
          <w:sz w:val="24"/>
          <w:szCs w:val="24"/>
        </w:rPr>
        <w:t xml:space="preserve">, sinonimizada de </w:t>
      </w:r>
      <w:r w:rsidR="00950864" w:rsidRPr="00791543">
        <w:rPr>
          <w:rFonts w:ascii="Times New Roman" w:hAnsi="Times New Roman"/>
          <w:sz w:val="24"/>
          <w:szCs w:val="24"/>
        </w:rPr>
        <w:t>“</w:t>
      </w:r>
      <w:r w:rsidR="00AF49CB" w:rsidRPr="00791543">
        <w:rPr>
          <w:rFonts w:ascii="Times New Roman" w:hAnsi="Times New Roman"/>
          <w:sz w:val="24"/>
          <w:szCs w:val="24"/>
        </w:rPr>
        <w:t>capital financeiro</w:t>
      </w:r>
      <w:r w:rsidR="00950864" w:rsidRPr="00791543">
        <w:rPr>
          <w:rFonts w:ascii="Times New Roman" w:hAnsi="Times New Roman"/>
          <w:sz w:val="24"/>
          <w:szCs w:val="24"/>
        </w:rPr>
        <w:t>”</w:t>
      </w:r>
      <w:r w:rsidR="00AF49CB" w:rsidRPr="00791543">
        <w:rPr>
          <w:rFonts w:ascii="Times New Roman" w:hAnsi="Times New Roman"/>
          <w:sz w:val="24"/>
          <w:szCs w:val="24"/>
        </w:rPr>
        <w:t xml:space="preserve">, </w:t>
      </w:r>
      <w:r w:rsidR="001323FA" w:rsidRPr="00791543">
        <w:rPr>
          <w:rFonts w:ascii="Times New Roman" w:hAnsi="Times New Roman"/>
          <w:sz w:val="24"/>
          <w:szCs w:val="24"/>
        </w:rPr>
        <w:t xml:space="preserve">e que se expressa por vários mecanismos, mas principalmente </w:t>
      </w:r>
      <w:r w:rsidR="00F43F4D" w:rsidRPr="00791543">
        <w:rPr>
          <w:rFonts w:ascii="Times New Roman" w:hAnsi="Times New Roman"/>
          <w:sz w:val="24"/>
          <w:szCs w:val="24"/>
        </w:rPr>
        <w:t xml:space="preserve">no avanço corrosivo sobre </w:t>
      </w:r>
      <w:r w:rsidR="001323FA" w:rsidRPr="00791543">
        <w:rPr>
          <w:rFonts w:ascii="Times New Roman" w:hAnsi="Times New Roman"/>
          <w:sz w:val="24"/>
          <w:szCs w:val="24"/>
        </w:rPr>
        <w:t xml:space="preserve">o montante de recursos públicos </w:t>
      </w:r>
      <w:r w:rsidR="00F43F4D" w:rsidRPr="00791543">
        <w:rPr>
          <w:rFonts w:ascii="Times New Roman" w:hAnsi="Times New Roman"/>
          <w:sz w:val="24"/>
          <w:szCs w:val="24"/>
        </w:rPr>
        <w:t>do</w:t>
      </w:r>
      <w:r w:rsidR="001323FA" w:rsidRPr="00791543">
        <w:rPr>
          <w:rFonts w:ascii="Times New Roman" w:hAnsi="Times New Roman"/>
          <w:sz w:val="24"/>
          <w:szCs w:val="24"/>
        </w:rPr>
        <w:t xml:space="preserve"> Estado em razão </w:t>
      </w:r>
      <w:r w:rsidR="00F43F4D" w:rsidRPr="00791543">
        <w:rPr>
          <w:rFonts w:ascii="Times New Roman" w:hAnsi="Times New Roman"/>
          <w:sz w:val="24"/>
          <w:szCs w:val="24"/>
        </w:rPr>
        <w:t xml:space="preserve">de pagamentos </w:t>
      </w:r>
      <w:r w:rsidR="001323FA" w:rsidRPr="00791543">
        <w:rPr>
          <w:rFonts w:ascii="Times New Roman" w:hAnsi="Times New Roman"/>
          <w:sz w:val="24"/>
          <w:szCs w:val="24"/>
        </w:rPr>
        <w:t>dos juros de títulos da dívida pública.</w:t>
      </w:r>
      <w:r w:rsidR="006569F2" w:rsidRPr="00791543">
        <w:rPr>
          <w:rFonts w:ascii="Times New Roman" w:hAnsi="Times New Roman"/>
          <w:sz w:val="24"/>
          <w:szCs w:val="24"/>
        </w:rPr>
        <w:t xml:space="preserve">Por fim, Chico de Oliveria sustenta que a hegemonia operada nos governos Lula da Silva </w:t>
      </w:r>
      <w:r w:rsidR="00951E4F" w:rsidRPr="00791543">
        <w:rPr>
          <w:rFonts w:ascii="Times New Roman" w:hAnsi="Times New Roman"/>
          <w:sz w:val="24"/>
          <w:szCs w:val="24"/>
        </w:rPr>
        <w:t>assumi</w:t>
      </w:r>
      <w:r w:rsidR="00500CC8" w:rsidRPr="00791543">
        <w:rPr>
          <w:rFonts w:ascii="Times New Roman" w:hAnsi="Times New Roman"/>
          <w:sz w:val="24"/>
          <w:szCs w:val="24"/>
        </w:rPr>
        <w:t>u</w:t>
      </w:r>
      <w:r w:rsidR="00951E4F" w:rsidRPr="00791543">
        <w:rPr>
          <w:rFonts w:ascii="Times New Roman" w:hAnsi="Times New Roman"/>
          <w:sz w:val="24"/>
          <w:szCs w:val="24"/>
        </w:rPr>
        <w:t xml:space="preserve"> um sentido</w:t>
      </w:r>
      <w:r w:rsidR="006569F2" w:rsidRPr="00791543">
        <w:rPr>
          <w:rFonts w:ascii="Times New Roman" w:hAnsi="Times New Roman"/>
          <w:sz w:val="24"/>
          <w:szCs w:val="24"/>
        </w:rPr>
        <w:t xml:space="preserve"> “às avessas”</w:t>
      </w:r>
      <w:r w:rsidR="00500CC8" w:rsidRPr="00791543">
        <w:rPr>
          <w:rFonts w:ascii="Times New Roman" w:hAnsi="Times New Roman"/>
          <w:sz w:val="24"/>
          <w:szCs w:val="24"/>
        </w:rPr>
        <w:t xml:space="preserve"> a qual, na “nova dominação”, os dominados realizam a “direção moral” da sociedade</w:t>
      </w:r>
      <w:r w:rsidR="002A5F07" w:rsidRPr="00791543">
        <w:rPr>
          <w:rFonts w:ascii="Times New Roman" w:hAnsi="Times New Roman"/>
          <w:sz w:val="24"/>
          <w:szCs w:val="24"/>
        </w:rPr>
        <w:t xml:space="preserve"> e “os dominantes (...) consentem em ser politicamente conduzidos pelos dominados, com a condição de que a “direção moral” n</w:t>
      </w:r>
      <w:r w:rsidR="00DF2F06" w:rsidRPr="00791543">
        <w:rPr>
          <w:rFonts w:ascii="Times New Roman" w:hAnsi="Times New Roman"/>
          <w:sz w:val="24"/>
          <w:szCs w:val="24"/>
        </w:rPr>
        <w:t>ão</w:t>
      </w:r>
      <w:r w:rsidR="002A5F07" w:rsidRPr="00791543">
        <w:rPr>
          <w:rFonts w:ascii="Times New Roman" w:hAnsi="Times New Roman"/>
          <w:sz w:val="24"/>
          <w:szCs w:val="24"/>
        </w:rPr>
        <w:t xml:space="preserve"> questione a forma da exploração capitalista”.</w:t>
      </w:r>
      <w:r w:rsidR="002A5F07" w:rsidRPr="00791543">
        <w:rPr>
          <w:rStyle w:val="Refdenotaderodap"/>
          <w:rFonts w:ascii="Times New Roman" w:hAnsi="Times New Roman"/>
          <w:sz w:val="24"/>
          <w:szCs w:val="24"/>
        </w:rPr>
        <w:footnoteReference w:id="6"/>
      </w:r>
    </w:p>
    <w:p w:rsidR="004876F4" w:rsidRPr="00791543" w:rsidRDefault="003879DE" w:rsidP="00F12AFB">
      <w:pPr>
        <w:spacing w:after="0" w:line="360" w:lineRule="auto"/>
        <w:ind w:firstLine="708"/>
        <w:jc w:val="both"/>
        <w:rPr>
          <w:rFonts w:ascii="Times New Roman" w:hAnsi="Times New Roman"/>
          <w:sz w:val="24"/>
          <w:szCs w:val="24"/>
        </w:rPr>
      </w:pPr>
      <w:r w:rsidRPr="00791543">
        <w:rPr>
          <w:rFonts w:ascii="Times New Roman" w:hAnsi="Times New Roman"/>
          <w:sz w:val="24"/>
          <w:szCs w:val="24"/>
        </w:rPr>
        <w:t xml:space="preserve">Esta tese não </w:t>
      </w:r>
      <w:r w:rsidR="00DF2F06" w:rsidRPr="00791543">
        <w:rPr>
          <w:rFonts w:ascii="Times New Roman" w:hAnsi="Times New Roman"/>
          <w:sz w:val="24"/>
          <w:szCs w:val="24"/>
        </w:rPr>
        <w:t>interpela diretamentea</w:t>
      </w:r>
      <w:r w:rsidR="00951E4F" w:rsidRPr="00791543">
        <w:rPr>
          <w:rFonts w:ascii="Times New Roman" w:hAnsi="Times New Roman"/>
          <w:sz w:val="24"/>
          <w:szCs w:val="24"/>
        </w:rPr>
        <w:t>s posiçõesacima – que não exaure</w:t>
      </w:r>
      <w:r w:rsidR="0078488A" w:rsidRPr="00791543">
        <w:rPr>
          <w:rFonts w:ascii="Times New Roman" w:hAnsi="Times New Roman"/>
          <w:sz w:val="24"/>
          <w:szCs w:val="24"/>
        </w:rPr>
        <w:t>m</w:t>
      </w:r>
      <w:r w:rsidR="00951E4F" w:rsidRPr="00791543">
        <w:rPr>
          <w:rFonts w:ascii="Times New Roman" w:hAnsi="Times New Roman"/>
          <w:sz w:val="24"/>
          <w:szCs w:val="24"/>
        </w:rPr>
        <w:t xml:space="preserve"> o debate - </w:t>
      </w:r>
      <w:r w:rsidR="00A30E9B" w:rsidRPr="00791543">
        <w:rPr>
          <w:rFonts w:ascii="Times New Roman" w:hAnsi="Times New Roman"/>
          <w:sz w:val="24"/>
          <w:szCs w:val="24"/>
        </w:rPr>
        <w:t xml:space="preserve">no sentido de travarmos </w:t>
      </w:r>
      <w:r w:rsidR="002A5F07" w:rsidRPr="00791543">
        <w:rPr>
          <w:rFonts w:ascii="Times New Roman" w:hAnsi="Times New Roman"/>
          <w:sz w:val="24"/>
          <w:szCs w:val="24"/>
        </w:rPr>
        <w:t>uma discussão</w:t>
      </w:r>
      <w:r w:rsidR="00A30E9B" w:rsidRPr="00791543">
        <w:rPr>
          <w:rFonts w:ascii="Times New Roman" w:hAnsi="Times New Roman"/>
          <w:sz w:val="24"/>
          <w:szCs w:val="24"/>
        </w:rPr>
        <w:t xml:space="preserve"> acerca da maior ou menor proximidade </w:t>
      </w:r>
      <w:r w:rsidR="00F729D2">
        <w:rPr>
          <w:rFonts w:ascii="Times New Roman" w:hAnsi="Times New Roman"/>
          <w:sz w:val="24"/>
          <w:szCs w:val="24"/>
        </w:rPr>
        <w:t xml:space="preserve">perante </w:t>
      </w:r>
      <w:r w:rsidR="00240CBD" w:rsidRPr="00791543">
        <w:rPr>
          <w:rFonts w:ascii="Times New Roman" w:hAnsi="Times New Roman"/>
          <w:sz w:val="24"/>
          <w:szCs w:val="24"/>
        </w:rPr>
        <w:t>a elas, mas é inequívoco que o estudo sobre as formas de operacionalização da</w:t>
      </w:r>
      <w:r w:rsidR="00A30E9B" w:rsidRPr="00791543">
        <w:rPr>
          <w:rFonts w:ascii="Times New Roman" w:hAnsi="Times New Roman"/>
          <w:sz w:val="24"/>
          <w:szCs w:val="24"/>
        </w:rPr>
        <w:t xml:space="preserve"> hegemonia no Brasil recen</w:t>
      </w:r>
      <w:r w:rsidR="00951E4F" w:rsidRPr="00791543">
        <w:rPr>
          <w:rFonts w:ascii="Times New Roman" w:hAnsi="Times New Roman"/>
          <w:sz w:val="24"/>
          <w:szCs w:val="24"/>
        </w:rPr>
        <w:t xml:space="preserve">te a atravessa em sua inteireza. De fato, ainda </w:t>
      </w:r>
      <w:r w:rsidR="00EC7520" w:rsidRPr="00791543">
        <w:rPr>
          <w:rFonts w:ascii="Times New Roman" w:hAnsi="Times New Roman"/>
          <w:sz w:val="24"/>
          <w:szCs w:val="24"/>
        </w:rPr>
        <w:t>que</w:t>
      </w:r>
      <w:r w:rsidR="00951E4F" w:rsidRPr="00791543">
        <w:rPr>
          <w:rFonts w:ascii="Times New Roman" w:hAnsi="Times New Roman"/>
          <w:sz w:val="24"/>
          <w:szCs w:val="24"/>
        </w:rPr>
        <w:t xml:space="preserve"> não tenhamos </w:t>
      </w:r>
      <w:r w:rsidR="00EC7520" w:rsidRPr="00791543">
        <w:rPr>
          <w:rFonts w:ascii="Times New Roman" w:hAnsi="Times New Roman"/>
          <w:sz w:val="24"/>
          <w:szCs w:val="24"/>
        </w:rPr>
        <w:t xml:space="preserve">a </w:t>
      </w:r>
      <w:r w:rsidR="00951E4F" w:rsidRPr="00791543">
        <w:rPr>
          <w:rFonts w:ascii="Times New Roman" w:hAnsi="Times New Roman"/>
          <w:sz w:val="24"/>
          <w:szCs w:val="24"/>
        </w:rPr>
        <w:t xml:space="preserve">pretensão de decifrá-la, </w:t>
      </w:r>
      <w:r w:rsidR="00635BAC" w:rsidRPr="00791543">
        <w:rPr>
          <w:rFonts w:ascii="Times New Roman" w:hAnsi="Times New Roman"/>
          <w:sz w:val="24"/>
          <w:szCs w:val="24"/>
        </w:rPr>
        <w:t>a tese parte</w:t>
      </w:r>
      <w:r w:rsidR="002A5F07" w:rsidRPr="00791543">
        <w:rPr>
          <w:rFonts w:ascii="Times New Roman" w:hAnsi="Times New Roman"/>
          <w:sz w:val="24"/>
          <w:szCs w:val="24"/>
        </w:rPr>
        <w:t>da</w:t>
      </w:r>
      <w:r w:rsidR="00A36952" w:rsidRPr="00791543">
        <w:rPr>
          <w:rFonts w:ascii="Times New Roman" w:hAnsi="Times New Roman"/>
          <w:sz w:val="24"/>
          <w:szCs w:val="24"/>
        </w:rPr>
        <w:t xml:space="preserve"> posição </w:t>
      </w:r>
      <w:r w:rsidR="002A5F07" w:rsidRPr="00791543">
        <w:rPr>
          <w:rFonts w:ascii="Times New Roman" w:hAnsi="Times New Roman"/>
          <w:sz w:val="24"/>
          <w:szCs w:val="24"/>
        </w:rPr>
        <w:t xml:space="preserve">de que </w:t>
      </w:r>
      <w:r w:rsidR="00951E4F" w:rsidRPr="00791543">
        <w:rPr>
          <w:rFonts w:ascii="Times New Roman" w:hAnsi="Times New Roman"/>
          <w:sz w:val="24"/>
          <w:szCs w:val="24"/>
        </w:rPr>
        <w:t>a hegemonia burguesa no Brasil</w:t>
      </w:r>
      <w:r w:rsidR="00DF2F06" w:rsidRPr="00791543">
        <w:rPr>
          <w:rFonts w:ascii="Times New Roman" w:hAnsi="Times New Roman"/>
          <w:sz w:val="24"/>
          <w:szCs w:val="24"/>
        </w:rPr>
        <w:t xml:space="preserve"> recente</w:t>
      </w:r>
      <w:r w:rsidR="00A36952" w:rsidRPr="00791543">
        <w:rPr>
          <w:rFonts w:ascii="Times New Roman" w:hAnsi="Times New Roman"/>
          <w:sz w:val="24"/>
          <w:szCs w:val="24"/>
        </w:rPr>
        <w:t>se consolida</w:t>
      </w:r>
      <w:r w:rsidR="00635BAC" w:rsidRPr="00791543">
        <w:rPr>
          <w:rFonts w:ascii="Times New Roman" w:hAnsi="Times New Roman"/>
          <w:sz w:val="24"/>
          <w:szCs w:val="24"/>
        </w:rPr>
        <w:t xml:space="preserve">e se aprimora nos governos Lula da Silva, mas que </w:t>
      </w:r>
      <w:r w:rsidR="00240CBD" w:rsidRPr="00791543">
        <w:rPr>
          <w:rFonts w:ascii="Times New Roman" w:hAnsi="Times New Roman"/>
          <w:sz w:val="24"/>
          <w:szCs w:val="24"/>
        </w:rPr>
        <w:t>nele</w:t>
      </w:r>
      <w:r w:rsidR="004017C0" w:rsidRPr="00791543">
        <w:rPr>
          <w:rFonts w:ascii="Times New Roman" w:hAnsi="Times New Roman"/>
          <w:sz w:val="24"/>
          <w:szCs w:val="24"/>
        </w:rPr>
        <w:t>s</w:t>
      </w:r>
      <w:r w:rsidR="00240CBD" w:rsidRPr="00791543">
        <w:rPr>
          <w:rFonts w:ascii="Times New Roman" w:hAnsi="Times New Roman"/>
          <w:sz w:val="24"/>
          <w:szCs w:val="24"/>
        </w:rPr>
        <w:t xml:space="preserve"> não se inaugura. </w:t>
      </w:r>
      <w:r w:rsidR="00635BAC" w:rsidRPr="00791543">
        <w:rPr>
          <w:rFonts w:ascii="Times New Roman" w:hAnsi="Times New Roman"/>
          <w:i/>
          <w:sz w:val="24"/>
          <w:szCs w:val="24"/>
        </w:rPr>
        <w:t>Um dos</w:t>
      </w:r>
      <w:r w:rsidR="00635BAC" w:rsidRPr="00791543">
        <w:rPr>
          <w:rFonts w:ascii="Times New Roman" w:hAnsi="Times New Roman"/>
          <w:sz w:val="24"/>
          <w:szCs w:val="24"/>
        </w:rPr>
        <w:t xml:space="preserve"> aspectos inovado</w:t>
      </w:r>
      <w:r w:rsidR="00240CBD" w:rsidRPr="00791543">
        <w:rPr>
          <w:rFonts w:ascii="Times New Roman" w:hAnsi="Times New Roman"/>
          <w:sz w:val="24"/>
          <w:szCs w:val="24"/>
        </w:rPr>
        <w:t xml:space="preserve">res trazidos pelo estudo sobre o CDES, no </w:t>
      </w:r>
      <w:r w:rsidR="0092247E" w:rsidRPr="00791543">
        <w:rPr>
          <w:rFonts w:ascii="Times New Roman" w:hAnsi="Times New Roman"/>
          <w:sz w:val="24"/>
          <w:szCs w:val="24"/>
        </w:rPr>
        <w:t xml:space="preserve">que tange ao </w:t>
      </w:r>
      <w:r w:rsidR="00240CBD" w:rsidRPr="00791543">
        <w:rPr>
          <w:rFonts w:ascii="Times New Roman" w:hAnsi="Times New Roman"/>
          <w:sz w:val="24"/>
          <w:szCs w:val="24"/>
        </w:rPr>
        <w:t xml:space="preserve">aperfeiçoamento e alcance desta hegemonia, é o de que </w:t>
      </w:r>
      <w:r w:rsidR="004017C0" w:rsidRPr="00791543">
        <w:rPr>
          <w:rFonts w:ascii="Times New Roman" w:hAnsi="Times New Roman"/>
          <w:sz w:val="24"/>
          <w:szCs w:val="24"/>
        </w:rPr>
        <w:t>no Conselho</w:t>
      </w:r>
      <w:r w:rsidR="0092247E" w:rsidRPr="00791543">
        <w:rPr>
          <w:rFonts w:ascii="Times New Roman" w:hAnsi="Times New Roman"/>
          <w:sz w:val="24"/>
          <w:szCs w:val="24"/>
        </w:rPr>
        <w:t xml:space="preserve"> se alimenta</w:t>
      </w:r>
      <w:r w:rsidR="005819F4" w:rsidRPr="00791543">
        <w:rPr>
          <w:rFonts w:ascii="Times New Roman" w:hAnsi="Times New Roman"/>
          <w:sz w:val="24"/>
          <w:szCs w:val="24"/>
        </w:rPr>
        <w:t>va</w:t>
      </w:r>
      <w:r w:rsidR="004017C0" w:rsidRPr="00791543">
        <w:rPr>
          <w:rFonts w:ascii="Times New Roman" w:hAnsi="Times New Roman"/>
          <w:sz w:val="24"/>
          <w:szCs w:val="24"/>
        </w:rPr>
        <w:t>,</w:t>
      </w:r>
      <w:r w:rsidR="0092247E" w:rsidRPr="00791543">
        <w:rPr>
          <w:rFonts w:ascii="Times New Roman" w:hAnsi="Times New Roman"/>
          <w:sz w:val="24"/>
          <w:szCs w:val="24"/>
        </w:rPr>
        <w:t xml:space="preserve"> se sedimenta</w:t>
      </w:r>
      <w:r w:rsidR="005819F4" w:rsidRPr="00791543">
        <w:rPr>
          <w:rFonts w:ascii="Times New Roman" w:hAnsi="Times New Roman"/>
          <w:sz w:val="24"/>
          <w:szCs w:val="24"/>
        </w:rPr>
        <w:t>va</w:t>
      </w:r>
      <w:r w:rsidR="004017C0" w:rsidRPr="00791543">
        <w:rPr>
          <w:rFonts w:ascii="Times New Roman" w:hAnsi="Times New Roman"/>
          <w:sz w:val="24"/>
          <w:szCs w:val="24"/>
        </w:rPr>
        <w:t>e se exercita</w:t>
      </w:r>
      <w:r w:rsidR="005819F4" w:rsidRPr="00791543">
        <w:rPr>
          <w:rFonts w:ascii="Times New Roman" w:hAnsi="Times New Roman"/>
          <w:sz w:val="24"/>
          <w:szCs w:val="24"/>
        </w:rPr>
        <w:t>va</w:t>
      </w:r>
      <w:r w:rsidR="0092247E" w:rsidRPr="00791543">
        <w:rPr>
          <w:rFonts w:ascii="Times New Roman" w:hAnsi="Times New Roman"/>
          <w:sz w:val="24"/>
          <w:szCs w:val="24"/>
        </w:rPr>
        <w:t xml:space="preserve">um </w:t>
      </w:r>
      <w:r w:rsidR="00A03004" w:rsidRPr="00791543">
        <w:rPr>
          <w:rFonts w:ascii="Times New Roman" w:hAnsi="Times New Roman"/>
          <w:i/>
          <w:sz w:val="24"/>
          <w:szCs w:val="24"/>
        </w:rPr>
        <w:t xml:space="preserve">aprendizado pedagógico </w:t>
      </w:r>
      <w:r w:rsidR="0092247E" w:rsidRPr="00791543">
        <w:rPr>
          <w:rFonts w:ascii="Times New Roman" w:hAnsi="Times New Roman"/>
          <w:i/>
          <w:sz w:val="24"/>
          <w:szCs w:val="24"/>
        </w:rPr>
        <w:t>“civilizatório”de inserção</w:t>
      </w:r>
      <w:r w:rsidR="00C626B6" w:rsidRPr="00791543">
        <w:rPr>
          <w:rFonts w:ascii="Times New Roman" w:hAnsi="Times New Roman"/>
          <w:i/>
          <w:sz w:val="24"/>
          <w:szCs w:val="24"/>
        </w:rPr>
        <w:t>,</w:t>
      </w:r>
      <w:r w:rsidR="005819F4" w:rsidRPr="00791543">
        <w:rPr>
          <w:rFonts w:ascii="Times New Roman" w:hAnsi="Times New Roman"/>
          <w:i/>
          <w:sz w:val="24"/>
          <w:szCs w:val="24"/>
        </w:rPr>
        <w:t xml:space="preserve">de formas de </w:t>
      </w:r>
      <w:r w:rsidR="0092247E" w:rsidRPr="00791543">
        <w:rPr>
          <w:rFonts w:ascii="Times New Roman" w:hAnsi="Times New Roman"/>
          <w:i/>
          <w:sz w:val="24"/>
          <w:szCs w:val="24"/>
        </w:rPr>
        <w:t>atuação</w:t>
      </w:r>
      <w:r w:rsidR="00A03004" w:rsidRPr="00791543">
        <w:rPr>
          <w:rFonts w:ascii="Times New Roman" w:hAnsi="Times New Roman"/>
          <w:i/>
          <w:sz w:val="24"/>
          <w:szCs w:val="24"/>
        </w:rPr>
        <w:t xml:space="preserve"> e </w:t>
      </w:r>
      <w:r w:rsidR="005819F4" w:rsidRPr="00791543">
        <w:rPr>
          <w:rFonts w:ascii="Times New Roman" w:hAnsi="Times New Roman"/>
          <w:i/>
          <w:sz w:val="24"/>
          <w:szCs w:val="24"/>
        </w:rPr>
        <w:t xml:space="preserve">de </w:t>
      </w:r>
      <w:r w:rsidR="00A03004" w:rsidRPr="00791543">
        <w:rPr>
          <w:rFonts w:ascii="Times New Roman" w:hAnsi="Times New Roman"/>
          <w:i/>
          <w:sz w:val="24"/>
          <w:szCs w:val="24"/>
        </w:rPr>
        <w:t xml:space="preserve">posicionamentosfrente à luta política, </w:t>
      </w:r>
      <w:r w:rsidR="00A03004" w:rsidRPr="00791543">
        <w:rPr>
          <w:rFonts w:ascii="Times New Roman" w:hAnsi="Times New Roman"/>
          <w:sz w:val="24"/>
          <w:szCs w:val="24"/>
        </w:rPr>
        <w:t xml:space="preserve">requalificando e readaptando os termos e os terrenos possíveis da concepção e do exercício da democracia e das práticas democráticas, </w:t>
      </w:r>
      <w:r w:rsidR="00F12AFB" w:rsidRPr="00791543">
        <w:rPr>
          <w:rFonts w:ascii="Times New Roman" w:hAnsi="Times New Roman"/>
          <w:sz w:val="24"/>
          <w:szCs w:val="24"/>
        </w:rPr>
        <w:t xml:space="preserve">subvertendo-as em favor da </w:t>
      </w:r>
      <w:r w:rsidR="00A03004" w:rsidRPr="00791543">
        <w:rPr>
          <w:rFonts w:ascii="Times New Roman" w:hAnsi="Times New Roman"/>
          <w:sz w:val="24"/>
          <w:szCs w:val="24"/>
        </w:rPr>
        <w:t xml:space="preserve">direção </w:t>
      </w:r>
      <w:r w:rsidR="0078488A" w:rsidRPr="00791543">
        <w:rPr>
          <w:rFonts w:ascii="Times New Roman" w:hAnsi="Times New Roman"/>
          <w:sz w:val="24"/>
          <w:szCs w:val="24"/>
        </w:rPr>
        <w:t xml:space="preserve">dada pelo </w:t>
      </w:r>
      <w:r w:rsidR="00A03004" w:rsidRPr="00791543">
        <w:rPr>
          <w:rFonts w:ascii="Times New Roman" w:hAnsi="Times New Roman"/>
          <w:sz w:val="24"/>
          <w:szCs w:val="24"/>
        </w:rPr>
        <w:t>grande empresariado.</w:t>
      </w:r>
      <w:r w:rsidR="004017C0" w:rsidRPr="00791543">
        <w:rPr>
          <w:rFonts w:ascii="Times New Roman" w:hAnsi="Times New Roman"/>
          <w:sz w:val="24"/>
          <w:szCs w:val="24"/>
        </w:rPr>
        <w:t>Esta inovação a</w:t>
      </w:r>
      <w:r w:rsidR="00DD54B4" w:rsidRPr="00791543">
        <w:rPr>
          <w:rFonts w:ascii="Times New Roman" w:hAnsi="Times New Roman"/>
          <w:sz w:val="24"/>
          <w:szCs w:val="24"/>
        </w:rPr>
        <w:t>p</w:t>
      </w:r>
      <w:r w:rsidR="004017C0" w:rsidRPr="00791543">
        <w:rPr>
          <w:rFonts w:ascii="Times New Roman" w:hAnsi="Times New Roman"/>
          <w:sz w:val="24"/>
          <w:szCs w:val="24"/>
        </w:rPr>
        <w:t>enas</w:t>
      </w:r>
      <w:r w:rsidR="005819F4" w:rsidRPr="00791543">
        <w:rPr>
          <w:rFonts w:ascii="Times New Roman" w:hAnsi="Times New Roman"/>
          <w:sz w:val="24"/>
          <w:szCs w:val="24"/>
        </w:rPr>
        <w:t xml:space="preserve"> pôde sobrevir no lastro de outra que a </w:t>
      </w:r>
      <w:r w:rsidR="0078488A" w:rsidRPr="00791543">
        <w:rPr>
          <w:rFonts w:ascii="Times New Roman" w:hAnsi="Times New Roman"/>
          <w:sz w:val="24"/>
          <w:szCs w:val="24"/>
        </w:rPr>
        <w:t>sustentou</w:t>
      </w:r>
      <w:r w:rsidR="0045467A" w:rsidRPr="00791543">
        <w:rPr>
          <w:rFonts w:ascii="Times New Roman" w:hAnsi="Times New Roman"/>
          <w:sz w:val="24"/>
          <w:szCs w:val="24"/>
        </w:rPr>
        <w:t xml:space="preserve"> e que foi peculiar ao CDES</w:t>
      </w:r>
      <w:r w:rsidR="00CE7364" w:rsidRPr="00791543">
        <w:rPr>
          <w:rFonts w:ascii="Times New Roman" w:hAnsi="Times New Roman"/>
          <w:sz w:val="24"/>
          <w:szCs w:val="24"/>
        </w:rPr>
        <w:t xml:space="preserve">: a da intromissão de organizações que expressavam os anseios da </w:t>
      </w:r>
      <w:r w:rsidR="00DD54B4" w:rsidRPr="00791543">
        <w:rPr>
          <w:rFonts w:ascii="Times New Roman" w:hAnsi="Times New Roman"/>
          <w:sz w:val="24"/>
          <w:szCs w:val="24"/>
        </w:rPr>
        <w:t xml:space="preserve">grande </w:t>
      </w:r>
      <w:r w:rsidR="00CE7364" w:rsidRPr="00791543">
        <w:rPr>
          <w:rFonts w:ascii="Times New Roman" w:hAnsi="Times New Roman"/>
          <w:sz w:val="24"/>
          <w:szCs w:val="24"/>
        </w:rPr>
        <w:t xml:space="preserve">maioria, mas que </w:t>
      </w:r>
      <w:r w:rsidR="0045467A" w:rsidRPr="00791543">
        <w:rPr>
          <w:rFonts w:ascii="Times New Roman" w:hAnsi="Times New Roman"/>
          <w:sz w:val="24"/>
          <w:szCs w:val="24"/>
        </w:rPr>
        <w:t xml:space="preserve">ou </w:t>
      </w:r>
      <w:r w:rsidR="00CE7364" w:rsidRPr="00791543">
        <w:rPr>
          <w:rFonts w:ascii="Times New Roman" w:hAnsi="Times New Roman"/>
          <w:sz w:val="24"/>
          <w:szCs w:val="24"/>
        </w:rPr>
        <w:t xml:space="preserve">previamente </w:t>
      </w:r>
      <w:r w:rsidR="0045467A" w:rsidRPr="00791543">
        <w:rPr>
          <w:rFonts w:ascii="Times New Roman" w:hAnsi="Times New Roman"/>
          <w:sz w:val="24"/>
          <w:szCs w:val="24"/>
        </w:rPr>
        <w:t xml:space="preserve">ou meteoricamente </w:t>
      </w:r>
      <w:r w:rsidR="00CE7364" w:rsidRPr="00791543">
        <w:rPr>
          <w:rFonts w:ascii="Times New Roman" w:hAnsi="Times New Roman"/>
          <w:sz w:val="24"/>
          <w:szCs w:val="24"/>
        </w:rPr>
        <w:t xml:space="preserve">se amoldaram </w:t>
      </w:r>
      <w:r w:rsidR="00DD54B4" w:rsidRPr="00791543">
        <w:rPr>
          <w:rFonts w:ascii="Times New Roman" w:hAnsi="Times New Roman"/>
          <w:sz w:val="24"/>
          <w:szCs w:val="24"/>
        </w:rPr>
        <w:t>ao exercício da col</w:t>
      </w:r>
      <w:r w:rsidR="001B39CE" w:rsidRPr="00791543">
        <w:rPr>
          <w:rFonts w:ascii="Times New Roman" w:hAnsi="Times New Roman"/>
          <w:sz w:val="24"/>
          <w:szCs w:val="24"/>
        </w:rPr>
        <w:t>a</w:t>
      </w:r>
      <w:r w:rsidR="00DD54B4" w:rsidRPr="00791543">
        <w:rPr>
          <w:rFonts w:ascii="Times New Roman" w:hAnsi="Times New Roman"/>
          <w:sz w:val="24"/>
          <w:szCs w:val="24"/>
        </w:rPr>
        <w:t>boração de classes</w:t>
      </w:r>
      <w:r w:rsidR="0078488A" w:rsidRPr="00791543">
        <w:rPr>
          <w:rFonts w:ascii="Times New Roman" w:hAnsi="Times New Roman"/>
          <w:sz w:val="24"/>
          <w:szCs w:val="24"/>
        </w:rPr>
        <w:t xml:space="preserve">, </w:t>
      </w:r>
      <w:r w:rsidR="00095FEA" w:rsidRPr="00791543">
        <w:rPr>
          <w:rFonts w:ascii="Times New Roman" w:hAnsi="Times New Roman"/>
          <w:sz w:val="24"/>
          <w:szCs w:val="24"/>
        </w:rPr>
        <w:t>quando d</w:t>
      </w:r>
      <w:r w:rsidR="00C626B6" w:rsidRPr="00791543">
        <w:rPr>
          <w:rFonts w:ascii="Times New Roman" w:hAnsi="Times New Roman"/>
          <w:sz w:val="24"/>
          <w:szCs w:val="24"/>
        </w:rPr>
        <w:t>o</w:t>
      </w:r>
      <w:r w:rsidR="0045467A" w:rsidRPr="00791543">
        <w:rPr>
          <w:rFonts w:ascii="Times New Roman" w:hAnsi="Times New Roman"/>
          <w:sz w:val="24"/>
          <w:szCs w:val="24"/>
        </w:rPr>
        <w:t>ingress</w:t>
      </w:r>
      <w:r w:rsidR="0078488A" w:rsidRPr="00791543">
        <w:rPr>
          <w:rFonts w:ascii="Times New Roman" w:hAnsi="Times New Roman"/>
          <w:sz w:val="24"/>
          <w:szCs w:val="24"/>
        </w:rPr>
        <w:t>o a</w:t>
      </w:r>
      <w:r w:rsidR="0045467A" w:rsidRPr="00791543">
        <w:rPr>
          <w:rFonts w:ascii="Times New Roman" w:hAnsi="Times New Roman"/>
          <w:sz w:val="24"/>
          <w:szCs w:val="24"/>
        </w:rPr>
        <w:t>o CDES</w:t>
      </w:r>
      <w:r w:rsidR="00DD54B4" w:rsidRPr="00791543">
        <w:rPr>
          <w:rFonts w:ascii="Times New Roman" w:hAnsi="Times New Roman"/>
          <w:sz w:val="24"/>
          <w:szCs w:val="24"/>
        </w:rPr>
        <w:t>, corrobo</w:t>
      </w:r>
      <w:r w:rsidR="00143D89" w:rsidRPr="00791543">
        <w:rPr>
          <w:rFonts w:ascii="Times New Roman" w:hAnsi="Times New Roman"/>
          <w:sz w:val="24"/>
          <w:szCs w:val="24"/>
        </w:rPr>
        <w:t xml:space="preserve">rando, ainda que sob tensões, </w:t>
      </w:r>
      <w:r w:rsidR="0078488A" w:rsidRPr="00791543">
        <w:rPr>
          <w:rFonts w:ascii="Times New Roman" w:hAnsi="Times New Roman"/>
          <w:sz w:val="24"/>
          <w:szCs w:val="24"/>
        </w:rPr>
        <w:t>n</w:t>
      </w:r>
      <w:r w:rsidR="00143D89" w:rsidRPr="00791543">
        <w:rPr>
          <w:rFonts w:ascii="Times New Roman" w:hAnsi="Times New Roman"/>
          <w:sz w:val="24"/>
          <w:szCs w:val="24"/>
        </w:rPr>
        <w:t>a</w:t>
      </w:r>
      <w:r w:rsidR="0045467A" w:rsidRPr="00791543">
        <w:rPr>
          <w:rFonts w:ascii="Times New Roman" w:hAnsi="Times New Roman"/>
          <w:sz w:val="24"/>
          <w:szCs w:val="24"/>
        </w:rPr>
        <w:t xml:space="preserve">inauguração da </w:t>
      </w:r>
      <w:r w:rsidR="00DD54B4" w:rsidRPr="00791543">
        <w:rPr>
          <w:rFonts w:ascii="Times New Roman" w:hAnsi="Times New Roman"/>
          <w:sz w:val="24"/>
          <w:szCs w:val="24"/>
        </w:rPr>
        <w:t>re</w:t>
      </w:r>
      <w:r w:rsidR="00143D89" w:rsidRPr="00791543">
        <w:rPr>
          <w:rFonts w:ascii="Times New Roman" w:hAnsi="Times New Roman"/>
          <w:sz w:val="24"/>
          <w:szCs w:val="24"/>
        </w:rPr>
        <w:t>configuração</w:t>
      </w:r>
      <w:r w:rsidR="00DD54B4" w:rsidRPr="00791543">
        <w:rPr>
          <w:rFonts w:ascii="Times New Roman" w:hAnsi="Times New Roman"/>
          <w:sz w:val="24"/>
          <w:szCs w:val="24"/>
        </w:rPr>
        <w:t xml:space="preserve"> do Estado ampliado, subsistindo a forma seletiva, pois era óbvio que as burguesias compareciam em peso, mas de novo tipo, posto que o projeto hegemônico em </w:t>
      </w:r>
      <w:r w:rsidR="001F43E8" w:rsidRPr="00791543">
        <w:rPr>
          <w:rFonts w:ascii="Times New Roman" w:hAnsi="Times New Roman"/>
          <w:sz w:val="24"/>
          <w:szCs w:val="24"/>
        </w:rPr>
        <w:t>aprimoramento</w:t>
      </w:r>
      <w:r w:rsidR="00DD54B4" w:rsidRPr="00791543">
        <w:rPr>
          <w:rFonts w:ascii="Times New Roman" w:hAnsi="Times New Roman"/>
          <w:i/>
          <w:sz w:val="24"/>
          <w:szCs w:val="24"/>
        </w:rPr>
        <w:t xml:space="preserve">requisitava </w:t>
      </w:r>
      <w:r w:rsidR="00DD54B4" w:rsidRPr="00791543">
        <w:rPr>
          <w:rFonts w:ascii="Times New Roman" w:hAnsi="Times New Roman"/>
          <w:sz w:val="24"/>
          <w:szCs w:val="24"/>
        </w:rPr>
        <w:t>novos figurantes</w:t>
      </w:r>
      <w:r w:rsidR="001F43E8" w:rsidRPr="00791543">
        <w:rPr>
          <w:rFonts w:ascii="Times New Roman" w:hAnsi="Times New Roman"/>
          <w:sz w:val="24"/>
          <w:szCs w:val="24"/>
        </w:rPr>
        <w:t xml:space="preserve"> que carregassem a marca social do novo governo, mas</w:t>
      </w:r>
      <w:r w:rsidR="00DD54B4" w:rsidRPr="00791543">
        <w:rPr>
          <w:rFonts w:ascii="Times New Roman" w:hAnsi="Times New Roman"/>
          <w:sz w:val="24"/>
          <w:szCs w:val="24"/>
        </w:rPr>
        <w:t xml:space="preserve"> desde que consensualizassem ativamente </w:t>
      </w:r>
      <w:r w:rsidR="001F43E8" w:rsidRPr="00791543">
        <w:rPr>
          <w:rFonts w:ascii="Times New Roman" w:hAnsi="Times New Roman"/>
          <w:sz w:val="24"/>
          <w:szCs w:val="24"/>
        </w:rPr>
        <w:t xml:space="preserve">com </w:t>
      </w:r>
      <w:r w:rsidR="00DD54B4" w:rsidRPr="00791543">
        <w:rPr>
          <w:rFonts w:ascii="Times New Roman" w:hAnsi="Times New Roman"/>
          <w:sz w:val="24"/>
          <w:szCs w:val="24"/>
        </w:rPr>
        <w:t>a direção imprimida pelo grande capital</w:t>
      </w:r>
      <w:r w:rsidR="0078488A" w:rsidRPr="00791543">
        <w:rPr>
          <w:rFonts w:ascii="Times New Roman" w:hAnsi="Times New Roman"/>
          <w:sz w:val="24"/>
          <w:szCs w:val="24"/>
        </w:rPr>
        <w:t xml:space="preserve">.Este foi o caminho pelo qual </w:t>
      </w:r>
      <w:r w:rsidR="00C626B6" w:rsidRPr="00791543">
        <w:rPr>
          <w:rFonts w:ascii="Times New Roman" w:hAnsi="Times New Roman"/>
          <w:sz w:val="24"/>
          <w:szCs w:val="24"/>
        </w:rPr>
        <w:t>levantaram a bandeira da</w:t>
      </w:r>
      <w:r w:rsidR="001F43E8" w:rsidRPr="00791543">
        <w:rPr>
          <w:rFonts w:ascii="Times New Roman" w:hAnsi="Times New Roman"/>
          <w:sz w:val="24"/>
          <w:szCs w:val="24"/>
        </w:rPr>
        <w:t xml:space="preserve"> “democracia”</w:t>
      </w:r>
      <w:r w:rsidR="00C626B6" w:rsidRPr="00791543">
        <w:rPr>
          <w:rFonts w:ascii="Times New Roman" w:hAnsi="Times New Roman"/>
          <w:sz w:val="24"/>
          <w:szCs w:val="24"/>
        </w:rPr>
        <w:t>, afastando os riscos de acusação</w:t>
      </w:r>
      <w:r w:rsidR="001F43E8" w:rsidRPr="00791543">
        <w:rPr>
          <w:rFonts w:ascii="Times New Roman" w:hAnsi="Times New Roman"/>
          <w:sz w:val="24"/>
          <w:szCs w:val="24"/>
        </w:rPr>
        <w:t xml:space="preserve"> de “sovietização”. </w:t>
      </w:r>
      <w:r w:rsidR="00F12AFB" w:rsidRPr="00791543">
        <w:rPr>
          <w:rFonts w:ascii="Times New Roman" w:hAnsi="Times New Roman"/>
          <w:sz w:val="24"/>
          <w:szCs w:val="24"/>
        </w:rPr>
        <w:t xml:space="preserve">Este aspecto será </w:t>
      </w:r>
      <w:r w:rsidR="0039094A" w:rsidRPr="00791543">
        <w:rPr>
          <w:rFonts w:ascii="Times New Roman" w:hAnsi="Times New Roman"/>
          <w:sz w:val="24"/>
          <w:szCs w:val="24"/>
        </w:rPr>
        <w:t>melhor</w:t>
      </w:r>
      <w:r w:rsidR="00F12AFB" w:rsidRPr="00791543">
        <w:rPr>
          <w:rFonts w:ascii="Times New Roman" w:hAnsi="Times New Roman"/>
          <w:sz w:val="24"/>
          <w:szCs w:val="24"/>
        </w:rPr>
        <w:t xml:space="preserve"> trabalhado na conclusão da tese. </w:t>
      </w:r>
    </w:p>
    <w:p w:rsidR="00582426" w:rsidRDefault="0039094A"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Além </w:t>
      </w:r>
      <w:r w:rsidR="00B31CF8">
        <w:rPr>
          <w:rFonts w:ascii="Times New Roman" w:hAnsi="Times New Roman"/>
          <w:sz w:val="24"/>
          <w:szCs w:val="24"/>
        </w:rPr>
        <w:t xml:space="preserve">da apresentação </w:t>
      </w:r>
      <w:r>
        <w:rPr>
          <w:rFonts w:ascii="Times New Roman" w:hAnsi="Times New Roman"/>
          <w:sz w:val="24"/>
          <w:szCs w:val="24"/>
        </w:rPr>
        <w:t>d</w:t>
      </w:r>
      <w:r w:rsidR="00B31CF8">
        <w:rPr>
          <w:rFonts w:ascii="Times New Roman" w:hAnsi="Times New Roman"/>
          <w:sz w:val="24"/>
          <w:szCs w:val="24"/>
        </w:rPr>
        <w:t>as</w:t>
      </w:r>
      <w:r>
        <w:rPr>
          <w:rFonts w:ascii="Times New Roman" w:hAnsi="Times New Roman"/>
          <w:sz w:val="24"/>
          <w:szCs w:val="24"/>
        </w:rPr>
        <w:t xml:space="preserve"> quatro grandes questões da tese, e</w:t>
      </w:r>
      <w:r w:rsidR="00582426">
        <w:rPr>
          <w:rFonts w:ascii="Times New Roman" w:hAnsi="Times New Roman"/>
          <w:sz w:val="24"/>
          <w:szCs w:val="24"/>
        </w:rPr>
        <w:t xml:space="preserve">sta introdução sumariza distintas apreensões teóricas e metodológicas dos estudos sobre as relações entre Estado e Sociedade Civil, tendo como norte apresentar algumas preocupações minhas ao pesquisar o Conselho de Desenvolvimento Econômico e Social (CDES), além de trazer um debate </w:t>
      </w:r>
      <w:r w:rsidR="00CA37CD">
        <w:rPr>
          <w:rFonts w:ascii="Times New Roman" w:hAnsi="Times New Roman"/>
          <w:sz w:val="24"/>
          <w:szCs w:val="24"/>
        </w:rPr>
        <w:t>com os</w:t>
      </w:r>
      <w:r w:rsidR="00582426">
        <w:rPr>
          <w:rFonts w:ascii="Times New Roman" w:hAnsi="Times New Roman"/>
          <w:sz w:val="24"/>
          <w:szCs w:val="24"/>
        </w:rPr>
        <w:t xml:space="preserve"> principais autores que estudaram o CDES.</w:t>
      </w:r>
    </w:p>
    <w:p w:rsidR="00582426" w:rsidRDefault="00582426" w:rsidP="00582426">
      <w:pPr>
        <w:spacing w:after="0" w:line="360" w:lineRule="auto"/>
        <w:jc w:val="both"/>
        <w:rPr>
          <w:rFonts w:ascii="Times New Roman" w:hAnsi="Times New Roman"/>
          <w:sz w:val="24"/>
          <w:szCs w:val="24"/>
        </w:rPr>
      </w:pPr>
      <w:r>
        <w:rPr>
          <w:rFonts w:ascii="Times New Roman" w:hAnsi="Times New Roman"/>
          <w:sz w:val="24"/>
          <w:szCs w:val="24"/>
        </w:rPr>
        <w:tab/>
        <w:t xml:space="preserve">O estudo sobre o Conselho de Desenvolvimento Econômico e Social (CDES) durante os governos Lula da Silva (2003-2010) objetiva engrossar as fileiras de pesquisas acadêmicas no país que se balizam na formulação teórica do marxista sardo Antonio Gramsci acerca do Estado ampliado. Para tanto, ela refuta abordagens que reproduzem </w:t>
      </w:r>
      <w:r>
        <w:rPr>
          <w:rFonts w:ascii="Times New Roman" w:hAnsi="Times New Roman"/>
          <w:i/>
          <w:sz w:val="24"/>
          <w:szCs w:val="24"/>
        </w:rPr>
        <w:t xml:space="preserve">relações de exterioridades </w:t>
      </w:r>
      <w:r>
        <w:rPr>
          <w:rFonts w:ascii="Times New Roman" w:hAnsi="Times New Roman"/>
          <w:sz w:val="24"/>
          <w:szCs w:val="24"/>
        </w:rPr>
        <w:t>entre Estado e classes sociais na teoria e no método de investigação histórica sob o capitalismo contemporâneo. Estas abordagens traduzem-se, grosso modo, naquilo que Nicos Poulantzas denominou de Estado Objeto ou Estado-Coisa e Estado Sujeito.</w:t>
      </w:r>
      <w:r>
        <w:rPr>
          <w:rStyle w:val="Refdenotaderodap"/>
          <w:rFonts w:ascii="Times New Roman" w:hAnsi="Times New Roman"/>
          <w:sz w:val="24"/>
          <w:szCs w:val="24"/>
        </w:rPr>
        <w:footnoteReference w:id="7"/>
      </w:r>
    </w:p>
    <w:p w:rsidR="00582426" w:rsidRDefault="00582426" w:rsidP="00582426">
      <w:pPr>
        <w:spacing w:after="0" w:line="360" w:lineRule="auto"/>
        <w:jc w:val="both"/>
        <w:rPr>
          <w:rFonts w:ascii="Times New Roman" w:hAnsi="Times New Roman"/>
          <w:sz w:val="24"/>
          <w:szCs w:val="24"/>
        </w:rPr>
      </w:pPr>
      <w:r>
        <w:rPr>
          <w:rFonts w:ascii="Times New Roman" w:hAnsi="Times New Roman"/>
          <w:sz w:val="24"/>
          <w:szCs w:val="24"/>
        </w:rPr>
        <w:tab/>
        <w:t>A abordagem teórica a qual Poulantzas denomina de “Estado Objeto” provém explicitamente da crítica às correntes ortodoxas do marxismo, as quais compreendem o Estado como “instrumento passivo”, manipulável pelas classes ou frações de classes monopolistas. Poulantzas dialogava especialmente com as direções políticas do Partido Comunista Francês (PCF) ao qual, durante sua trajetória, havia entendido o Estado como “fundido” e “a serviço exclusivo” do capital monopolista, sem apresentar “autonomia própria”, permitindo-lhe assim entender como “ferramenta” ou “instrumento” dos dominantes.</w:t>
      </w:r>
      <w:r>
        <w:rPr>
          <w:rStyle w:val="Refdenotaderodap"/>
          <w:rFonts w:ascii="Times New Roman" w:hAnsi="Times New Roman"/>
          <w:sz w:val="24"/>
          <w:szCs w:val="24"/>
        </w:rPr>
        <w:footnoteReference w:id="8"/>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Gramsci se opôs, no cárcere, às manifestações políticas e teóricas derivadas da instrumentalização do Estado pelos movimentos e partidos comunistas de sua época. Dentre outras intervenções produzidas no cárcere, destaca-se sua oposição às formulações do movimento comunista internacional (sob liderança de Stálin e seus seguidores), por ocasião da adoção linha política conhecida como “virada esquerdista” (1929-1934). A linha política adotada pela Internacional veio de encontro às táticas refletidas por Gramsci como adequadas para os caminhos revolucionários nos países do Ocidente, isto é, nas sociedades em que o avanço das forças produtivas e da socialização das formas organizativas de intervenção política precipitava avanços consideráveis.</w:t>
      </w:r>
    </w:p>
    <w:p w:rsidR="00582426" w:rsidRDefault="00FB5109" w:rsidP="00582426">
      <w:pPr>
        <w:spacing w:line="360" w:lineRule="auto"/>
        <w:ind w:firstLine="708"/>
        <w:jc w:val="both"/>
        <w:rPr>
          <w:rFonts w:ascii="Times New Roman" w:hAnsi="Times New Roman"/>
          <w:sz w:val="24"/>
          <w:szCs w:val="24"/>
        </w:rPr>
      </w:pPr>
      <w:r>
        <w:rPr>
          <w:rFonts w:ascii="Times New Roman" w:hAnsi="Times New Roman"/>
          <w:sz w:val="24"/>
          <w:szCs w:val="24"/>
        </w:rPr>
        <w:t xml:space="preserve"> Entendendo o Komintern</w:t>
      </w:r>
      <w:r w:rsidR="00422A68">
        <w:rPr>
          <w:rFonts w:ascii="Times New Roman" w:hAnsi="Times New Roman"/>
          <w:sz w:val="24"/>
          <w:szCs w:val="24"/>
        </w:rPr>
        <w:t xml:space="preserve"> que a crise econômica anunciava iminente colapso d</w:t>
      </w:r>
      <w:r w:rsidR="00582426">
        <w:rPr>
          <w:rFonts w:ascii="Times New Roman" w:hAnsi="Times New Roman"/>
          <w:sz w:val="24"/>
          <w:szCs w:val="24"/>
        </w:rPr>
        <w:t>o capitalismo, destacadas lideranças do movimento anteviam a abertura necessária de uma vaga revolucionária mundial. Gramsci foi peremptoriamente contrário à iniciativa, mantendo-se fiel à tática da frente única estabelecida em 1921 por Lênin e abandonada inteiramente pelo Komintern em 1928. Contudo, Gramsci a retoma reelaborando-a sob o desenvolvimento da “hegemonia política”:</w:t>
      </w:r>
      <w:r w:rsidR="00582426">
        <w:rPr>
          <w:rStyle w:val="Refdenotaderodap"/>
          <w:rFonts w:ascii="Times New Roman" w:hAnsi="Times New Roman"/>
          <w:sz w:val="24"/>
          <w:szCs w:val="24"/>
        </w:rPr>
        <w:footnoteReference w:id="9"/>
      </w:r>
    </w:p>
    <w:p w:rsidR="00582426" w:rsidRPr="00C65645" w:rsidRDefault="00582426" w:rsidP="00582426">
      <w:pPr>
        <w:spacing w:line="240" w:lineRule="auto"/>
        <w:ind w:left="2268"/>
        <w:jc w:val="both"/>
        <w:rPr>
          <w:rFonts w:ascii="Times New Roman" w:hAnsi="Times New Roman"/>
          <w:sz w:val="24"/>
          <w:szCs w:val="24"/>
        </w:rPr>
      </w:pPr>
      <w:r>
        <w:rPr>
          <w:rFonts w:ascii="Times New Roman" w:hAnsi="Times New Roman"/>
          <w:sz w:val="20"/>
          <w:szCs w:val="20"/>
        </w:rPr>
        <w:t xml:space="preserve">Parece-me que Ilitch havia compreendido a necessidade de uma mudança da guerra manobrada, aplicada vitoriosamente no Oriente em 1917, para a guerra de posição, que era a única possível no Ocidente, onde, como observa Krasnov, num breve espaço de tempo os exércitos podiam acumular quantidades enormes de munição, onde os quadros sociais eram por si sós ainda capazes de se tornarem trincheiras municiadíssimas. </w:t>
      </w:r>
      <w:r w:rsidRPr="00111CDA">
        <w:rPr>
          <w:rFonts w:ascii="Times New Roman" w:hAnsi="Times New Roman"/>
          <w:sz w:val="20"/>
          <w:szCs w:val="20"/>
        </w:rPr>
        <w:t xml:space="preserve">Parece-me este o significado da fórmula da “frente única” (...) Só que Ilitch não teve tempo de aprofundar sua fórmula, mesmo considerando que ele só podia aprofundá-la teoricamente, quando, ao contrário, a tarefa fundamental era nacional, isto é, </w:t>
      </w:r>
      <w:r w:rsidRPr="00250073">
        <w:rPr>
          <w:rFonts w:ascii="Times New Roman" w:hAnsi="Times New Roman"/>
          <w:b/>
          <w:sz w:val="20"/>
          <w:szCs w:val="20"/>
        </w:rPr>
        <w:t>exigia um reconhecimento do terreno e uma fixação dos elementos de trincheira e de fortaleza representados pelos elementos de sociedade civil</w:t>
      </w:r>
      <w:r w:rsidRPr="00111CDA">
        <w:rPr>
          <w:rFonts w:ascii="Times New Roman" w:hAnsi="Times New Roman"/>
          <w:i/>
          <w:sz w:val="20"/>
          <w:szCs w:val="20"/>
        </w:rPr>
        <w:t>.</w:t>
      </w:r>
      <w:r w:rsidRPr="00967870">
        <w:rPr>
          <w:rStyle w:val="Refdenotaderodap"/>
          <w:rFonts w:ascii="Times New Roman" w:hAnsi="Times New Roman"/>
          <w:sz w:val="20"/>
          <w:szCs w:val="20"/>
        </w:rPr>
        <w:footnoteReference w:id="10"/>
      </w:r>
    </w:p>
    <w:p w:rsidR="00582426" w:rsidRDefault="00582426" w:rsidP="00582426">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Dando novas roupagens à categoria “sociedade civil” em Marx, Engels e Lênin, ampliando-a ao analisar as determinações inauguradas pela dinâmica do capitalismo de sua época, precisamente o avanço das forças produtivas e o processo de socialização da política, Gramsci, na esteira de seus antecessores, </w:t>
      </w:r>
      <w:r>
        <w:rPr>
          <w:rFonts w:ascii="Times New Roman" w:hAnsi="Times New Roman"/>
          <w:i/>
          <w:sz w:val="24"/>
          <w:szCs w:val="24"/>
        </w:rPr>
        <w:t>jamais</w:t>
      </w:r>
      <w:r>
        <w:rPr>
          <w:rFonts w:ascii="Times New Roman" w:hAnsi="Times New Roman"/>
          <w:sz w:val="24"/>
          <w:szCs w:val="24"/>
        </w:rPr>
        <w:t xml:space="preserve"> a secciona da totalidade na qual emerge,</w:t>
      </w:r>
      <w:r>
        <w:rPr>
          <w:rFonts w:ascii="Times New Roman" w:hAnsi="Times New Roman"/>
          <w:i/>
          <w:sz w:val="24"/>
          <w:szCs w:val="24"/>
        </w:rPr>
        <w:t>jamais</w:t>
      </w:r>
      <w:r>
        <w:rPr>
          <w:rFonts w:ascii="Times New Roman" w:hAnsi="Times New Roman"/>
          <w:sz w:val="24"/>
          <w:szCs w:val="24"/>
        </w:rPr>
        <w:t xml:space="preserve"> lhe retira ou desbota das lutas entre as classes sociais existentes na vida social. Desse modo, o marxista sardo argutamente averiguava que as entidades que compunham a sociedade civil havia</w:t>
      </w:r>
      <w:r w:rsidR="00B63793">
        <w:rPr>
          <w:rFonts w:ascii="Times New Roman" w:hAnsi="Times New Roman"/>
          <w:sz w:val="24"/>
          <w:szCs w:val="24"/>
        </w:rPr>
        <w:t>m</w:t>
      </w:r>
      <w:r>
        <w:rPr>
          <w:rFonts w:ascii="Times New Roman" w:hAnsi="Times New Roman"/>
          <w:sz w:val="24"/>
          <w:szCs w:val="24"/>
        </w:rPr>
        <w:t xml:space="preserve"> se expandido e se adensado, desde 1870, através de uma miríade complexa, diferenciada e intricada de trincheiras, casamatas e fortificações burguesas, responsáveis,simultaneamente, pela produção, expansão e blindagem dos interesses dos grupos dominantes.</w:t>
      </w:r>
    </w:p>
    <w:p w:rsidR="00582426" w:rsidRPr="00C76546" w:rsidRDefault="00582426" w:rsidP="00582426">
      <w:pPr>
        <w:spacing w:after="0" w:line="360" w:lineRule="auto"/>
        <w:ind w:firstLine="708"/>
        <w:jc w:val="both"/>
        <w:rPr>
          <w:rFonts w:ascii="Times New Roman" w:hAnsi="Times New Roman"/>
          <w:sz w:val="24"/>
          <w:szCs w:val="24"/>
        </w:rPr>
      </w:pPr>
      <w:r w:rsidRPr="00C767BE">
        <w:rPr>
          <w:rFonts w:ascii="Times New Roman" w:hAnsi="Times New Roman"/>
          <w:sz w:val="24"/>
          <w:szCs w:val="24"/>
        </w:rPr>
        <w:t xml:space="preserve">O conceito de sociedade civil procura dar conta das formas pelas quais as classes e frações de classes em luta </w:t>
      </w:r>
      <w:r w:rsidRPr="00C767BE">
        <w:rPr>
          <w:rFonts w:ascii="Times New Roman" w:hAnsi="Times New Roman"/>
          <w:i/>
          <w:sz w:val="24"/>
          <w:szCs w:val="24"/>
        </w:rPr>
        <w:t>organizam-se, articulam-se, produzem</w:t>
      </w:r>
      <w:r>
        <w:rPr>
          <w:rFonts w:ascii="Times New Roman" w:hAnsi="Times New Roman"/>
          <w:i/>
          <w:sz w:val="24"/>
          <w:szCs w:val="24"/>
        </w:rPr>
        <w:t xml:space="preserve"> e disseminam </w:t>
      </w:r>
      <w:r w:rsidRPr="00C767BE">
        <w:rPr>
          <w:rFonts w:ascii="Times New Roman" w:hAnsi="Times New Roman"/>
          <w:i/>
          <w:sz w:val="24"/>
          <w:szCs w:val="24"/>
        </w:rPr>
        <w:t>visões de mundo (cultura, formas de ser, sociabilidades)</w:t>
      </w:r>
      <w:r>
        <w:rPr>
          <w:rFonts w:ascii="Times New Roman" w:hAnsi="Times New Roman"/>
          <w:sz w:val="24"/>
          <w:szCs w:val="24"/>
        </w:rPr>
        <w:t xml:space="preserve"> adequadas ou ao</w:t>
      </w:r>
      <w:r w:rsidRPr="00C767BE">
        <w:rPr>
          <w:rFonts w:ascii="Times New Roman" w:hAnsi="Times New Roman"/>
          <w:sz w:val="24"/>
          <w:szCs w:val="24"/>
        </w:rPr>
        <w:t xml:space="preserve"> universo burguês</w:t>
      </w:r>
      <w:r>
        <w:rPr>
          <w:rFonts w:ascii="Times New Roman" w:hAnsi="Times New Roman"/>
          <w:sz w:val="24"/>
          <w:szCs w:val="24"/>
        </w:rPr>
        <w:t xml:space="preserve">, </w:t>
      </w:r>
      <w:r w:rsidRPr="00C767BE">
        <w:rPr>
          <w:rFonts w:ascii="Times New Roman" w:hAnsi="Times New Roman"/>
          <w:sz w:val="24"/>
          <w:szCs w:val="24"/>
        </w:rPr>
        <w:t xml:space="preserve">irradiando formas de dominação com vistas a assegurar a </w:t>
      </w:r>
      <w:r>
        <w:rPr>
          <w:rFonts w:ascii="Times New Roman" w:hAnsi="Times New Roman"/>
          <w:sz w:val="24"/>
          <w:szCs w:val="24"/>
        </w:rPr>
        <w:t>adesão dos setores subalternos</w:t>
      </w:r>
      <w:r w:rsidRPr="00C767BE">
        <w:rPr>
          <w:rFonts w:ascii="Times New Roman" w:hAnsi="Times New Roman"/>
          <w:sz w:val="24"/>
          <w:szCs w:val="24"/>
        </w:rPr>
        <w:t xml:space="preserve"> (hegemonia) ou</w:t>
      </w:r>
      <w:r>
        <w:rPr>
          <w:rFonts w:ascii="Times New Roman" w:hAnsi="Times New Roman"/>
          <w:sz w:val="24"/>
          <w:szCs w:val="24"/>
        </w:rPr>
        <w:t xml:space="preserve">, ao contrário,à preparaçãoda </w:t>
      </w:r>
      <w:r w:rsidRPr="00C767BE">
        <w:rPr>
          <w:rFonts w:ascii="Times New Roman" w:hAnsi="Times New Roman"/>
          <w:sz w:val="24"/>
          <w:szCs w:val="24"/>
        </w:rPr>
        <w:t xml:space="preserve">emancipação </w:t>
      </w:r>
      <w:r>
        <w:rPr>
          <w:rFonts w:ascii="Times New Roman" w:hAnsi="Times New Roman"/>
          <w:sz w:val="24"/>
          <w:szCs w:val="24"/>
        </w:rPr>
        <w:t>do conjunto dosexplorados</w:t>
      </w:r>
      <w:r w:rsidRPr="00C767BE">
        <w:rPr>
          <w:rFonts w:ascii="Times New Roman" w:hAnsi="Times New Roman"/>
          <w:sz w:val="24"/>
          <w:szCs w:val="24"/>
        </w:rPr>
        <w:t xml:space="preserve"> (</w:t>
      </w:r>
      <w:r>
        <w:rPr>
          <w:rFonts w:ascii="Times New Roman" w:hAnsi="Times New Roman"/>
          <w:sz w:val="24"/>
          <w:szCs w:val="24"/>
        </w:rPr>
        <w:t>contra-</w:t>
      </w:r>
      <w:r w:rsidRPr="00C767BE">
        <w:rPr>
          <w:rFonts w:ascii="Times New Roman" w:hAnsi="Times New Roman"/>
          <w:sz w:val="24"/>
          <w:szCs w:val="24"/>
        </w:rPr>
        <w:t xml:space="preserve">hegemonia). Ela é constituída </w:t>
      </w:r>
      <w:r>
        <w:rPr>
          <w:rFonts w:ascii="Times New Roman" w:hAnsi="Times New Roman"/>
          <w:sz w:val="24"/>
          <w:szCs w:val="24"/>
        </w:rPr>
        <w:t xml:space="preserve">por aparelhos privados de hegemonia (associações, sindicatos, partidos, clubes, jornais, revistas, igrejas etc) que, junto à sociedade política, constituem formas de organização da dominação burguesa, isto é, o Estado em seu sentido integral. Em Gramsci, </w:t>
      </w:r>
      <w:r w:rsidRPr="006F19F5">
        <w:rPr>
          <w:rFonts w:ascii="Times New Roman" w:hAnsi="Times New Roman"/>
          <w:i/>
          <w:sz w:val="24"/>
          <w:szCs w:val="24"/>
        </w:rPr>
        <w:t xml:space="preserve">a sociedade civil é parte </w:t>
      </w:r>
      <w:r>
        <w:rPr>
          <w:rFonts w:ascii="Times New Roman" w:hAnsi="Times New Roman"/>
          <w:i/>
          <w:sz w:val="24"/>
          <w:szCs w:val="24"/>
        </w:rPr>
        <w:t>integrante</w:t>
      </w:r>
      <w:r w:rsidRPr="006F19F5">
        <w:rPr>
          <w:rFonts w:ascii="Times New Roman" w:hAnsi="Times New Roman"/>
          <w:i/>
          <w:sz w:val="24"/>
          <w:szCs w:val="24"/>
        </w:rPr>
        <w:t xml:space="preserve"> do Estado</w:t>
      </w:r>
      <w:r>
        <w:rPr>
          <w:rFonts w:ascii="Times New Roman" w:hAnsi="Times New Roman"/>
          <w:sz w:val="24"/>
          <w:szCs w:val="24"/>
        </w:rPr>
        <w:t>. D</w:t>
      </w:r>
      <w:r w:rsidRPr="00D865E1">
        <w:rPr>
          <w:rFonts w:ascii="Times New Roman" w:hAnsi="Times New Roman"/>
          <w:sz w:val="24"/>
          <w:szCs w:val="24"/>
        </w:rPr>
        <w:t>evido à dialética do pensamento de Gramsci, não há uma “distinção orgânica” entre Estado e sociedade, pano de fundo à formulação do “Estado integral”: o conjunto formado pela sociedade civil e política, cuja distinção é apenas metódica, com fins meramente analíticos.</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Os interesses da burguesia eram produzidos, discutidos e divulgados no âmbito da sociedade civil, mas de fato ganhavam materialidade na sua inscrição, em forma de projetos de hegemonia, no âmbito do Estado restrito (órgãos, agências e aparelhos estatais) que, quando implementados, atingiam o </w:t>
      </w:r>
      <w:r>
        <w:rPr>
          <w:rFonts w:ascii="Times New Roman" w:hAnsi="Times New Roman"/>
          <w:i/>
          <w:sz w:val="24"/>
          <w:szCs w:val="24"/>
        </w:rPr>
        <w:t xml:space="preserve">status </w:t>
      </w:r>
      <w:r>
        <w:rPr>
          <w:rFonts w:ascii="Times New Roman" w:hAnsi="Times New Roman"/>
          <w:sz w:val="24"/>
          <w:szCs w:val="24"/>
        </w:rPr>
        <w:t>de “política pública”, conformando o particular em universal, procurando garantir o consentimento de outros grupos nacionais não dominantes. É</w:t>
      </w:r>
      <w:r w:rsidRPr="00182D1F">
        <w:rPr>
          <w:rFonts w:ascii="Times New Roman" w:hAnsi="Times New Roman"/>
          <w:sz w:val="24"/>
          <w:szCs w:val="24"/>
        </w:rPr>
        <w:t xml:space="preserve"> na sociedade civil que as classes disputam e mantêm a hegemonia e a legitimidade necessária ao desenvolvimento dos seus projetos, sendo que “sua imbricação no Estado assegura que a função estatal de educação – o “Estado educador” – atue na mesma direção dos interesses dirigentes e dominantes [...]”</w:t>
      </w:r>
      <w:r>
        <w:rPr>
          <w:rFonts w:ascii="Times New Roman" w:hAnsi="Times New Roman"/>
          <w:sz w:val="24"/>
          <w:szCs w:val="24"/>
        </w:rPr>
        <w:t>.</w:t>
      </w:r>
      <w:r>
        <w:rPr>
          <w:rStyle w:val="Refdenotaderodap"/>
          <w:rFonts w:ascii="Times New Roman" w:hAnsi="Times New Roman"/>
          <w:sz w:val="24"/>
          <w:szCs w:val="24"/>
        </w:rPr>
        <w:footnoteReference w:id="11"/>
      </w:r>
      <w:r>
        <w:rPr>
          <w:rFonts w:ascii="Times New Roman" w:hAnsi="Times New Roman"/>
          <w:sz w:val="24"/>
          <w:szCs w:val="24"/>
        </w:rPr>
        <w:t xml:space="preserve"> Está claro que “isto significa que por ‘Estado’ deve-se entender, além do aparelho de governo, também o aparelho ‘privado’ de hegemonia ou sociedade civil”.</w:t>
      </w:r>
      <w:r>
        <w:rPr>
          <w:rStyle w:val="Refdenotaderodap"/>
          <w:rFonts w:ascii="Times New Roman" w:hAnsi="Times New Roman"/>
          <w:sz w:val="24"/>
          <w:szCs w:val="24"/>
        </w:rPr>
        <w:footnoteReference w:id="12"/>
      </w:r>
      <w:r>
        <w:rPr>
          <w:rFonts w:ascii="Times New Roman" w:hAnsi="Times New Roman"/>
          <w:sz w:val="24"/>
          <w:szCs w:val="24"/>
        </w:rPr>
        <w:t xml:space="preserve"> O</w:t>
      </w:r>
      <w:r w:rsidRPr="00182D1F">
        <w:rPr>
          <w:rFonts w:ascii="Times New Roman" w:hAnsi="Times New Roman"/>
          <w:sz w:val="24"/>
          <w:szCs w:val="24"/>
        </w:rPr>
        <w:t xml:space="preserve">s </w:t>
      </w:r>
      <w:r>
        <w:rPr>
          <w:rFonts w:ascii="Times New Roman" w:hAnsi="Times New Roman"/>
          <w:sz w:val="24"/>
          <w:szCs w:val="24"/>
        </w:rPr>
        <w:t xml:space="preserve">aparelhos privados de hegemonia organizados na </w:t>
      </w:r>
      <w:r w:rsidRPr="00182D1F">
        <w:rPr>
          <w:rFonts w:ascii="Times New Roman" w:hAnsi="Times New Roman"/>
          <w:sz w:val="24"/>
          <w:szCs w:val="24"/>
        </w:rPr>
        <w:t xml:space="preserve">sociedade civil se esforçam em espraiar, através </w:t>
      </w:r>
      <w:r>
        <w:rPr>
          <w:rFonts w:ascii="Times New Roman" w:hAnsi="Times New Roman"/>
          <w:sz w:val="24"/>
          <w:szCs w:val="24"/>
        </w:rPr>
        <w:t>dos</w:t>
      </w:r>
      <w:r w:rsidR="00A574EE">
        <w:rPr>
          <w:rFonts w:ascii="Times New Roman" w:hAnsi="Times New Roman"/>
          <w:sz w:val="24"/>
          <w:szCs w:val="24"/>
        </w:rPr>
        <w:t xml:space="preserve">seus </w:t>
      </w:r>
      <w:r w:rsidRPr="00182D1F">
        <w:rPr>
          <w:rFonts w:ascii="Times New Roman" w:hAnsi="Times New Roman"/>
          <w:sz w:val="24"/>
          <w:szCs w:val="24"/>
        </w:rPr>
        <w:t xml:space="preserve">intelectuais orgânicos presentes no Estado, suas formas de dominação para o conjunto do tecido social. </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Como assinalou Gramsci “trata-se, portanto, de estudar com “profundidade” quais são os elementos da sociedade civil que correspondem aos sistemas de defesa na guerra de posição”.</w:t>
      </w:r>
      <w:r>
        <w:rPr>
          <w:rStyle w:val="Refdenotaderodap"/>
          <w:rFonts w:ascii="Times New Roman" w:hAnsi="Times New Roman"/>
          <w:sz w:val="24"/>
          <w:szCs w:val="24"/>
        </w:rPr>
        <w:footnoteReference w:id="13"/>
      </w:r>
      <w:r>
        <w:rPr>
          <w:rFonts w:ascii="Times New Roman" w:hAnsi="Times New Roman"/>
          <w:sz w:val="24"/>
          <w:szCs w:val="24"/>
        </w:rPr>
        <w:t xml:space="preserve"> Estes elementos, como sabemos, estão organizados </w:t>
      </w:r>
      <w:r w:rsidR="00422A68">
        <w:rPr>
          <w:rFonts w:ascii="Times New Roman" w:hAnsi="Times New Roman"/>
          <w:sz w:val="24"/>
          <w:szCs w:val="24"/>
        </w:rPr>
        <w:t xml:space="preserve">como </w:t>
      </w:r>
      <w:r>
        <w:rPr>
          <w:rFonts w:ascii="Times New Roman" w:hAnsi="Times New Roman"/>
          <w:sz w:val="24"/>
          <w:szCs w:val="24"/>
        </w:rPr>
        <w:t>uma multiplicidade de organismos pertencentes às formas organizativas das classes e frações de classes sociais fundamentais. Seus organizadores (sujeitos sociais concretos) são construtores e difusores de uma cultura (visão de mundo) própria das classes e frações de classes a que por herança pertencem ou a elas aderiram (neste caso seja porque ascenderam a elas ou pelo fenômeno político-ideológico do transformismo), tornando-se seus prepostos.</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Além das funções educativas, propagandísticas e organizativas de seu grupo social, essenciais para a produção da coesão e disseminação da visão de mundo de suas classes e frações de classes, os intelectuais assumem vital importância nas intermediações ou conexões entre os organismos da sociedade civil e as agências da sociedade política. As funções conectivas dos intelectuais orgânicos são basilares na propagação e cimentação do conteúdo projetivo da visão de mundo construído nos e pelos aparelhos privados de hegemonia que por eles se fazem representar e expressar no interior das agências do Estado restrito. São sujeitos sociais que comportam e traduzem as tensões e contradições advindas das condições econômicas estruturais das relações sociais de produção e se esforçam por expressá-las em projetos de sociabilidade superestruturais mediante as correlações de forças s</w:t>
      </w:r>
      <w:r w:rsidR="00CA0999">
        <w:rPr>
          <w:rFonts w:ascii="Times New Roman" w:hAnsi="Times New Roman"/>
          <w:sz w:val="24"/>
          <w:szCs w:val="24"/>
        </w:rPr>
        <w:t>o</w:t>
      </w:r>
      <w:r>
        <w:rPr>
          <w:rFonts w:ascii="Times New Roman" w:hAnsi="Times New Roman"/>
          <w:sz w:val="24"/>
          <w:szCs w:val="24"/>
        </w:rPr>
        <w:t xml:space="preserve">ciopolíticas presentes sociedade civil.  Tal empreendimento se completa, ou melhor, se torna hegemônico se, e somente se, logram acionar e pôr em movimento mecanismos que consigam implementá-los como se fossem projetos emanados do próprio Estado restrito. </w:t>
      </w:r>
    </w:p>
    <w:p w:rsidR="00582426" w:rsidRPr="004C7203" w:rsidRDefault="00582426" w:rsidP="00582426">
      <w:pPr>
        <w:spacing w:after="0" w:line="240" w:lineRule="auto"/>
        <w:ind w:left="2268"/>
        <w:jc w:val="both"/>
        <w:rPr>
          <w:rFonts w:ascii="Times New Roman" w:hAnsi="Times New Roman"/>
          <w:sz w:val="20"/>
          <w:szCs w:val="20"/>
        </w:rPr>
      </w:pPr>
      <w:r w:rsidRPr="004C7203">
        <w:rPr>
          <w:rFonts w:ascii="Times New Roman" w:hAnsi="Times New Roman"/>
          <w:sz w:val="20"/>
          <w:szCs w:val="20"/>
        </w:rPr>
        <w:t>O Estado é certamente concebido como organismo próprio de um grupo, destinado a criar as condições favoráveis à expansão máxima desse grupo, mas este desenvolvimento e esta expansão são concebidos e apresentados como a força motriz de uma expansão univers</w:t>
      </w:r>
      <w:r>
        <w:rPr>
          <w:rFonts w:ascii="Times New Roman" w:hAnsi="Times New Roman"/>
          <w:sz w:val="20"/>
          <w:szCs w:val="20"/>
        </w:rPr>
        <w:t>al</w:t>
      </w:r>
      <w:r w:rsidRPr="004C7203">
        <w:rPr>
          <w:rFonts w:ascii="Times New Roman" w:hAnsi="Times New Roman"/>
          <w:sz w:val="20"/>
          <w:szCs w:val="20"/>
        </w:rPr>
        <w:t>, de um desenvolvimento de todas as energias “nacionais” (...)</w:t>
      </w:r>
      <w:r>
        <w:rPr>
          <w:rStyle w:val="Refdenotaderodap"/>
          <w:rFonts w:ascii="Times New Roman" w:hAnsi="Times New Roman"/>
          <w:sz w:val="20"/>
          <w:szCs w:val="20"/>
        </w:rPr>
        <w:footnoteReference w:id="14"/>
      </w:r>
    </w:p>
    <w:p w:rsidR="00582426" w:rsidRDefault="00582426" w:rsidP="00582426">
      <w:pPr>
        <w:spacing w:after="0" w:line="360" w:lineRule="auto"/>
        <w:jc w:val="both"/>
        <w:rPr>
          <w:rFonts w:ascii="Times New Roman" w:hAnsi="Times New Roman"/>
          <w:sz w:val="24"/>
          <w:szCs w:val="24"/>
        </w:rPr>
      </w:pP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Sendo assim, torna-se inteligível a função estrutural do intelectual orgânico como </w:t>
      </w:r>
      <w:r w:rsidRPr="00942A96">
        <w:rPr>
          <w:rFonts w:ascii="Times New Roman" w:hAnsi="Times New Roman"/>
          <w:i/>
          <w:sz w:val="24"/>
          <w:szCs w:val="24"/>
        </w:rPr>
        <w:t>suporte</w:t>
      </w:r>
      <w:r>
        <w:rPr>
          <w:rFonts w:ascii="Times New Roman" w:hAnsi="Times New Roman"/>
          <w:i/>
          <w:sz w:val="24"/>
          <w:szCs w:val="24"/>
        </w:rPr>
        <w:t xml:space="preserve"> e elemento de porosidade e conectividade </w:t>
      </w:r>
      <w:r>
        <w:rPr>
          <w:rFonts w:ascii="Times New Roman" w:hAnsi="Times New Roman"/>
          <w:sz w:val="24"/>
          <w:szCs w:val="24"/>
        </w:rPr>
        <w:t>que concorre não apenas para a garantia do funcionamento ou da eficácia, mas, antes de tudo, da sobrevivência mesma do Estado ampliado, como Estado que condensa, em sua materialidade, as relações sociais de forças entre as classes e frações de classes:</w:t>
      </w:r>
    </w:p>
    <w:p w:rsidR="00582426" w:rsidRDefault="00582426" w:rsidP="00582426">
      <w:pPr>
        <w:spacing w:after="0" w:line="240" w:lineRule="auto"/>
        <w:ind w:left="2268"/>
        <w:jc w:val="both"/>
        <w:rPr>
          <w:rFonts w:ascii="Times New Roman" w:hAnsi="Times New Roman"/>
          <w:sz w:val="24"/>
          <w:szCs w:val="24"/>
        </w:rPr>
      </w:pPr>
      <w:r w:rsidRPr="00821B7D">
        <w:rPr>
          <w:rFonts w:ascii="Times New Roman" w:hAnsi="Times New Roman"/>
          <w:sz w:val="20"/>
          <w:szCs w:val="20"/>
        </w:rPr>
        <w:t>A relação entre os intelectuais e o mundo da produção não é imediata, como ocorre no caso dos grupos sociais fundamentais, mas é “mediatizada”, em diversos graus, por todo o tecido social, pelo conjunto das superestruturas, do qual os intelectuais são precisamente os “funcionários”. (...) [ou] os “prepostos” do grupo dominante para o exercício das funções subalternas da hegemonia social e do governo político, isto é: 1) do consenso “espontâneo” dado pelas grandes massas da população à orientação impressa pelo grupo fundamental dominante à vida social [...]; 2) do aparelho de coerção estatal que assegura “legalmente” a disciplina dos grupos que não “</w:t>
      </w:r>
      <w:r>
        <w:rPr>
          <w:rFonts w:ascii="Times New Roman" w:hAnsi="Times New Roman"/>
          <w:sz w:val="20"/>
          <w:szCs w:val="20"/>
        </w:rPr>
        <w:t>cons</w:t>
      </w:r>
      <w:r w:rsidRPr="00821B7D">
        <w:rPr>
          <w:rFonts w:ascii="Times New Roman" w:hAnsi="Times New Roman"/>
          <w:sz w:val="20"/>
          <w:szCs w:val="20"/>
        </w:rPr>
        <w:t>entem”, nem ativa nem passivamente, mas que é constituído para toda a sociedade na previsão dos momentos de crise no com</w:t>
      </w:r>
      <w:r>
        <w:rPr>
          <w:rFonts w:ascii="Times New Roman" w:hAnsi="Times New Roman"/>
          <w:sz w:val="20"/>
          <w:szCs w:val="20"/>
        </w:rPr>
        <w:t>and</w:t>
      </w:r>
      <w:r w:rsidR="00CA37CD">
        <w:rPr>
          <w:rFonts w:ascii="Times New Roman" w:hAnsi="Times New Roman"/>
          <w:sz w:val="20"/>
          <w:szCs w:val="20"/>
        </w:rPr>
        <w:t>o</w:t>
      </w:r>
      <w:r w:rsidRPr="00821B7D">
        <w:rPr>
          <w:rFonts w:ascii="Times New Roman" w:hAnsi="Times New Roman"/>
          <w:sz w:val="20"/>
          <w:szCs w:val="20"/>
        </w:rPr>
        <w:t xml:space="preserve"> na direção, nos quais desaparece o consenso espontâneo</w:t>
      </w:r>
      <w:r>
        <w:rPr>
          <w:rFonts w:ascii="Times New Roman" w:hAnsi="Times New Roman"/>
          <w:sz w:val="24"/>
          <w:szCs w:val="24"/>
        </w:rPr>
        <w:t>.</w:t>
      </w:r>
      <w:r>
        <w:rPr>
          <w:rStyle w:val="Refdenotaderodap"/>
          <w:rFonts w:ascii="Times New Roman" w:hAnsi="Times New Roman"/>
          <w:sz w:val="24"/>
          <w:szCs w:val="24"/>
        </w:rPr>
        <w:footnoteReference w:id="15"/>
      </w:r>
    </w:p>
    <w:p w:rsidR="00582426" w:rsidRDefault="00582426" w:rsidP="00582426">
      <w:pPr>
        <w:spacing w:after="0" w:line="360" w:lineRule="auto"/>
        <w:ind w:firstLine="708"/>
        <w:jc w:val="both"/>
        <w:rPr>
          <w:rFonts w:ascii="Times New Roman" w:hAnsi="Times New Roman"/>
          <w:sz w:val="24"/>
          <w:szCs w:val="24"/>
        </w:rPr>
      </w:pP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Os intelectuais orgânicos do capital </w:t>
      </w:r>
      <w:r w:rsidR="00CA37CD">
        <w:rPr>
          <w:rFonts w:ascii="Times New Roman" w:hAnsi="Times New Roman"/>
          <w:sz w:val="24"/>
          <w:szCs w:val="24"/>
        </w:rPr>
        <w:t>possuem</w:t>
      </w:r>
      <w:r>
        <w:rPr>
          <w:rFonts w:ascii="Times New Roman" w:hAnsi="Times New Roman"/>
          <w:sz w:val="24"/>
          <w:szCs w:val="24"/>
        </w:rPr>
        <w:t xml:space="preserve">, como uma das tarefas fundamentais, </w:t>
      </w:r>
      <w:r w:rsidR="00A574EE">
        <w:rPr>
          <w:rFonts w:ascii="Times New Roman" w:hAnsi="Times New Roman"/>
          <w:sz w:val="24"/>
          <w:szCs w:val="24"/>
        </w:rPr>
        <w:t>introjetar e espraiar</w:t>
      </w:r>
      <w:r>
        <w:rPr>
          <w:rFonts w:ascii="Times New Roman" w:hAnsi="Times New Roman"/>
          <w:sz w:val="24"/>
          <w:szCs w:val="24"/>
        </w:rPr>
        <w:t xml:space="preserve"> no interior do aparato estatal restrito as demandas e prerrogativas econômico-corporativas dos setores e das atividades econômicas em que estão diretamente envolvidos. Porém, coligado aos objetivos econômico-corporativos imediatos de reprodução de ampliação das fatias de lucro dos capitais particulares de que são portadores ou prepostos, os intelectuais orgânicos do capital, como elementos destacados que simultaneamente criam, expressam e dão homogeneidade ao desenvolvimento da consciência de classe burguesa, trabalham em direção à superação dialética do momento meramente corporativo, incorporando-o, mas elevando-o a um momento ético-político, isto é, hegemônico, organizando as frações de classes a qual pertencem ou aderem com vistas à disseminação </w:t>
      </w:r>
      <w:r w:rsidR="00CA37CD">
        <w:rPr>
          <w:rFonts w:ascii="Times New Roman" w:hAnsi="Times New Roman"/>
          <w:sz w:val="24"/>
          <w:szCs w:val="24"/>
        </w:rPr>
        <w:t>da</w:t>
      </w:r>
      <w:r>
        <w:rPr>
          <w:rFonts w:ascii="Times New Roman" w:hAnsi="Times New Roman"/>
          <w:sz w:val="24"/>
          <w:szCs w:val="24"/>
        </w:rPr>
        <w:t xml:space="preserve"> sociabilidade do capital para o conjunto do corpo social.</w:t>
      </w:r>
    </w:p>
    <w:p w:rsidR="00582426" w:rsidRPr="004857DE" w:rsidRDefault="00582426" w:rsidP="00582426">
      <w:pPr>
        <w:spacing w:line="360" w:lineRule="auto"/>
        <w:jc w:val="both"/>
        <w:rPr>
          <w:rFonts w:ascii="Times New Roman" w:hAnsi="Times New Roman"/>
          <w:sz w:val="24"/>
          <w:szCs w:val="24"/>
        </w:rPr>
      </w:pPr>
      <w:r>
        <w:tab/>
      </w:r>
      <w:r>
        <w:rPr>
          <w:rFonts w:ascii="Times New Roman" w:hAnsi="Times New Roman"/>
          <w:sz w:val="24"/>
          <w:szCs w:val="24"/>
        </w:rPr>
        <w:t>As reflexões teóricas trazidas sobre o Estado integral e a função dos intelectuais orgânicos do capital ligam-se estreitamente aos procedimentos teóricos e metodológicos de pesquisa. A</w:t>
      </w:r>
      <w:r w:rsidRPr="004857DE">
        <w:rPr>
          <w:rFonts w:ascii="Times New Roman" w:hAnsi="Times New Roman"/>
          <w:sz w:val="24"/>
          <w:szCs w:val="24"/>
        </w:rPr>
        <w:t xml:space="preserve"> metodologia adotada na tese foi tributária da contribuição dada pela Profª Sonia Regina de Mendonça, a qual expõe didaticamente os rumos a serem traçados por uma pesquisa calcada nos pressupostos teóricos de Antônio Gramsci:</w:t>
      </w:r>
    </w:p>
    <w:p w:rsidR="00582426" w:rsidRDefault="00582426" w:rsidP="00582426">
      <w:pPr>
        <w:pStyle w:val="Corpodetexto"/>
        <w:spacing w:after="240"/>
        <w:ind w:left="2340"/>
        <w:rPr>
          <w:sz w:val="20"/>
        </w:rPr>
      </w:pPr>
      <w:r w:rsidRPr="00FE315E">
        <w:rPr>
          <w:sz w:val="20"/>
        </w:rPr>
        <w:t>Cabe ao pesquisador verificar quem são os atores integrantes desses sujeitos coletivos organizados, bem como a que classe ou fração encontram-se organicamente vinculados e, sobretudo, o que estão disputando junto a cada uma das agências do Estado restrito, sem jamais perder de vista que a Sociedade Civil e Sociedade Política encontram-se em permanente inter</w:t>
      </w:r>
      <w:r>
        <w:rPr>
          <w:sz w:val="20"/>
        </w:rPr>
        <w:t>-r</w:t>
      </w:r>
      <w:r w:rsidRPr="00FE315E">
        <w:rPr>
          <w:sz w:val="20"/>
        </w:rPr>
        <w:t>elação. Pensar o Estado significa, portanto, verificar, a cada momento histórico, o eixo central que organiza e articula a Sociedade Civil enquanto matriz produtiva e, ao mesmo tempo, como tais modalidades de organização se articulam no e pelo Estado restrito, o que só pode ser apreendido mediante estudo do conjunto de seus agentes e práticas</w:t>
      </w:r>
      <w:r>
        <w:rPr>
          <w:sz w:val="20"/>
        </w:rPr>
        <w:t>.</w:t>
      </w:r>
      <w:r>
        <w:rPr>
          <w:rStyle w:val="Refdenotaderodap"/>
          <w:sz w:val="20"/>
        </w:rPr>
        <w:footnoteReference w:id="16"/>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Um estudo do CDES a partir de uma análise gramsciana implicou em </w:t>
      </w:r>
      <w:r w:rsidRPr="00C971A8">
        <w:rPr>
          <w:rFonts w:ascii="Times New Roman" w:hAnsi="Times New Roman"/>
          <w:sz w:val="24"/>
          <w:szCs w:val="24"/>
        </w:rPr>
        <w:t>identificar os agentes (intelectuais orgânicos) do empresariado (ou de seus prepostos) no interior do Conselho</w:t>
      </w:r>
      <w:r>
        <w:rPr>
          <w:rFonts w:ascii="Times New Roman" w:hAnsi="Times New Roman"/>
          <w:sz w:val="24"/>
          <w:szCs w:val="24"/>
        </w:rPr>
        <w:t>, em mapear a rede de</w:t>
      </w:r>
      <w:r w:rsidRPr="000A5436">
        <w:rPr>
          <w:rFonts w:ascii="Times New Roman" w:hAnsi="Times New Roman"/>
          <w:sz w:val="24"/>
          <w:szCs w:val="24"/>
        </w:rPr>
        <w:t xml:space="preserve"> aparelhos privados de hegemonia empresariais </w:t>
      </w:r>
      <w:r w:rsidR="00E12905">
        <w:rPr>
          <w:rFonts w:ascii="Times New Roman" w:hAnsi="Times New Roman"/>
          <w:sz w:val="24"/>
          <w:szCs w:val="24"/>
        </w:rPr>
        <w:t>de que fazem parte</w:t>
      </w:r>
      <w:r>
        <w:rPr>
          <w:rFonts w:ascii="Times New Roman" w:hAnsi="Times New Roman"/>
          <w:sz w:val="24"/>
          <w:szCs w:val="24"/>
        </w:rPr>
        <w:t xml:space="preserve">, em investigar na sociedade civil alguns programas </w:t>
      </w:r>
      <w:r w:rsidR="00E12905">
        <w:rPr>
          <w:rFonts w:ascii="Times New Roman" w:hAnsi="Times New Roman"/>
          <w:sz w:val="24"/>
          <w:szCs w:val="24"/>
        </w:rPr>
        <w:t xml:space="preserve">ou mesmo </w:t>
      </w:r>
      <w:r w:rsidRPr="000A5436">
        <w:rPr>
          <w:rFonts w:ascii="Times New Roman" w:hAnsi="Times New Roman"/>
          <w:sz w:val="24"/>
          <w:szCs w:val="24"/>
        </w:rPr>
        <w:t xml:space="preserve">projetos de hegemonia de </w:t>
      </w:r>
      <w:r>
        <w:rPr>
          <w:rFonts w:ascii="Times New Roman" w:hAnsi="Times New Roman"/>
          <w:sz w:val="24"/>
          <w:szCs w:val="24"/>
        </w:rPr>
        <w:t xml:space="preserve">que são portadores, em acompanhar seu papel </w:t>
      </w:r>
      <w:r w:rsidRPr="00C971A8">
        <w:rPr>
          <w:rFonts w:ascii="Times New Roman" w:hAnsi="Times New Roman"/>
          <w:sz w:val="24"/>
          <w:szCs w:val="24"/>
        </w:rPr>
        <w:t xml:space="preserve">de </w:t>
      </w:r>
      <w:r>
        <w:rPr>
          <w:rFonts w:ascii="Times New Roman" w:hAnsi="Times New Roman"/>
          <w:sz w:val="24"/>
          <w:szCs w:val="24"/>
        </w:rPr>
        <w:t xml:space="preserve">divulgadorese “persuasores permanentes” </w:t>
      </w:r>
      <w:r w:rsidRPr="00C971A8">
        <w:rPr>
          <w:rFonts w:ascii="Times New Roman" w:hAnsi="Times New Roman"/>
          <w:sz w:val="24"/>
          <w:szCs w:val="24"/>
        </w:rPr>
        <w:t>d</w:t>
      </w:r>
      <w:r>
        <w:rPr>
          <w:rFonts w:ascii="Times New Roman" w:hAnsi="Times New Roman"/>
          <w:sz w:val="24"/>
          <w:szCs w:val="24"/>
        </w:rPr>
        <w:t xml:space="preserve">as pautas de sua fração de classe </w:t>
      </w:r>
      <w:r w:rsidR="00A574EE">
        <w:rPr>
          <w:rFonts w:ascii="Times New Roman" w:hAnsi="Times New Roman"/>
          <w:sz w:val="24"/>
          <w:szCs w:val="24"/>
        </w:rPr>
        <w:t>n</w:t>
      </w:r>
      <w:r w:rsidR="00CA37CD">
        <w:rPr>
          <w:rFonts w:ascii="Times New Roman" w:hAnsi="Times New Roman"/>
          <w:sz w:val="24"/>
          <w:szCs w:val="24"/>
        </w:rPr>
        <w:t>o</w:t>
      </w:r>
      <w:r>
        <w:rPr>
          <w:rFonts w:ascii="Times New Roman" w:hAnsi="Times New Roman"/>
          <w:sz w:val="24"/>
          <w:szCs w:val="24"/>
        </w:rPr>
        <w:t xml:space="preserve"> CDES. No último caso, as demandas empresariais foram analisadas tanto por meio da documentação produzida pelo próprio Conselho (Atas das reuniões plenárias, Relatórios de Grupos de Trabalho, Relatórios de reuniões de monitoramento conjuntural da economia, Pareceres de observação, dentre outros documentos), quanto por documentos publicados pelas entidades patronais (IEDI, FIEP, </w:t>
      </w:r>
      <w:r w:rsidR="000834BC">
        <w:rPr>
          <w:rFonts w:ascii="Times New Roman" w:hAnsi="Times New Roman"/>
          <w:sz w:val="24"/>
          <w:szCs w:val="24"/>
        </w:rPr>
        <w:t>FIESP</w:t>
      </w:r>
      <w:r>
        <w:rPr>
          <w:rFonts w:ascii="Times New Roman" w:hAnsi="Times New Roman"/>
          <w:sz w:val="24"/>
          <w:szCs w:val="24"/>
        </w:rPr>
        <w:t>, CNI, FEBRABAN, dentre outras), esses em menor escala.</w:t>
      </w:r>
    </w:p>
    <w:p w:rsidR="00582426" w:rsidRDefault="00582426" w:rsidP="00582426">
      <w:pPr>
        <w:spacing w:after="0" w:line="360" w:lineRule="auto"/>
        <w:ind w:firstLine="708"/>
        <w:jc w:val="both"/>
        <w:rPr>
          <w:rFonts w:ascii="Times New Roman" w:hAnsi="Times New Roman"/>
          <w:sz w:val="24"/>
          <w:szCs w:val="24"/>
        </w:rPr>
      </w:pPr>
    </w:p>
    <w:p w:rsidR="00582426" w:rsidRDefault="00582426" w:rsidP="00582426">
      <w:pPr>
        <w:tabs>
          <w:tab w:val="left" w:pos="0"/>
        </w:tabs>
        <w:spacing w:line="360" w:lineRule="auto"/>
        <w:jc w:val="both"/>
        <w:rPr>
          <w:rFonts w:ascii="Times New Roman" w:hAnsi="Times New Roman"/>
          <w:b/>
          <w:sz w:val="24"/>
          <w:szCs w:val="24"/>
        </w:rPr>
      </w:pPr>
      <w:r>
        <w:rPr>
          <w:rFonts w:ascii="Times New Roman" w:hAnsi="Times New Roman"/>
          <w:b/>
          <w:sz w:val="24"/>
          <w:szCs w:val="24"/>
        </w:rPr>
        <w:t>O estado atual da questão</w:t>
      </w:r>
    </w:p>
    <w:p w:rsidR="00582426" w:rsidRDefault="00582426" w:rsidP="00582426">
      <w:pPr>
        <w:tabs>
          <w:tab w:val="left" w:pos="0"/>
        </w:tabs>
        <w:spacing w:after="0" w:line="360" w:lineRule="auto"/>
        <w:jc w:val="both"/>
        <w:rPr>
          <w:rFonts w:ascii="Times New Roman" w:hAnsi="Times New Roman"/>
          <w:sz w:val="24"/>
          <w:szCs w:val="24"/>
        </w:rPr>
      </w:pPr>
      <w:r>
        <w:rPr>
          <w:rFonts w:ascii="Times New Roman" w:hAnsi="Times New Roman"/>
          <w:sz w:val="24"/>
          <w:szCs w:val="24"/>
        </w:rPr>
        <w:tab/>
      </w:r>
      <w:r w:rsidRPr="00340412">
        <w:rPr>
          <w:rFonts w:ascii="Times New Roman" w:hAnsi="Times New Roman"/>
          <w:sz w:val="24"/>
          <w:szCs w:val="24"/>
        </w:rPr>
        <w:t xml:space="preserve">Um estudo sobre os autores que produziram trabalhos relevantes sobre o CDES mostra que existem, grosso modo, duas abordagens predominantes e complementares: </w:t>
      </w:r>
      <w:r>
        <w:rPr>
          <w:rFonts w:ascii="Times New Roman" w:hAnsi="Times New Roman"/>
          <w:sz w:val="24"/>
          <w:szCs w:val="24"/>
        </w:rPr>
        <w:t>a de filiação neoinstitucionalista,</w:t>
      </w:r>
      <w:r>
        <w:rPr>
          <w:rStyle w:val="Refdenotaderodap"/>
          <w:rFonts w:ascii="Times New Roman" w:hAnsi="Times New Roman"/>
          <w:sz w:val="24"/>
          <w:szCs w:val="24"/>
        </w:rPr>
        <w:footnoteReference w:id="17"/>
      </w:r>
      <w:r w:rsidRPr="00340412">
        <w:rPr>
          <w:rFonts w:ascii="Times New Roman" w:hAnsi="Times New Roman"/>
          <w:sz w:val="24"/>
          <w:szCs w:val="24"/>
        </w:rPr>
        <w:t xml:space="preserve"> que enfatiza a importância do Conselho </w:t>
      </w:r>
      <w:r>
        <w:rPr>
          <w:rFonts w:ascii="Times New Roman" w:hAnsi="Times New Roman"/>
          <w:sz w:val="24"/>
          <w:szCs w:val="24"/>
        </w:rPr>
        <w:t>como arranjo institucional alternativo à “governança” ou à “regulação” neoliberal, voltado à “cooperação” e “coordenação de conflitos” entre os atores sociais. Outra</w:t>
      </w:r>
      <w:r w:rsidRPr="00340412">
        <w:rPr>
          <w:rFonts w:ascii="Times New Roman" w:hAnsi="Times New Roman"/>
          <w:sz w:val="24"/>
          <w:szCs w:val="24"/>
        </w:rPr>
        <w:t xml:space="preserve"> que destaca sua virtude “conciliadora” e “contratualista” entre os segmentos que o compõem, </w:t>
      </w:r>
      <w:r>
        <w:rPr>
          <w:rFonts w:ascii="Times New Roman" w:hAnsi="Times New Roman"/>
          <w:sz w:val="24"/>
          <w:szCs w:val="24"/>
        </w:rPr>
        <w:t>recuperando as</w:t>
      </w:r>
      <w:r w:rsidRPr="00340412">
        <w:rPr>
          <w:rFonts w:ascii="Times New Roman" w:hAnsi="Times New Roman"/>
          <w:sz w:val="24"/>
          <w:szCs w:val="24"/>
        </w:rPr>
        <w:t xml:space="preserve"> tradições do PT e aspirações de entidades da </w:t>
      </w:r>
      <w:r>
        <w:rPr>
          <w:rFonts w:ascii="Times New Roman" w:hAnsi="Times New Roman"/>
          <w:sz w:val="24"/>
          <w:szCs w:val="24"/>
        </w:rPr>
        <w:t>sociedade civil por participar d</w:t>
      </w:r>
      <w:r w:rsidRPr="00340412">
        <w:rPr>
          <w:rFonts w:ascii="Times New Roman" w:hAnsi="Times New Roman"/>
          <w:sz w:val="24"/>
          <w:szCs w:val="24"/>
        </w:rPr>
        <w:t>o</w:t>
      </w:r>
      <w:r w:rsidR="00A574EE">
        <w:rPr>
          <w:rFonts w:ascii="Times New Roman" w:hAnsi="Times New Roman"/>
          <w:sz w:val="24"/>
          <w:szCs w:val="24"/>
        </w:rPr>
        <w:t xml:space="preserve"> processo decisório necessário à</w:t>
      </w:r>
      <w:r w:rsidRPr="00340412">
        <w:rPr>
          <w:rFonts w:ascii="Times New Roman" w:hAnsi="Times New Roman"/>
          <w:sz w:val="24"/>
          <w:szCs w:val="24"/>
        </w:rPr>
        <w:t xml:space="preserve"> construção de um projeto de “desenvolvimento” para o país.</w:t>
      </w:r>
    </w:p>
    <w:p w:rsidR="00582426" w:rsidRDefault="00582426" w:rsidP="00582426">
      <w:pPr>
        <w:tabs>
          <w:tab w:val="left" w:pos="0"/>
        </w:tabs>
        <w:spacing w:after="0" w:line="360" w:lineRule="auto"/>
        <w:jc w:val="both"/>
        <w:rPr>
          <w:rFonts w:ascii="Times New Roman" w:hAnsi="Times New Roman"/>
          <w:sz w:val="24"/>
          <w:szCs w:val="24"/>
        </w:rPr>
      </w:pPr>
      <w:r>
        <w:rPr>
          <w:rFonts w:ascii="Times New Roman" w:hAnsi="Times New Roman"/>
          <w:sz w:val="24"/>
          <w:szCs w:val="24"/>
        </w:rPr>
        <w:tab/>
      </w:r>
      <w:r w:rsidRPr="00340412">
        <w:rPr>
          <w:rFonts w:ascii="Times New Roman" w:hAnsi="Times New Roman"/>
          <w:sz w:val="24"/>
          <w:szCs w:val="24"/>
        </w:rPr>
        <w:t xml:space="preserve"> Não existem separações rígidas entre as duas abordagens, mas diferenças de enfoque. Ambas defendem que o CDES inaugur</w:t>
      </w:r>
      <w:r>
        <w:rPr>
          <w:rFonts w:ascii="Times New Roman" w:hAnsi="Times New Roman"/>
          <w:sz w:val="24"/>
          <w:szCs w:val="24"/>
        </w:rPr>
        <w:t>ou</w:t>
      </w:r>
      <w:r w:rsidRPr="00340412">
        <w:rPr>
          <w:rFonts w:ascii="Times New Roman" w:hAnsi="Times New Roman"/>
          <w:sz w:val="24"/>
          <w:szCs w:val="24"/>
        </w:rPr>
        <w:t xml:space="preserve"> uma nova r</w:t>
      </w:r>
      <w:r w:rsidR="005762F3">
        <w:rPr>
          <w:rFonts w:ascii="Times New Roman" w:hAnsi="Times New Roman"/>
          <w:sz w:val="24"/>
          <w:szCs w:val="24"/>
        </w:rPr>
        <w:t>elação entre Estado e Sociedade</w:t>
      </w:r>
      <w:r w:rsidRPr="00340412">
        <w:rPr>
          <w:rFonts w:ascii="Times New Roman" w:hAnsi="Times New Roman"/>
          <w:sz w:val="24"/>
          <w:szCs w:val="24"/>
        </w:rPr>
        <w:t xml:space="preserve"> a partir da participação de variadas e poliformes entidades da sociedade civil em seu interior. A hipótese de “democratização do Estado</w:t>
      </w:r>
      <w:r>
        <w:rPr>
          <w:rFonts w:ascii="Times New Roman" w:hAnsi="Times New Roman"/>
          <w:sz w:val="24"/>
          <w:szCs w:val="24"/>
        </w:rPr>
        <w:t>” que ele supostamente aprofundou</w:t>
      </w:r>
      <w:r w:rsidRPr="00340412">
        <w:rPr>
          <w:rFonts w:ascii="Times New Roman" w:hAnsi="Times New Roman"/>
          <w:sz w:val="24"/>
          <w:szCs w:val="24"/>
        </w:rPr>
        <w:t xml:space="preserve"> é também compartilhada por boa parte desta literatura, sendo recorrente </w:t>
      </w:r>
      <w:r w:rsidR="005762F3">
        <w:rPr>
          <w:rFonts w:ascii="Times New Roman" w:hAnsi="Times New Roman"/>
          <w:sz w:val="24"/>
          <w:szCs w:val="24"/>
        </w:rPr>
        <w:t xml:space="preserve">à alusão quanto ao seu papel de </w:t>
      </w:r>
      <w:r w:rsidRPr="00340412">
        <w:rPr>
          <w:rFonts w:ascii="Times New Roman" w:hAnsi="Times New Roman"/>
          <w:sz w:val="24"/>
          <w:szCs w:val="24"/>
        </w:rPr>
        <w:t>enfrentamento à tradição autoritária e patrimonialista do Estado no Brasil</w:t>
      </w:r>
      <w:r>
        <w:rPr>
          <w:rFonts w:ascii="Times New Roman" w:hAnsi="Times New Roman"/>
          <w:sz w:val="24"/>
          <w:szCs w:val="24"/>
        </w:rPr>
        <w:t xml:space="preserve">. </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Muito revelador, no entanto, é o fato de que quase todos os analistas e pesquisadores sobre o Conselho não somente ratificam esta </w:t>
      </w:r>
      <w:r>
        <w:rPr>
          <w:rFonts w:ascii="Times New Roman" w:hAnsi="Times New Roman"/>
          <w:i/>
          <w:sz w:val="24"/>
          <w:szCs w:val="24"/>
        </w:rPr>
        <w:t>raison d’être</w:t>
      </w:r>
      <w:r>
        <w:rPr>
          <w:rFonts w:ascii="Times New Roman" w:hAnsi="Times New Roman"/>
          <w:sz w:val="24"/>
          <w:szCs w:val="24"/>
        </w:rPr>
        <w:t xml:space="preserve"> como também lhe oferecem um arsenal explicativo legitimador. Abraçando com vigor a hipótese de que estaríamos presenciando a construção de uma “democratização da democracia” no Brasil, o CDES representaria, para muitos autores, um avanço institucional inegável das formas participativas e de coesão social. Os entendimentos de como e por que surgiu o CDES e o seu papel no cenário político-democrático inaugurado no início do século XXI apresentam cores bem definidas e próximas umas às outras.</w:t>
      </w:r>
    </w:p>
    <w:p w:rsidR="00582426" w:rsidRDefault="00F62AB1" w:rsidP="00582426">
      <w:pPr>
        <w:spacing w:after="0" w:line="360" w:lineRule="auto"/>
        <w:ind w:firstLine="708"/>
        <w:jc w:val="both"/>
        <w:rPr>
          <w:rFonts w:ascii="Times New Roman" w:hAnsi="Times New Roman"/>
          <w:sz w:val="24"/>
          <w:szCs w:val="24"/>
        </w:rPr>
      </w:pPr>
      <w:r>
        <w:rPr>
          <w:rFonts w:ascii="Times New Roman" w:hAnsi="Times New Roman"/>
          <w:sz w:val="24"/>
          <w:szCs w:val="24"/>
        </w:rPr>
        <w:t>O</w:t>
      </w:r>
      <w:r w:rsidR="00582426">
        <w:rPr>
          <w:rFonts w:ascii="Times New Roman" w:hAnsi="Times New Roman"/>
          <w:sz w:val="24"/>
          <w:szCs w:val="24"/>
        </w:rPr>
        <w:t xml:space="preserve"> balanço dos autores a que nos propomos realizar não </w:t>
      </w:r>
      <w:r>
        <w:rPr>
          <w:rFonts w:ascii="Times New Roman" w:hAnsi="Times New Roman"/>
          <w:sz w:val="24"/>
          <w:szCs w:val="24"/>
        </w:rPr>
        <w:t>se pretende</w:t>
      </w:r>
      <w:r w:rsidR="00582426">
        <w:rPr>
          <w:rFonts w:ascii="Times New Roman" w:hAnsi="Times New Roman"/>
          <w:sz w:val="24"/>
          <w:szCs w:val="24"/>
        </w:rPr>
        <w:t xml:space="preserve"> exaustivo. Existem outros autores que não serão objeto de nossas considerações</w:t>
      </w:r>
      <w:r>
        <w:rPr>
          <w:rFonts w:ascii="Times New Roman" w:hAnsi="Times New Roman"/>
          <w:sz w:val="24"/>
          <w:szCs w:val="24"/>
        </w:rPr>
        <w:t>,</w:t>
      </w:r>
      <w:r w:rsidR="00582426">
        <w:rPr>
          <w:rFonts w:ascii="Times New Roman" w:hAnsi="Times New Roman"/>
          <w:sz w:val="24"/>
          <w:szCs w:val="24"/>
        </w:rPr>
        <w:t xml:space="preserve"> muito</w:t>
      </w:r>
      <w:r>
        <w:rPr>
          <w:rFonts w:ascii="Times New Roman" w:hAnsi="Times New Roman"/>
          <w:sz w:val="24"/>
          <w:szCs w:val="24"/>
        </w:rPr>
        <w:t>spor repetirem</w:t>
      </w:r>
      <w:r w:rsidR="00582426">
        <w:rPr>
          <w:rFonts w:ascii="Times New Roman" w:hAnsi="Times New Roman"/>
          <w:sz w:val="24"/>
          <w:szCs w:val="24"/>
        </w:rPr>
        <w:t xml:space="preserve"> pressupostos metodológicos</w:t>
      </w:r>
      <w:r>
        <w:rPr>
          <w:rFonts w:ascii="Times New Roman" w:hAnsi="Times New Roman"/>
          <w:sz w:val="24"/>
          <w:szCs w:val="24"/>
        </w:rPr>
        <w:t xml:space="preserve"> e, sobretudo fontes, pois com</w:t>
      </w:r>
      <w:r w:rsidR="00582426">
        <w:rPr>
          <w:rFonts w:ascii="Times New Roman" w:hAnsi="Times New Roman"/>
          <w:sz w:val="24"/>
          <w:szCs w:val="24"/>
        </w:rPr>
        <w:t xml:space="preserve">partilham com a mesma visão político-ideológica e, deste modo, elaboram uma visão quase alegórica do Conselho. Os que apresentaremos e analisaremos contribuíram, cada qual a seu modo, com uma interpretação particular e original sobre o CDES: são reconhecidos e experientes professores e pesquisadores acadêmicos e de modo algum a curta e pontual exposição que faremos de suas </w:t>
      </w:r>
      <w:r w:rsidR="00582426">
        <w:rPr>
          <w:rFonts w:ascii="Times New Roman" w:hAnsi="Times New Roman"/>
          <w:i/>
          <w:sz w:val="24"/>
          <w:szCs w:val="24"/>
        </w:rPr>
        <w:t xml:space="preserve">principais </w:t>
      </w:r>
      <w:r w:rsidR="00582426">
        <w:rPr>
          <w:rFonts w:ascii="Times New Roman" w:hAnsi="Times New Roman"/>
          <w:sz w:val="24"/>
          <w:szCs w:val="24"/>
        </w:rPr>
        <w:t xml:space="preserve">considerações sobre o Conselho </w:t>
      </w:r>
      <w:r>
        <w:rPr>
          <w:rFonts w:ascii="Times New Roman" w:hAnsi="Times New Roman"/>
          <w:sz w:val="24"/>
          <w:szCs w:val="24"/>
        </w:rPr>
        <w:t xml:space="preserve">esgota </w:t>
      </w:r>
      <w:r w:rsidR="00582426">
        <w:rPr>
          <w:rFonts w:ascii="Times New Roman" w:hAnsi="Times New Roman"/>
          <w:sz w:val="24"/>
          <w:szCs w:val="24"/>
        </w:rPr>
        <w:t xml:space="preserve">o conjunto de suas obras, obviamente. </w:t>
      </w:r>
      <w:r>
        <w:rPr>
          <w:rFonts w:ascii="Times New Roman" w:hAnsi="Times New Roman"/>
          <w:sz w:val="24"/>
          <w:szCs w:val="24"/>
        </w:rPr>
        <w:t>Apenas um trabalho é de grande fôlego (tese de doutorado), os demais foram publicados sob forma de artigos.</w:t>
      </w:r>
    </w:p>
    <w:p w:rsidR="00582426" w:rsidRDefault="00582426" w:rsidP="00582426">
      <w:pPr>
        <w:spacing w:line="360" w:lineRule="auto"/>
        <w:ind w:firstLine="708"/>
        <w:jc w:val="both"/>
        <w:rPr>
          <w:rFonts w:ascii="Times New Roman" w:hAnsi="Times New Roman"/>
          <w:sz w:val="24"/>
          <w:szCs w:val="24"/>
        </w:rPr>
      </w:pPr>
      <w:r>
        <w:rPr>
          <w:rFonts w:ascii="Times New Roman" w:hAnsi="Times New Roman"/>
          <w:sz w:val="24"/>
          <w:szCs w:val="24"/>
        </w:rPr>
        <w:t>Considerando que nossa pesquisa e análise acerca do CDES procura</w:t>
      </w:r>
      <w:r w:rsidR="002553C6">
        <w:rPr>
          <w:rFonts w:ascii="Times New Roman" w:hAnsi="Times New Roman"/>
          <w:sz w:val="24"/>
          <w:szCs w:val="24"/>
        </w:rPr>
        <w:t>m</w:t>
      </w:r>
      <w:r>
        <w:rPr>
          <w:rFonts w:ascii="Times New Roman" w:hAnsi="Times New Roman"/>
          <w:sz w:val="24"/>
          <w:szCs w:val="24"/>
        </w:rPr>
        <w:t xml:space="preserve"> caminhos muito diversos e, de certa forma, tentam responder às questões colocadas pelos autores em outro patamar, inserindo-o num âmbito de relações sociais e de poder mais amplas, filiadas ao marxismo gramsciano, e, outrossim, considerando que os autores, mesmo por caminhos teóricos e metodológicos diferenciados, mobilizam e realçam argumentos bastante similares </w:t>
      </w:r>
      <w:r>
        <w:rPr>
          <w:rFonts w:ascii="Times New Roman" w:hAnsi="Times New Roman"/>
          <w:i/>
          <w:sz w:val="24"/>
          <w:szCs w:val="24"/>
        </w:rPr>
        <w:t xml:space="preserve">no que tange ao </w:t>
      </w:r>
      <w:r w:rsidRPr="00716D0A">
        <w:rPr>
          <w:rFonts w:ascii="Times New Roman" w:hAnsi="Times New Roman"/>
          <w:i/>
          <w:sz w:val="24"/>
          <w:szCs w:val="24"/>
        </w:rPr>
        <w:t>papel do CDES na configuração da “democracia participativa e deliberativa”</w:t>
      </w:r>
      <w:r w:rsidR="005762F3">
        <w:rPr>
          <w:rFonts w:ascii="Times New Roman" w:hAnsi="Times New Roman"/>
          <w:sz w:val="24"/>
          <w:szCs w:val="24"/>
        </w:rPr>
        <w:t xml:space="preserve"> no Brasil, à</w:t>
      </w:r>
      <w:r>
        <w:rPr>
          <w:rFonts w:ascii="Times New Roman" w:hAnsi="Times New Roman"/>
          <w:sz w:val="24"/>
          <w:szCs w:val="24"/>
        </w:rPr>
        <w:t xml:space="preserve"> exposição dos autores seguirá algumas considerações críticas</w:t>
      </w:r>
      <w:r w:rsidR="005762F3">
        <w:rPr>
          <w:rFonts w:ascii="Times New Roman" w:hAnsi="Times New Roman"/>
          <w:sz w:val="24"/>
          <w:szCs w:val="24"/>
        </w:rPr>
        <w:t xml:space="preserve"> que pretendem apontaro distanciamento dessa literatura </w:t>
      </w:r>
      <w:r>
        <w:rPr>
          <w:rFonts w:ascii="Times New Roman" w:hAnsi="Times New Roman"/>
          <w:sz w:val="24"/>
          <w:szCs w:val="24"/>
        </w:rPr>
        <w:t xml:space="preserve">da nossa </w:t>
      </w:r>
      <w:r w:rsidR="005762F3">
        <w:rPr>
          <w:rFonts w:ascii="Times New Roman" w:hAnsi="Times New Roman"/>
          <w:sz w:val="24"/>
          <w:szCs w:val="24"/>
        </w:rPr>
        <w:t>proposta pesquisa</w:t>
      </w:r>
      <w:r>
        <w:rPr>
          <w:rFonts w:ascii="Times New Roman" w:hAnsi="Times New Roman"/>
          <w:sz w:val="24"/>
          <w:szCs w:val="24"/>
        </w:rPr>
        <w:t>.</w:t>
      </w:r>
    </w:p>
    <w:p w:rsidR="00582426" w:rsidRPr="00060058" w:rsidRDefault="00582426" w:rsidP="00582426">
      <w:pPr>
        <w:tabs>
          <w:tab w:val="left" w:pos="0"/>
        </w:tabs>
        <w:spacing w:after="0" w:line="360" w:lineRule="auto"/>
        <w:jc w:val="both"/>
        <w:rPr>
          <w:rFonts w:ascii="Times New Roman" w:hAnsi="Times New Roman"/>
          <w:b/>
          <w:sz w:val="24"/>
          <w:szCs w:val="24"/>
        </w:rPr>
      </w:pPr>
      <w:r w:rsidRPr="00060058">
        <w:rPr>
          <w:rFonts w:ascii="Times New Roman" w:hAnsi="Times New Roman"/>
          <w:b/>
          <w:sz w:val="24"/>
          <w:szCs w:val="24"/>
        </w:rPr>
        <w:t>Os neoinstitucionalistas</w:t>
      </w:r>
    </w:p>
    <w:p w:rsidR="00582426" w:rsidRDefault="00582426" w:rsidP="00582426">
      <w:pPr>
        <w:spacing w:after="0" w:line="360" w:lineRule="auto"/>
        <w:jc w:val="both"/>
        <w:rPr>
          <w:rFonts w:ascii="Times New Roman" w:hAnsi="Times New Roman"/>
          <w:sz w:val="24"/>
          <w:szCs w:val="24"/>
        </w:rPr>
      </w:pPr>
      <w:r>
        <w:tab/>
      </w:r>
      <w:r>
        <w:rPr>
          <w:rFonts w:ascii="Times New Roman" w:hAnsi="Times New Roman"/>
          <w:sz w:val="24"/>
          <w:szCs w:val="24"/>
        </w:rPr>
        <w:t xml:space="preserve">Seguindo a trilha do neoinstitucionalismo, Jorge Tápia (2007) traça duas hipóteses para analisar a trajetória do CDES, desde sua criação às vicissitudes surgidas em razão da construção da Agenda Nacional de Desenvolvimento (AND). </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A primeira diz respeito à adoção de seu corpo teórico. O estudo da experiência do CDES poderia ser entendido à luz das diferentes configurações institucionais nas sociedades capitalistas (variedades de capitalismo) e das formas de governança ou regulação alternativa ao modelo neoliberal (regulação coordenada) calcadas em estilos decisórios e de negociação fundados em instituições cuja dinâmica produz diagnósticos, propostas e mesmos acordos, auxiliando a formação de coalizões de apoio.</w:t>
      </w:r>
      <w:r>
        <w:rPr>
          <w:rStyle w:val="Refdenotaderodap"/>
          <w:rFonts w:ascii="Times New Roman" w:hAnsi="Times New Roman"/>
          <w:sz w:val="24"/>
          <w:szCs w:val="24"/>
        </w:rPr>
        <w:footnoteReference w:id="18"/>
      </w:r>
    </w:p>
    <w:p w:rsidR="00582426" w:rsidRDefault="00582426" w:rsidP="00582426">
      <w:pPr>
        <w:spacing w:after="0" w:line="360" w:lineRule="auto"/>
        <w:ind w:firstLine="708"/>
        <w:jc w:val="both"/>
        <w:rPr>
          <w:rFonts w:ascii="Times New Roman" w:hAnsi="Times New Roman"/>
          <w:sz w:val="24"/>
          <w:szCs w:val="24"/>
        </w:rPr>
      </w:pPr>
      <w:r w:rsidRPr="001147F4">
        <w:rPr>
          <w:rFonts w:ascii="Times New Roman" w:hAnsi="Times New Roman"/>
          <w:sz w:val="24"/>
          <w:szCs w:val="24"/>
        </w:rPr>
        <w:t>Segundo o autor, o programa de pesquisa de variedades de capitalismo ambiciona desvendar os fundamentos institucionais das diferenças nacionais entre o capitalismo. “Trata-se de compreender como as instituições afetam diferentes desempenhos e trajetórias do capitalismo” e de como estruturam suas “vantagens comparativas”</w:t>
      </w:r>
      <w:r>
        <w:rPr>
          <w:rFonts w:ascii="Times New Roman" w:hAnsi="Times New Roman"/>
          <w:sz w:val="24"/>
          <w:szCs w:val="24"/>
        </w:rPr>
        <w:t>, que articulam interesses públicos e privados</w:t>
      </w:r>
      <w:r w:rsidR="004B73DC">
        <w:rPr>
          <w:rFonts w:ascii="Times New Roman" w:hAnsi="Times New Roman"/>
          <w:sz w:val="24"/>
          <w:szCs w:val="24"/>
        </w:rPr>
        <w:t>.</w:t>
      </w:r>
      <w:r>
        <w:rPr>
          <w:rStyle w:val="Refdenotaderodap"/>
          <w:rFonts w:ascii="Times New Roman" w:hAnsi="Times New Roman"/>
          <w:sz w:val="24"/>
          <w:szCs w:val="24"/>
        </w:rPr>
        <w:footnoteReference w:id="19"/>
      </w:r>
      <w:r>
        <w:rPr>
          <w:rFonts w:ascii="Times New Roman" w:hAnsi="Times New Roman"/>
          <w:sz w:val="24"/>
          <w:szCs w:val="24"/>
        </w:rPr>
        <w:t>O autor refuta abordagens funcionalistas, as quais consideram que “as instituições se justificariam pelos benefícios oferecidos aos atores envolvidos na sua criação”</w:t>
      </w:r>
      <w:r w:rsidR="004B73DC">
        <w:rPr>
          <w:rFonts w:ascii="Times New Roman" w:hAnsi="Times New Roman"/>
          <w:sz w:val="24"/>
          <w:szCs w:val="24"/>
        </w:rPr>
        <w:t>.</w:t>
      </w:r>
      <w:r w:rsidR="004B73DC">
        <w:rPr>
          <w:rStyle w:val="Refdenotaderodap"/>
          <w:rFonts w:ascii="Times New Roman" w:hAnsi="Times New Roman"/>
          <w:sz w:val="24"/>
          <w:szCs w:val="24"/>
        </w:rPr>
        <w:footnoteReference w:id="20"/>
      </w:r>
      <w:r>
        <w:rPr>
          <w:rFonts w:ascii="Times New Roman" w:hAnsi="Times New Roman"/>
          <w:sz w:val="24"/>
          <w:szCs w:val="24"/>
        </w:rPr>
        <w:t xml:space="preserve"> Ele prefere entender que “há uma lógica de ação que é interativa e adaptativa” onde os atores adaptam suas estratégias e as instituições aos seus interesses. </w:t>
      </w:r>
    </w:p>
    <w:p w:rsidR="00582426" w:rsidRPr="000A128C" w:rsidRDefault="00582426" w:rsidP="00582426">
      <w:pPr>
        <w:spacing w:line="240" w:lineRule="auto"/>
        <w:ind w:left="2268"/>
        <w:jc w:val="both"/>
        <w:rPr>
          <w:rFonts w:ascii="Times New Roman" w:hAnsi="Times New Roman"/>
          <w:sz w:val="20"/>
          <w:szCs w:val="20"/>
        </w:rPr>
      </w:pPr>
      <w:r w:rsidRPr="000A128C">
        <w:rPr>
          <w:rFonts w:ascii="Times New Roman" w:hAnsi="Times New Roman"/>
          <w:sz w:val="20"/>
          <w:szCs w:val="20"/>
        </w:rPr>
        <w:t>É preciso analisar as coalizões e interesses den</w:t>
      </w:r>
      <w:r>
        <w:rPr>
          <w:rFonts w:ascii="Times New Roman" w:hAnsi="Times New Roman"/>
          <w:sz w:val="20"/>
          <w:szCs w:val="20"/>
        </w:rPr>
        <w:t>t</w:t>
      </w:r>
      <w:r w:rsidRPr="000A128C">
        <w:rPr>
          <w:rFonts w:ascii="Times New Roman" w:hAnsi="Times New Roman"/>
          <w:sz w:val="20"/>
          <w:szCs w:val="20"/>
        </w:rPr>
        <w:t>ro das instituições e suas visões de mundo, e as condições da construção de uma visão comum negociada capaz de sustentar a adesão às estratégias cooperativas que não suprimem nem as assimetrias de poder, tampouco conflitos e disputas.</w:t>
      </w:r>
      <w:r w:rsidR="004B73DC">
        <w:rPr>
          <w:rStyle w:val="Refdenotaderodap"/>
          <w:rFonts w:ascii="Times New Roman" w:hAnsi="Times New Roman"/>
          <w:sz w:val="20"/>
          <w:szCs w:val="20"/>
        </w:rPr>
        <w:footnoteReference w:id="21"/>
      </w:r>
    </w:p>
    <w:p w:rsidR="00582426" w:rsidRDefault="00582426" w:rsidP="00582426">
      <w:pPr>
        <w:spacing w:after="0" w:line="360" w:lineRule="auto"/>
        <w:ind w:firstLine="708"/>
        <w:jc w:val="both"/>
        <w:rPr>
          <w:rFonts w:ascii="Times New Roman" w:hAnsi="Times New Roman"/>
          <w:sz w:val="24"/>
          <w:szCs w:val="24"/>
        </w:rPr>
      </w:pPr>
      <w:r w:rsidRPr="001147F4">
        <w:rPr>
          <w:rFonts w:ascii="Times New Roman" w:hAnsi="Times New Roman"/>
          <w:sz w:val="24"/>
          <w:szCs w:val="24"/>
        </w:rPr>
        <w:t>O axioma geral</w:t>
      </w:r>
      <w:r>
        <w:rPr>
          <w:rFonts w:ascii="Times New Roman" w:hAnsi="Times New Roman"/>
          <w:sz w:val="24"/>
          <w:szCs w:val="24"/>
        </w:rPr>
        <w:t>, de acordo com ele,</w:t>
      </w:r>
      <w:r w:rsidRPr="001147F4">
        <w:rPr>
          <w:rFonts w:ascii="Times New Roman" w:hAnsi="Times New Roman"/>
          <w:sz w:val="24"/>
          <w:szCs w:val="24"/>
        </w:rPr>
        <w:t xml:space="preserve"> é o de que persistem diferenças cruciais na maneira </w:t>
      </w:r>
      <w:r w:rsidR="004B73DC">
        <w:rPr>
          <w:rFonts w:ascii="Times New Roman" w:hAnsi="Times New Roman"/>
          <w:sz w:val="24"/>
          <w:szCs w:val="24"/>
        </w:rPr>
        <w:t xml:space="preserve">de </w:t>
      </w:r>
      <w:r w:rsidRPr="001147F4">
        <w:rPr>
          <w:rFonts w:ascii="Times New Roman" w:hAnsi="Times New Roman"/>
          <w:sz w:val="24"/>
          <w:szCs w:val="24"/>
        </w:rPr>
        <w:t>como as economias nacionais se organizam e há duas correntes de explicações para isto: uma que valoriza a dependência de trajetória (</w:t>
      </w:r>
      <w:r w:rsidRPr="001147F4">
        <w:rPr>
          <w:rFonts w:ascii="Times New Roman" w:hAnsi="Times New Roman"/>
          <w:i/>
          <w:sz w:val="24"/>
          <w:szCs w:val="24"/>
        </w:rPr>
        <w:t>path dependence)</w:t>
      </w:r>
      <w:r w:rsidRPr="001147F4">
        <w:rPr>
          <w:rFonts w:ascii="Times New Roman" w:hAnsi="Times New Roman"/>
          <w:sz w:val="24"/>
          <w:szCs w:val="24"/>
        </w:rPr>
        <w:t xml:space="preserve">, isto é, o peso dos arranjos institucionais prévios constrange o comportamento das instituições e dos atores sociais e outra que enfatiza as diferentes escolhas estratégicas </w:t>
      </w:r>
      <w:r>
        <w:rPr>
          <w:rFonts w:ascii="Times New Roman" w:hAnsi="Times New Roman"/>
          <w:sz w:val="24"/>
          <w:szCs w:val="24"/>
        </w:rPr>
        <w:t>destes atores</w:t>
      </w:r>
      <w:r w:rsidRPr="001147F4">
        <w:rPr>
          <w:rFonts w:ascii="Times New Roman" w:hAnsi="Times New Roman"/>
          <w:sz w:val="24"/>
          <w:szCs w:val="24"/>
        </w:rPr>
        <w:t xml:space="preserve"> na diversidade dos modelos de capitalismo e na mudança institucional. O autor </w:t>
      </w:r>
      <w:r>
        <w:rPr>
          <w:rFonts w:ascii="Times New Roman" w:hAnsi="Times New Roman"/>
          <w:sz w:val="24"/>
          <w:szCs w:val="24"/>
        </w:rPr>
        <w:t>se</w:t>
      </w:r>
      <w:r w:rsidRPr="001147F4">
        <w:rPr>
          <w:rFonts w:ascii="Times New Roman" w:hAnsi="Times New Roman"/>
          <w:sz w:val="24"/>
          <w:szCs w:val="24"/>
        </w:rPr>
        <w:t xml:space="preserve"> desvencilha da primeira corrente, assumindo que as instituições são “estruturas de oportunidades da perspectiva dos diferentes atores”, isto é, “os atores agem em diferentes instituições e, assim, constroem suas estratégias em função das oportunidades e contribuição das distintas instituições aos seus objetivos”.</w:t>
      </w:r>
      <w:r w:rsidR="004B73DC">
        <w:rPr>
          <w:rStyle w:val="Refdenotaderodap"/>
          <w:rFonts w:ascii="Times New Roman" w:hAnsi="Times New Roman"/>
          <w:sz w:val="24"/>
          <w:szCs w:val="24"/>
        </w:rPr>
        <w:footnoteReference w:id="22"/>
      </w:r>
      <w:r>
        <w:rPr>
          <w:rFonts w:ascii="Times New Roman" w:hAnsi="Times New Roman"/>
          <w:sz w:val="24"/>
          <w:szCs w:val="24"/>
        </w:rPr>
        <w:t xml:space="preserve"> É a partir desta premissa que o autor tenta mostrar o fortalecimento ou “adensamento” institucional do CDES durante os trabalhos da A</w:t>
      </w:r>
      <w:r w:rsidR="004B73DC">
        <w:rPr>
          <w:rFonts w:ascii="Times New Roman" w:hAnsi="Times New Roman"/>
          <w:sz w:val="24"/>
          <w:szCs w:val="24"/>
        </w:rPr>
        <w:t xml:space="preserve">genda </w:t>
      </w:r>
      <w:r>
        <w:rPr>
          <w:rFonts w:ascii="Times New Roman" w:hAnsi="Times New Roman"/>
          <w:sz w:val="24"/>
          <w:szCs w:val="24"/>
        </w:rPr>
        <w:t>N</w:t>
      </w:r>
      <w:r w:rsidR="004B73DC">
        <w:rPr>
          <w:rFonts w:ascii="Times New Roman" w:hAnsi="Times New Roman"/>
          <w:sz w:val="24"/>
          <w:szCs w:val="24"/>
        </w:rPr>
        <w:t xml:space="preserve">acional de </w:t>
      </w:r>
      <w:r>
        <w:rPr>
          <w:rFonts w:ascii="Times New Roman" w:hAnsi="Times New Roman"/>
          <w:sz w:val="24"/>
          <w:szCs w:val="24"/>
        </w:rPr>
        <w:t>D</w:t>
      </w:r>
      <w:r w:rsidR="004B73DC">
        <w:rPr>
          <w:rFonts w:ascii="Times New Roman" w:hAnsi="Times New Roman"/>
          <w:sz w:val="24"/>
          <w:szCs w:val="24"/>
        </w:rPr>
        <w:t>esenvolvimento</w:t>
      </w:r>
      <w:r>
        <w:rPr>
          <w:rFonts w:ascii="Times New Roman" w:hAnsi="Times New Roman"/>
          <w:sz w:val="24"/>
          <w:szCs w:val="24"/>
        </w:rPr>
        <w:t>:</w:t>
      </w:r>
    </w:p>
    <w:p w:rsidR="00582426" w:rsidRPr="00382688" w:rsidRDefault="00582426" w:rsidP="00582426">
      <w:pPr>
        <w:spacing w:line="240" w:lineRule="auto"/>
        <w:ind w:left="2268"/>
        <w:jc w:val="both"/>
        <w:rPr>
          <w:rFonts w:ascii="Times New Roman" w:hAnsi="Times New Roman"/>
          <w:sz w:val="20"/>
          <w:szCs w:val="20"/>
        </w:rPr>
      </w:pPr>
      <w:r w:rsidRPr="00382688">
        <w:rPr>
          <w:rFonts w:ascii="Times New Roman" w:hAnsi="Times New Roman"/>
          <w:sz w:val="20"/>
          <w:szCs w:val="20"/>
        </w:rPr>
        <w:t>Em situações de benefícios “incertos”, a construção de instituições como o Conselho de Desenvolvimento Econômico e Social dependerá da constituição de um diagnóstico comum e de um elenco de prováveis respostas que valorizem e tenham aderência às estratégias e objetivos dos diferentes a</w:t>
      </w:r>
      <w:r>
        <w:rPr>
          <w:rFonts w:ascii="Times New Roman" w:hAnsi="Times New Roman"/>
          <w:sz w:val="20"/>
          <w:szCs w:val="20"/>
        </w:rPr>
        <w:t>to</w:t>
      </w:r>
      <w:r w:rsidRPr="00382688">
        <w:rPr>
          <w:rFonts w:ascii="Times New Roman" w:hAnsi="Times New Roman"/>
          <w:sz w:val="20"/>
          <w:szCs w:val="20"/>
        </w:rPr>
        <w:t>res envolvidos nessa construção instituciona</w:t>
      </w:r>
      <w:r>
        <w:rPr>
          <w:rFonts w:ascii="Times New Roman" w:hAnsi="Times New Roman"/>
          <w:sz w:val="20"/>
          <w:szCs w:val="20"/>
        </w:rPr>
        <w:t>l.</w:t>
      </w:r>
      <w:r>
        <w:rPr>
          <w:rStyle w:val="Refdenotaderodap"/>
          <w:rFonts w:ascii="Times New Roman" w:hAnsi="Times New Roman"/>
          <w:sz w:val="20"/>
          <w:szCs w:val="20"/>
        </w:rPr>
        <w:footnoteReference w:id="23"/>
      </w:r>
    </w:p>
    <w:p w:rsidR="00582426" w:rsidRDefault="00582426" w:rsidP="00582426">
      <w:pPr>
        <w:spacing w:after="0" w:line="360" w:lineRule="auto"/>
        <w:jc w:val="both"/>
        <w:rPr>
          <w:rFonts w:ascii="Times New Roman" w:hAnsi="Times New Roman"/>
          <w:sz w:val="24"/>
          <w:szCs w:val="24"/>
        </w:rPr>
      </w:pPr>
      <w:r>
        <w:rPr>
          <w:rFonts w:ascii="Times New Roman" w:hAnsi="Times New Roman"/>
          <w:sz w:val="24"/>
          <w:szCs w:val="24"/>
        </w:rPr>
        <w:tab/>
        <w:t>O autor conecta as modalidades de articulação entre as instituições ou configurações institucionais (modos de governança) – e aqui ele alude à importância do lugar do CDES e suas possíveis complementaridades com outras instituições na eficácia de estratégias de desenvolvimento – às concertações de segunda geração. “O tema de fundo é saber se e como a regulação social concertada pode se constituir numa alternativa ao capitalismo liberal”.</w:t>
      </w:r>
      <w:r>
        <w:rPr>
          <w:rStyle w:val="Refdenotaderodap"/>
          <w:rFonts w:ascii="Times New Roman" w:hAnsi="Times New Roman"/>
          <w:sz w:val="24"/>
          <w:szCs w:val="24"/>
        </w:rPr>
        <w:footnoteReference w:id="24"/>
      </w:r>
      <w:r>
        <w:rPr>
          <w:rFonts w:ascii="Times New Roman" w:hAnsi="Times New Roman"/>
          <w:sz w:val="24"/>
          <w:szCs w:val="24"/>
        </w:rPr>
        <w:t xml:space="preserve"> Coordenação, controle e participação, segundo o autor, expressam características de um modelo de capitalismo denominado de “modo concertado de regulação da economia”.</w:t>
      </w:r>
      <w:r>
        <w:rPr>
          <w:rStyle w:val="Refdenotaderodap"/>
          <w:rFonts w:ascii="Times New Roman" w:hAnsi="Times New Roman"/>
          <w:sz w:val="24"/>
          <w:szCs w:val="24"/>
        </w:rPr>
        <w:footnoteReference w:id="25"/>
      </w:r>
    </w:p>
    <w:p w:rsidR="00582426" w:rsidRDefault="00582426" w:rsidP="00582426">
      <w:pPr>
        <w:spacing w:after="0" w:line="360" w:lineRule="auto"/>
        <w:jc w:val="both"/>
        <w:rPr>
          <w:rFonts w:ascii="Times New Roman" w:hAnsi="Times New Roman"/>
          <w:sz w:val="24"/>
          <w:szCs w:val="24"/>
        </w:rPr>
      </w:pPr>
      <w:r>
        <w:rPr>
          <w:rFonts w:ascii="Times New Roman" w:hAnsi="Times New Roman"/>
          <w:sz w:val="24"/>
          <w:szCs w:val="24"/>
        </w:rPr>
        <w:tab/>
        <w:t xml:space="preserve">“Evidências consistentes” permitiriam identificar a “regulação concertada” em três áreas de políticas: no âmbito da política salarial, na centralização orientadora das negociações, estabelecendo uma coordenação no plano nacional; no terreno da flexibilização do mercado de trabalho, a partir de medidas de nova regulação “ou de busca de soluções de compromisso entre flexibilidade e formas de proteção social” (flexibilidade seletiva); e na reforma do </w:t>
      </w:r>
      <w:r>
        <w:rPr>
          <w:rFonts w:ascii="Times New Roman" w:hAnsi="Times New Roman"/>
          <w:i/>
          <w:sz w:val="24"/>
          <w:szCs w:val="24"/>
        </w:rPr>
        <w:t>welfare state</w:t>
      </w:r>
      <w:r>
        <w:rPr>
          <w:rFonts w:ascii="Times New Roman" w:hAnsi="Times New Roman"/>
          <w:sz w:val="24"/>
          <w:szCs w:val="24"/>
        </w:rPr>
        <w:t>, pela via da “negociação concertada”. Para o autor, trata-se de um modelo de capitalismo de tipo renano, ou de “economia coordenada”, distinto do modelo liberal, de mercado, ou de economia sem coordenação.</w:t>
      </w:r>
      <w:r>
        <w:rPr>
          <w:rStyle w:val="Refdenotaderodap"/>
          <w:rFonts w:ascii="Times New Roman" w:hAnsi="Times New Roman"/>
          <w:sz w:val="24"/>
          <w:szCs w:val="24"/>
        </w:rPr>
        <w:footnoteReference w:id="26"/>
      </w:r>
    </w:p>
    <w:p w:rsidR="00582426" w:rsidRDefault="00582426" w:rsidP="00582426">
      <w:pPr>
        <w:spacing w:after="0" w:line="360" w:lineRule="auto"/>
        <w:jc w:val="both"/>
        <w:rPr>
          <w:rFonts w:ascii="Times New Roman" w:hAnsi="Times New Roman"/>
          <w:sz w:val="24"/>
          <w:szCs w:val="24"/>
        </w:rPr>
      </w:pPr>
      <w:r>
        <w:rPr>
          <w:rFonts w:ascii="Times New Roman" w:hAnsi="Times New Roman"/>
          <w:sz w:val="24"/>
          <w:szCs w:val="24"/>
        </w:rPr>
        <w:tab/>
        <w:t>Analisando os papéis assumidos pelos conselhos econômicos e sociais internacionais, Tápia destaca sua importância nos processos de “coordenação e de negociação entre os governos e as associações de representação de interesses empresariais e sindicais e daquelas situadas no plano societal”.</w:t>
      </w:r>
      <w:r>
        <w:rPr>
          <w:rStyle w:val="Refdenotaderodap"/>
          <w:rFonts w:ascii="Times New Roman" w:hAnsi="Times New Roman"/>
          <w:sz w:val="24"/>
          <w:szCs w:val="24"/>
        </w:rPr>
        <w:footnoteReference w:id="27"/>
      </w:r>
      <w:r>
        <w:rPr>
          <w:rFonts w:ascii="Times New Roman" w:hAnsi="Times New Roman"/>
          <w:sz w:val="24"/>
          <w:szCs w:val="24"/>
        </w:rPr>
        <w:t xml:space="preserve"> Os conselhos inscrever-se-iam nos movimentos de reforma institucional que, aliados à “rica tradição” europeia, ofereceria “</w:t>
      </w:r>
      <w:r w:rsidRPr="00620597">
        <w:rPr>
          <w:rFonts w:ascii="Times New Roman" w:hAnsi="Times New Roman"/>
          <w:i/>
          <w:sz w:val="24"/>
          <w:szCs w:val="24"/>
        </w:rPr>
        <w:t>insights</w:t>
      </w:r>
      <w:r>
        <w:rPr>
          <w:rFonts w:ascii="Times New Roman" w:hAnsi="Times New Roman"/>
          <w:sz w:val="24"/>
          <w:szCs w:val="24"/>
        </w:rPr>
        <w:t xml:space="preserve"> sobre em que medida e como os diferentes países podem diversificar suas respostas aos desafios comuns colocados pela globalização capitalista”.</w:t>
      </w:r>
      <w:r>
        <w:rPr>
          <w:rStyle w:val="Refdenotaderodap"/>
          <w:rFonts w:ascii="Times New Roman" w:hAnsi="Times New Roman"/>
          <w:sz w:val="24"/>
          <w:szCs w:val="24"/>
        </w:rPr>
        <w:footnoteReference w:id="28"/>
      </w:r>
      <w:r>
        <w:rPr>
          <w:rFonts w:ascii="Times New Roman" w:hAnsi="Times New Roman"/>
          <w:sz w:val="24"/>
          <w:szCs w:val="24"/>
        </w:rPr>
        <w:t xml:space="preserve"> Esta experiência mostraria que os conselhos são instituições </w:t>
      </w:r>
      <w:r>
        <w:rPr>
          <w:rFonts w:ascii="Times New Roman" w:hAnsi="Times New Roman"/>
          <w:i/>
          <w:sz w:val="24"/>
          <w:szCs w:val="24"/>
        </w:rPr>
        <w:t>complementares</w:t>
      </w:r>
      <w:r>
        <w:rPr>
          <w:rFonts w:ascii="Times New Roman" w:hAnsi="Times New Roman"/>
          <w:sz w:val="24"/>
          <w:szCs w:val="24"/>
        </w:rPr>
        <w:t xml:space="preserve"> às de caráter representativo, oferecendo “contribuições à governabilidade e aos processos complexos de reforma econômica e social”.</w:t>
      </w:r>
      <w:r>
        <w:rPr>
          <w:rStyle w:val="Refdenotaderodap"/>
          <w:rFonts w:ascii="Times New Roman" w:hAnsi="Times New Roman"/>
          <w:sz w:val="24"/>
          <w:szCs w:val="24"/>
        </w:rPr>
        <w:footnoteReference w:id="29"/>
      </w:r>
      <w:r>
        <w:rPr>
          <w:rFonts w:ascii="Times New Roman" w:hAnsi="Times New Roman"/>
          <w:sz w:val="24"/>
          <w:szCs w:val="24"/>
        </w:rPr>
        <w:t xml:space="preserve"> Sua legitimidade estaria no reconhecimento de sua contribuição para “definição de agendas, propostas de reformas, e por estimular a interlocução entre o Estado e sociedade”.</w:t>
      </w:r>
      <w:r>
        <w:rPr>
          <w:rStyle w:val="Refdenotaderodap"/>
          <w:rFonts w:ascii="Times New Roman" w:hAnsi="Times New Roman"/>
          <w:sz w:val="24"/>
          <w:szCs w:val="24"/>
        </w:rPr>
        <w:footnoteReference w:id="30"/>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Quanto ao CDES, por sua natureza de órgão assessor da Presidência da República, o autor argumenta que sua inserção deveria ser mais explícita no sentido de indicar uma </w:t>
      </w:r>
      <w:r w:rsidRPr="008F6BE0">
        <w:rPr>
          <w:rFonts w:ascii="Times New Roman" w:hAnsi="Times New Roman"/>
          <w:i/>
          <w:sz w:val="24"/>
          <w:szCs w:val="24"/>
        </w:rPr>
        <w:t>contribuição complementar</w:t>
      </w:r>
      <w:r>
        <w:rPr>
          <w:rFonts w:ascii="Times New Roman" w:hAnsi="Times New Roman"/>
          <w:sz w:val="24"/>
          <w:szCs w:val="24"/>
        </w:rPr>
        <w:t>, tanto para os demais órgãos do governo, quanto para o sistema político e a própria sociedade, tentando evitar dois equívocos: “a tentação de ver o Conselho apenas como uma instituição auxiliar do governo e, de outro, vê-lo como uma trincheira de resistência em relação a políticas e projetos considerados prejudiciais ao país”.</w:t>
      </w:r>
      <w:r>
        <w:rPr>
          <w:rStyle w:val="Refdenotaderodap"/>
          <w:rFonts w:ascii="Times New Roman" w:hAnsi="Times New Roman"/>
          <w:sz w:val="24"/>
          <w:szCs w:val="24"/>
        </w:rPr>
        <w:footnoteReference w:id="31"/>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Tapia assevera que setores empresariais, organizados em torno de suas entidades mais combativas (PNBE e IEDI), assim como outros setores da sociedade organizada, teriam vindo a público nos anos 90 reclamar a existência de órgãos consultivos. A criação do Conselho teria expressado, para o autor, “tanto o compromisso programático do PT, quanto resgatou as aspirações dos interesses empresariais organizados e de outros setores da sociedade civil”.</w:t>
      </w:r>
      <w:r>
        <w:rPr>
          <w:rStyle w:val="Refdenotaderodap"/>
          <w:rFonts w:ascii="Times New Roman" w:hAnsi="Times New Roman"/>
          <w:sz w:val="24"/>
          <w:szCs w:val="24"/>
        </w:rPr>
        <w:footnoteReference w:id="32"/>
      </w:r>
      <w:r>
        <w:rPr>
          <w:rFonts w:ascii="Times New Roman" w:hAnsi="Times New Roman"/>
          <w:sz w:val="24"/>
          <w:szCs w:val="24"/>
        </w:rPr>
        <w:t xml:space="preserve"> O autor advoga a importância do CDES como “espectro ampliado de representação”: o ineditismo de sua composição heterogênea teria enfrentado a “velha tradição política do corporativismo estatal e depois a dos ditos anéis burocráticos”.</w:t>
      </w:r>
      <w:r>
        <w:rPr>
          <w:rStyle w:val="Refdenotaderodap"/>
          <w:rFonts w:ascii="Times New Roman" w:hAnsi="Times New Roman"/>
          <w:sz w:val="24"/>
          <w:szCs w:val="24"/>
        </w:rPr>
        <w:footnoteReference w:id="33"/>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A recente experiência do CDES teria trazido “inovações institucionais em face da tradição política brasileira, abrindo a possibilidade de espaço de discussão e de interlocução na qual (...) são criadas capacidades de negociação e legitimidade”.</w:t>
      </w:r>
      <w:r>
        <w:rPr>
          <w:rStyle w:val="Refdenotaderodap"/>
          <w:rFonts w:ascii="Times New Roman" w:hAnsi="Times New Roman"/>
          <w:sz w:val="24"/>
          <w:szCs w:val="24"/>
        </w:rPr>
        <w:footnoteReference w:id="34"/>
      </w:r>
      <w:r>
        <w:rPr>
          <w:rFonts w:ascii="Times New Roman" w:hAnsi="Times New Roman"/>
          <w:sz w:val="24"/>
          <w:szCs w:val="24"/>
        </w:rPr>
        <w:t xml:space="preserve"> A compreensão de seu significado e potencialidade remete, segundo o autor, “à problemática da variedade de capitalismos, à existência de diferentes configurações institucionais enraizadas em distintas tradições nacionais”.</w:t>
      </w:r>
      <w:r>
        <w:rPr>
          <w:rStyle w:val="Refdenotaderodap"/>
          <w:rFonts w:ascii="Times New Roman" w:hAnsi="Times New Roman"/>
          <w:sz w:val="24"/>
          <w:szCs w:val="24"/>
        </w:rPr>
        <w:footnoteReference w:id="35"/>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A segunda hipótese defendida por Tápia é de que o processo de elaboração da AND teria levado a uma ampla mobilização e engajamento entre os conselheiros e um “adensamento institucional”. Este “aprendizado social e institucional”, conduzido pelo “estilo negociador” de Jaques Wagner, </w:t>
      </w:r>
      <w:r w:rsidR="00DE3828">
        <w:rPr>
          <w:rFonts w:ascii="Times New Roman" w:hAnsi="Times New Roman"/>
          <w:sz w:val="24"/>
          <w:szCs w:val="24"/>
        </w:rPr>
        <w:t xml:space="preserve">então secretário-executivo do CDES, </w:t>
      </w:r>
      <w:r>
        <w:rPr>
          <w:rFonts w:ascii="Times New Roman" w:hAnsi="Times New Roman"/>
          <w:sz w:val="24"/>
          <w:szCs w:val="24"/>
        </w:rPr>
        <w:t>teria “superado uma situação crítica em que os vínculos internos do CDES estavam enfraquecidos”.</w:t>
      </w:r>
      <w:r>
        <w:rPr>
          <w:rStyle w:val="Refdenotaderodap"/>
          <w:rFonts w:ascii="Times New Roman" w:hAnsi="Times New Roman"/>
          <w:sz w:val="24"/>
          <w:szCs w:val="24"/>
        </w:rPr>
        <w:footnoteReference w:id="36"/>
      </w:r>
      <w:r>
        <w:rPr>
          <w:rFonts w:ascii="Times New Roman" w:hAnsi="Times New Roman"/>
          <w:sz w:val="24"/>
          <w:szCs w:val="24"/>
        </w:rPr>
        <w:t xml:space="preserve"> O </w:t>
      </w:r>
      <w:r w:rsidR="00F62AB1">
        <w:rPr>
          <w:rFonts w:ascii="Times New Roman" w:hAnsi="Times New Roman"/>
          <w:sz w:val="24"/>
          <w:szCs w:val="24"/>
        </w:rPr>
        <w:t>autor dedicou parte do artigo a</w:t>
      </w:r>
      <w:r>
        <w:rPr>
          <w:rFonts w:ascii="Times New Roman" w:hAnsi="Times New Roman"/>
          <w:sz w:val="24"/>
          <w:szCs w:val="24"/>
        </w:rPr>
        <w:t xml:space="preserve"> apresentar o processo de construção da Agenda, os mecanismos internos de gerenciamento das atividades pela </w:t>
      </w:r>
      <w:r w:rsidR="00DE3828">
        <w:rPr>
          <w:rFonts w:ascii="Times New Roman" w:hAnsi="Times New Roman"/>
          <w:sz w:val="24"/>
          <w:szCs w:val="24"/>
        </w:rPr>
        <w:t>Secretaria do Conselho (</w:t>
      </w:r>
      <w:r>
        <w:rPr>
          <w:rFonts w:ascii="Times New Roman" w:hAnsi="Times New Roman"/>
          <w:sz w:val="24"/>
          <w:szCs w:val="24"/>
        </w:rPr>
        <w:t>SEDES</w:t>
      </w:r>
      <w:r w:rsidR="00DE3828">
        <w:rPr>
          <w:rFonts w:ascii="Times New Roman" w:hAnsi="Times New Roman"/>
          <w:sz w:val="24"/>
          <w:szCs w:val="24"/>
        </w:rPr>
        <w:t>)</w:t>
      </w:r>
      <w:r>
        <w:rPr>
          <w:rFonts w:ascii="Times New Roman" w:hAnsi="Times New Roman"/>
          <w:sz w:val="24"/>
          <w:szCs w:val="24"/>
        </w:rPr>
        <w:t xml:space="preserve"> e os resultados programáticos. Concluiu que o “sucesso” na empreitada de elaborar a AND “pode ser interpretado como um experimento que criou capacidades institucionais de negociação e construção de consensos”.</w:t>
      </w:r>
      <w:r>
        <w:rPr>
          <w:rStyle w:val="Refdenotaderodap"/>
          <w:rFonts w:ascii="Times New Roman" w:hAnsi="Times New Roman"/>
          <w:sz w:val="24"/>
          <w:szCs w:val="24"/>
        </w:rPr>
        <w:footnoteReference w:id="37"/>
      </w:r>
      <w:r>
        <w:rPr>
          <w:rFonts w:ascii="Times New Roman" w:hAnsi="Times New Roman"/>
          <w:sz w:val="24"/>
          <w:szCs w:val="24"/>
        </w:rPr>
        <w:t xml:space="preserve"> Neste sentido, o autor enfatiza o “caráter negociado e no amplo debate realizado” que ensejou “um fortalecimento dos vínculos institucionais” através da explicitação da “visão possível e a capacidade de formulação da problemática sobre o desenvolvimento” dos conselheiros, da SEDES e de diversos órgãos governamentais.</w:t>
      </w:r>
      <w:r>
        <w:rPr>
          <w:rStyle w:val="Refdenotaderodap"/>
          <w:rFonts w:ascii="Times New Roman" w:hAnsi="Times New Roman"/>
          <w:sz w:val="24"/>
          <w:szCs w:val="24"/>
        </w:rPr>
        <w:footnoteReference w:id="38"/>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Este trabalho de Jorge Tápia é bastante referenciado dentre os autores que se dedicaram em estudar o CDES. </w:t>
      </w:r>
    </w:p>
    <w:p w:rsidR="00582426" w:rsidRDefault="00582426" w:rsidP="00582426">
      <w:pPr>
        <w:spacing w:after="0" w:line="360" w:lineRule="auto"/>
        <w:jc w:val="both"/>
        <w:rPr>
          <w:rFonts w:ascii="Times New Roman" w:hAnsi="Times New Roman"/>
          <w:sz w:val="24"/>
          <w:szCs w:val="24"/>
        </w:rPr>
      </w:pPr>
      <w:r>
        <w:rPr>
          <w:rFonts w:ascii="Times New Roman" w:hAnsi="Times New Roman"/>
          <w:sz w:val="24"/>
          <w:szCs w:val="24"/>
        </w:rPr>
        <w:tab/>
        <w:t xml:space="preserve">O primeiro ponto de refutação à abordagem trazida por Tápia é entender o processo de transformação do capitalismo contemporâneo a partir da noção de variedades de capitalismo, aqui examinado </w:t>
      </w:r>
      <w:r>
        <w:rPr>
          <w:rFonts w:ascii="Times New Roman" w:hAnsi="Times New Roman"/>
          <w:i/>
          <w:sz w:val="24"/>
          <w:szCs w:val="24"/>
        </w:rPr>
        <w:t>nos limites</w:t>
      </w:r>
      <w:r w:rsidRPr="00F9677E">
        <w:rPr>
          <w:rFonts w:ascii="Times New Roman" w:hAnsi="Times New Roman"/>
          <w:i/>
          <w:sz w:val="24"/>
          <w:szCs w:val="24"/>
        </w:rPr>
        <w:t xml:space="preserve"> exposto</w:t>
      </w:r>
      <w:r>
        <w:rPr>
          <w:rFonts w:ascii="Times New Roman" w:hAnsi="Times New Roman"/>
          <w:i/>
          <w:sz w:val="24"/>
          <w:szCs w:val="24"/>
        </w:rPr>
        <w:t>s</w:t>
      </w:r>
      <w:r w:rsidRPr="00F9677E">
        <w:rPr>
          <w:rFonts w:ascii="Times New Roman" w:hAnsi="Times New Roman"/>
          <w:i/>
          <w:sz w:val="24"/>
          <w:szCs w:val="24"/>
        </w:rPr>
        <w:t xml:space="preserve"> pelo autor</w:t>
      </w:r>
      <w:r>
        <w:rPr>
          <w:rFonts w:ascii="Times New Roman" w:hAnsi="Times New Roman"/>
          <w:sz w:val="24"/>
          <w:szCs w:val="24"/>
        </w:rPr>
        <w:t>. Seguramente, o fenômeno concebido como “globalização” não foi capaz de homogeneizar e “integrar” formações sociais historicamente distintas e desiguais. Como trata o autor, “</w:t>
      </w:r>
      <w:r w:rsidR="000948C6">
        <w:rPr>
          <w:rFonts w:ascii="Times New Roman" w:hAnsi="Times New Roman"/>
          <w:sz w:val="24"/>
          <w:szCs w:val="24"/>
        </w:rPr>
        <w:t xml:space="preserve">persistem ainda </w:t>
      </w:r>
      <w:r>
        <w:rPr>
          <w:rFonts w:ascii="Times New Roman" w:hAnsi="Times New Roman"/>
          <w:sz w:val="24"/>
          <w:szCs w:val="24"/>
        </w:rPr>
        <w:t xml:space="preserve">diferenças cruciais </w:t>
      </w:r>
      <w:r w:rsidR="000948C6">
        <w:rPr>
          <w:rFonts w:ascii="Times New Roman" w:hAnsi="Times New Roman"/>
          <w:sz w:val="24"/>
          <w:szCs w:val="24"/>
        </w:rPr>
        <w:t>na maneira como as economias nacionais se organizam, seja em termos de suas</w:t>
      </w:r>
      <w:r>
        <w:rPr>
          <w:rFonts w:ascii="Times New Roman" w:hAnsi="Times New Roman"/>
          <w:sz w:val="24"/>
          <w:szCs w:val="24"/>
        </w:rPr>
        <w:t xml:space="preserve"> políticas econômicas, organização do </w:t>
      </w:r>
      <w:r>
        <w:rPr>
          <w:rFonts w:ascii="Times New Roman" w:hAnsi="Times New Roman"/>
          <w:i/>
          <w:sz w:val="24"/>
          <w:szCs w:val="24"/>
        </w:rPr>
        <w:t>welfare state</w:t>
      </w:r>
      <w:r>
        <w:rPr>
          <w:rFonts w:ascii="Times New Roman" w:hAnsi="Times New Roman"/>
          <w:sz w:val="24"/>
          <w:szCs w:val="24"/>
        </w:rPr>
        <w:t xml:space="preserve">, regimes de produção, mercado de trabalho e </w:t>
      </w:r>
      <w:r w:rsidR="000948C6">
        <w:rPr>
          <w:rFonts w:ascii="Times New Roman" w:hAnsi="Times New Roman"/>
          <w:sz w:val="24"/>
          <w:szCs w:val="24"/>
        </w:rPr>
        <w:t xml:space="preserve">mesmo </w:t>
      </w:r>
      <w:r>
        <w:rPr>
          <w:rFonts w:ascii="Times New Roman" w:hAnsi="Times New Roman"/>
          <w:sz w:val="24"/>
          <w:szCs w:val="24"/>
        </w:rPr>
        <w:t>sistema de relações industriais”.</w:t>
      </w:r>
      <w:r w:rsidR="000948C6">
        <w:rPr>
          <w:rStyle w:val="Refdenotaderodap"/>
          <w:rFonts w:ascii="Times New Roman" w:hAnsi="Times New Roman"/>
          <w:sz w:val="24"/>
          <w:szCs w:val="24"/>
        </w:rPr>
        <w:footnoteReference w:id="39"/>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Tais diferenças, contudo, não permitem, a nosso ver, conceber </w:t>
      </w:r>
      <w:r>
        <w:rPr>
          <w:rFonts w:ascii="Times New Roman" w:hAnsi="Times New Roman"/>
          <w:i/>
          <w:sz w:val="24"/>
          <w:szCs w:val="24"/>
        </w:rPr>
        <w:t>modelos variáveis de capitalismo</w:t>
      </w:r>
      <w:r>
        <w:rPr>
          <w:rFonts w:ascii="Times New Roman" w:hAnsi="Times New Roman"/>
          <w:sz w:val="24"/>
          <w:szCs w:val="24"/>
        </w:rPr>
        <w:t xml:space="preserve">, até mesmo porque são distinções de </w:t>
      </w:r>
      <w:r w:rsidRPr="00F73D92">
        <w:rPr>
          <w:rFonts w:ascii="Times New Roman" w:hAnsi="Times New Roman"/>
          <w:i/>
          <w:sz w:val="24"/>
          <w:szCs w:val="24"/>
        </w:rPr>
        <w:t>manifestações</w:t>
      </w:r>
      <w:r>
        <w:rPr>
          <w:rFonts w:ascii="Times New Roman" w:hAnsi="Times New Roman"/>
          <w:sz w:val="24"/>
          <w:szCs w:val="24"/>
        </w:rPr>
        <w:t xml:space="preserve"> concretas do </w:t>
      </w:r>
      <w:r>
        <w:rPr>
          <w:rFonts w:ascii="Times New Roman" w:hAnsi="Times New Roman"/>
          <w:i/>
          <w:sz w:val="24"/>
          <w:szCs w:val="24"/>
        </w:rPr>
        <w:t>eixo histórico-estrutural</w:t>
      </w:r>
      <w:r>
        <w:rPr>
          <w:rFonts w:ascii="Times New Roman" w:hAnsi="Times New Roman"/>
          <w:sz w:val="24"/>
          <w:szCs w:val="24"/>
        </w:rPr>
        <w:t xml:space="preserve"> em que repousa a expansão das relações de produção capitalista mais recente. As distinções são resultantes de um conjunto complexo de </w:t>
      </w:r>
      <w:r w:rsidRPr="00FE24AD">
        <w:rPr>
          <w:rFonts w:ascii="Times New Roman" w:hAnsi="Times New Roman"/>
          <w:i/>
          <w:sz w:val="24"/>
          <w:szCs w:val="24"/>
        </w:rPr>
        <w:t>determinações</w:t>
      </w:r>
      <w:r>
        <w:rPr>
          <w:rFonts w:ascii="Times New Roman" w:hAnsi="Times New Roman"/>
          <w:sz w:val="24"/>
          <w:szCs w:val="24"/>
        </w:rPr>
        <w:t xml:space="preserve"> econômico-sociais e políticas de formações sociais singular e historicamente construído e que permanece, mais do que nunca, subsumido à lógica de expansão ampliada do capital, nas mais variadas esferas da vida social. </w:t>
      </w:r>
    </w:p>
    <w:p w:rsidR="00582426" w:rsidRPr="008B204B"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As </w:t>
      </w:r>
      <w:r>
        <w:rPr>
          <w:rFonts w:ascii="Times New Roman" w:hAnsi="Times New Roman"/>
          <w:i/>
          <w:sz w:val="24"/>
          <w:szCs w:val="24"/>
        </w:rPr>
        <w:t xml:space="preserve">determinações histórico-estruturais </w:t>
      </w:r>
      <w:r>
        <w:rPr>
          <w:rFonts w:ascii="Times New Roman" w:hAnsi="Times New Roman"/>
          <w:sz w:val="24"/>
          <w:szCs w:val="24"/>
        </w:rPr>
        <w:t xml:space="preserve">do capital não obnubilam especificidades nacionais ou regionais, podendo inclusive aprofundá-las consoante as correlações de forças existentes entre as classes sociais e o avanço da socialização das forças produtivas, mas sempre ajustadas às condições de possibilidade do capital de a) recriar a base social fundamental a qual assenta a relação-capital: produzir trabalhadores “livres”, isto é, disponíveis para vender sua força de trabalho ao capitalista através da “separação entre os trabalhadores e a propriedade das condições da realização do seu trabalho”, na acepção de Marx; b) assegurar a apropriação e concentração privada dos meios e recursos sociais de produção, sob a forma monetária, funcionante, etc; c) garantir as mais diversas e extraordinárias formas contínuas de expropriação de mais-valor por meio da expansão da subsunção real do trabalho ao capital ao lado da permanência subsunção formal; d) impulsionar e aprimorar a produção de consenso e o exercício da dominação, na sociedade civil e política, </w:t>
      </w:r>
      <w:r w:rsidRPr="008B204B">
        <w:rPr>
          <w:rFonts w:ascii="Times New Roman" w:hAnsi="Times New Roman"/>
          <w:sz w:val="24"/>
          <w:szCs w:val="24"/>
        </w:rPr>
        <w:t>“forjando um ser social adequado aos interesses (e valores) hegemônicos e formulando, inclusive, as formas estatais da coerção aos renitentes”</w:t>
      </w:r>
      <w:r>
        <w:rPr>
          <w:rFonts w:ascii="Times New Roman" w:hAnsi="Times New Roman"/>
          <w:sz w:val="24"/>
          <w:szCs w:val="24"/>
        </w:rPr>
        <w:t>.</w:t>
      </w:r>
      <w:r>
        <w:rPr>
          <w:rStyle w:val="Refdenotaderodap"/>
          <w:rFonts w:ascii="Times New Roman" w:hAnsi="Times New Roman"/>
          <w:sz w:val="24"/>
          <w:szCs w:val="24"/>
        </w:rPr>
        <w:footnoteReference w:id="40"/>
      </w:r>
    </w:p>
    <w:p w:rsidR="00582426" w:rsidRDefault="00582426" w:rsidP="00582426">
      <w:pPr>
        <w:spacing w:after="0" w:line="360" w:lineRule="auto"/>
        <w:jc w:val="both"/>
        <w:rPr>
          <w:rFonts w:ascii="Times New Roman" w:hAnsi="Times New Roman"/>
          <w:sz w:val="24"/>
          <w:szCs w:val="24"/>
        </w:rPr>
      </w:pPr>
      <w:r>
        <w:rPr>
          <w:rFonts w:ascii="Times New Roman" w:hAnsi="Times New Roman"/>
          <w:sz w:val="24"/>
          <w:szCs w:val="24"/>
        </w:rPr>
        <w:tab/>
        <w:t xml:space="preserve">Por desconsiderarem as determinações histórico-estruturais do capitalismo, as pesquisas sobre o CDES que se baseiam nas “variantes de capitalismo” e no neoinstitucionalismo são impotentes para pensar </w:t>
      </w:r>
      <w:r w:rsidRPr="00C353C9">
        <w:rPr>
          <w:rFonts w:ascii="Times New Roman" w:hAnsi="Times New Roman"/>
          <w:i/>
          <w:sz w:val="24"/>
          <w:szCs w:val="24"/>
        </w:rPr>
        <w:t>totalidade social</w:t>
      </w:r>
      <w:r>
        <w:rPr>
          <w:rFonts w:ascii="Times New Roman" w:hAnsi="Times New Roman"/>
          <w:sz w:val="24"/>
          <w:szCs w:val="24"/>
        </w:rPr>
        <w:t xml:space="preserve"> que envolve o objeto. Totalidade concreta pensada como “síntese de múltiplas determinações”, como dizia Marx, constituída por totalidades de menor complexidade cujo movimento resulta do caráter </w:t>
      </w:r>
      <w:r w:rsidRPr="0075019F">
        <w:rPr>
          <w:rFonts w:ascii="Times New Roman" w:hAnsi="Times New Roman"/>
          <w:i/>
          <w:sz w:val="24"/>
          <w:szCs w:val="24"/>
        </w:rPr>
        <w:t>contraditório</w:t>
      </w:r>
      <w:r>
        <w:rPr>
          <w:rFonts w:ascii="Times New Roman" w:hAnsi="Times New Roman"/>
          <w:sz w:val="24"/>
          <w:szCs w:val="24"/>
        </w:rPr>
        <w:t xml:space="preserve"> de todas as totalidades e são </w:t>
      </w:r>
      <w:r w:rsidRPr="0075019F">
        <w:rPr>
          <w:rFonts w:ascii="Times New Roman" w:hAnsi="Times New Roman"/>
          <w:i/>
          <w:sz w:val="24"/>
          <w:szCs w:val="24"/>
        </w:rPr>
        <w:t>mediadas</w:t>
      </w:r>
      <w:r>
        <w:rPr>
          <w:rFonts w:ascii="Times New Roman" w:hAnsi="Times New Roman"/>
          <w:sz w:val="24"/>
          <w:szCs w:val="24"/>
        </w:rPr>
        <w:t xml:space="preserve"> não apenas pelos distintos níveis de complexidade, mas, sobretudo, pela estrutura peculiar de cada totalidade.</w:t>
      </w:r>
      <w:r>
        <w:rPr>
          <w:rStyle w:val="Refdenotaderodap"/>
          <w:rFonts w:ascii="Times New Roman" w:hAnsi="Times New Roman"/>
          <w:sz w:val="24"/>
          <w:szCs w:val="24"/>
        </w:rPr>
        <w:footnoteReference w:id="41"/>
      </w:r>
      <w:r>
        <w:rPr>
          <w:rFonts w:ascii="Times New Roman" w:hAnsi="Times New Roman"/>
          <w:sz w:val="24"/>
          <w:szCs w:val="24"/>
        </w:rPr>
        <w:t xml:space="preserve"> O objeto é resgatado ou concebido numa sucessão de eventos históricos sem relação com a complexidade da totalidade das relações sociais que o circunda e o atravessa (em especial com o universo econômico-social de seus “atores”), constituindo evidente justaposição de fragmentos da realidade social (“conjunto de fatores”) em direção à conformação de uma “totalidade opaca”, sem determinações, contradições ou mediações.</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Assim, por exemplo, é óbvio que os “atores sociais” constroem, nas instituições, uma “lógica adaptativa e interativa” das suas estratégias em razão de seus interesses. Contudo, deve-se admitir que se tratam de estratégias cunhadas pelos </w:t>
      </w:r>
      <w:r>
        <w:rPr>
          <w:rFonts w:ascii="Times New Roman" w:hAnsi="Times New Roman"/>
          <w:i/>
          <w:sz w:val="24"/>
          <w:szCs w:val="24"/>
        </w:rPr>
        <w:t>interesses de classes</w:t>
      </w:r>
      <w:r>
        <w:rPr>
          <w:rFonts w:ascii="Times New Roman" w:hAnsi="Times New Roman"/>
          <w:sz w:val="24"/>
          <w:szCs w:val="24"/>
        </w:rPr>
        <w:t xml:space="preserve"> e </w:t>
      </w:r>
      <w:r>
        <w:rPr>
          <w:rFonts w:ascii="Times New Roman" w:hAnsi="Times New Roman"/>
          <w:i/>
          <w:sz w:val="24"/>
          <w:szCs w:val="24"/>
        </w:rPr>
        <w:t>frações de classes</w:t>
      </w:r>
      <w:r>
        <w:rPr>
          <w:rFonts w:ascii="Times New Roman" w:hAnsi="Times New Roman"/>
          <w:sz w:val="24"/>
          <w:szCs w:val="24"/>
        </w:rPr>
        <w:t xml:space="preserve">,tensamente reelaboradas em </w:t>
      </w:r>
      <w:r>
        <w:rPr>
          <w:rFonts w:ascii="Times New Roman" w:hAnsi="Times New Roman"/>
          <w:i/>
          <w:sz w:val="24"/>
          <w:szCs w:val="24"/>
        </w:rPr>
        <w:t>aparelhos privados de hegemonia</w:t>
      </w:r>
      <w:r>
        <w:rPr>
          <w:rFonts w:ascii="Times New Roman" w:hAnsi="Times New Roman"/>
          <w:sz w:val="24"/>
          <w:szCs w:val="24"/>
        </w:rPr>
        <w:t xml:space="preserve">  da sociedade civil por meio de lutas intestinas ou pelas exigências do antagonista social, em meio a complexas estruturas imbricadas. A “lógica adaptativa e interativa” existe e deve ser considerada, mas encontra limites que são definidos na luta de classes, ou seja, nas relações de forças sociais que, em última instância, concorrem pela manutenção ou não da estrutura econômico-social vigente. </w:t>
      </w:r>
    </w:p>
    <w:p w:rsidR="00582426" w:rsidRDefault="00582426" w:rsidP="00582426">
      <w:pPr>
        <w:spacing w:line="360" w:lineRule="auto"/>
        <w:ind w:firstLine="708"/>
        <w:jc w:val="both"/>
        <w:rPr>
          <w:rFonts w:ascii="Times New Roman" w:hAnsi="Times New Roman"/>
          <w:sz w:val="24"/>
          <w:szCs w:val="24"/>
        </w:rPr>
      </w:pPr>
      <w:r>
        <w:rPr>
          <w:rFonts w:ascii="Times New Roman" w:hAnsi="Times New Roman"/>
          <w:sz w:val="24"/>
          <w:szCs w:val="24"/>
        </w:rPr>
        <w:t xml:space="preserve">Estas reflexões valem também para a definição, em instituições como o CDES, de um “diagnóstico comum e de um elenco de prováveis respostas que valorizem e tenham aderência às estratégias e objetivos dos diferentes atores (...)”: diagnósticos comuns, respostas que tenham aderência, estratégias e objetivos dos atores respondem, não sem mediações, aos interesses e projetos das formas organizativas classistas da sociedade civil. </w:t>
      </w:r>
      <w:r w:rsidRPr="00B54796">
        <w:rPr>
          <w:rFonts w:ascii="Times New Roman" w:hAnsi="Times New Roman"/>
          <w:i/>
          <w:sz w:val="24"/>
          <w:szCs w:val="24"/>
        </w:rPr>
        <w:t>O Estado é uma condensação material de uma relação de forças entre classes e frações de classes</w:t>
      </w:r>
      <w:r>
        <w:rPr>
          <w:rFonts w:ascii="Times New Roman" w:hAnsi="Times New Roman"/>
          <w:sz w:val="24"/>
          <w:szCs w:val="24"/>
        </w:rPr>
        <w:t>.</w:t>
      </w:r>
      <w:r>
        <w:rPr>
          <w:rStyle w:val="Refdenotaderodap"/>
          <w:rFonts w:ascii="Times New Roman" w:hAnsi="Times New Roman"/>
          <w:sz w:val="24"/>
          <w:szCs w:val="24"/>
        </w:rPr>
        <w:footnoteReference w:id="42"/>
      </w:r>
      <w:r>
        <w:rPr>
          <w:rFonts w:ascii="Times New Roman" w:hAnsi="Times New Roman"/>
          <w:sz w:val="24"/>
          <w:szCs w:val="24"/>
        </w:rPr>
        <w:t xml:space="preserve"> Ora, nossas considerações são bastante distintas, para não dizer antagônicas, destas e de outras posições assumidas por Tápia:</w:t>
      </w:r>
    </w:p>
    <w:p w:rsidR="00582426" w:rsidRPr="00D3039B" w:rsidRDefault="00582426" w:rsidP="00582426">
      <w:pPr>
        <w:spacing w:line="240" w:lineRule="auto"/>
        <w:ind w:left="2268"/>
        <w:jc w:val="both"/>
        <w:rPr>
          <w:rFonts w:ascii="Times New Roman" w:hAnsi="Times New Roman"/>
          <w:sz w:val="20"/>
          <w:szCs w:val="20"/>
        </w:rPr>
      </w:pPr>
      <w:r>
        <w:rPr>
          <w:rFonts w:ascii="Times New Roman" w:hAnsi="Times New Roman"/>
          <w:sz w:val="20"/>
          <w:szCs w:val="20"/>
        </w:rPr>
        <w:t xml:space="preserve">(...) </w:t>
      </w:r>
      <w:r w:rsidRPr="00D3039B">
        <w:rPr>
          <w:rFonts w:ascii="Times New Roman" w:hAnsi="Times New Roman"/>
          <w:sz w:val="20"/>
          <w:szCs w:val="20"/>
        </w:rPr>
        <w:t xml:space="preserve">as assimetrias de representação e controle de recursos </w:t>
      </w:r>
      <w:r w:rsidRPr="00F32DA6">
        <w:rPr>
          <w:rFonts w:ascii="Times New Roman" w:hAnsi="Times New Roman"/>
          <w:b/>
          <w:sz w:val="20"/>
          <w:szCs w:val="20"/>
        </w:rPr>
        <w:t>não são um obstáculo intransponível para a cooperação e a negociação entre os atores</w:t>
      </w:r>
      <w:r w:rsidRPr="00D3039B">
        <w:rPr>
          <w:rFonts w:ascii="Times New Roman" w:hAnsi="Times New Roman"/>
          <w:sz w:val="20"/>
          <w:szCs w:val="20"/>
        </w:rPr>
        <w:t xml:space="preserve">. Elas podem ser “relativizadas” pelas regras de funcionamento e pela lógica decisória das instituições, </w:t>
      </w:r>
      <w:r w:rsidRPr="00D3039B">
        <w:rPr>
          <w:rFonts w:ascii="Times New Roman" w:hAnsi="Times New Roman"/>
          <w:b/>
          <w:sz w:val="20"/>
          <w:szCs w:val="20"/>
        </w:rPr>
        <w:t>se aceitarmos que essas não são um reflexo das posições de poder existentes na sociedade</w:t>
      </w:r>
      <w:r w:rsidRPr="00D3039B">
        <w:rPr>
          <w:rFonts w:ascii="Times New Roman" w:hAnsi="Times New Roman"/>
          <w:sz w:val="20"/>
          <w:szCs w:val="20"/>
        </w:rPr>
        <w:t>. Ou seja, é correto dizer que o poder depende da capacidade de mobiliza</w:t>
      </w:r>
      <w:r>
        <w:rPr>
          <w:rFonts w:ascii="Times New Roman" w:hAnsi="Times New Roman"/>
          <w:sz w:val="20"/>
          <w:szCs w:val="20"/>
        </w:rPr>
        <w:t>ção dos principais atores (...).</w:t>
      </w:r>
      <w:r>
        <w:rPr>
          <w:rStyle w:val="Refdenotaderodap"/>
          <w:rFonts w:ascii="Times New Roman" w:hAnsi="Times New Roman"/>
          <w:sz w:val="20"/>
          <w:szCs w:val="20"/>
        </w:rPr>
        <w:footnoteReference w:id="43"/>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Esta </w:t>
      </w:r>
      <w:r w:rsidRPr="00F32DA6">
        <w:rPr>
          <w:rFonts w:ascii="Times New Roman" w:hAnsi="Times New Roman"/>
          <w:i/>
          <w:sz w:val="24"/>
          <w:szCs w:val="24"/>
        </w:rPr>
        <w:t>indistinção</w:t>
      </w:r>
      <w:r>
        <w:rPr>
          <w:rFonts w:ascii="Times New Roman" w:hAnsi="Times New Roman"/>
          <w:i/>
          <w:sz w:val="24"/>
          <w:szCs w:val="24"/>
        </w:rPr>
        <w:t xml:space="preserve"> econômico-</w:t>
      </w:r>
      <w:r w:rsidRPr="00F32DA6">
        <w:rPr>
          <w:rFonts w:ascii="Times New Roman" w:hAnsi="Times New Roman"/>
          <w:i/>
          <w:sz w:val="24"/>
          <w:szCs w:val="24"/>
        </w:rPr>
        <w:t>social</w:t>
      </w:r>
      <w:r>
        <w:rPr>
          <w:rFonts w:ascii="Times New Roman" w:hAnsi="Times New Roman"/>
          <w:sz w:val="24"/>
          <w:szCs w:val="24"/>
        </w:rPr>
        <w:t xml:space="preserve"> pressupõe um </w:t>
      </w:r>
      <w:r>
        <w:rPr>
          <w:rFonts w:ascii="Times New Roman" w:hAnsi="Times New Roman"/>
          <w:i/>
          <w:sz w:val="24"/>
          <w:szCs w:val="24"/>
        </w:rPr>
        <w:t xml:space="preserve">nivelamento da capacidade da obtenção de </w:t>
      </w:r>
      <w:r w:rsidRPr="00313A05">
        <w:rPr>
          <w:rFonts w:ascii="Times New Roman" w:hAnsi="Times New Roman"/>
          <w:i/>
          <w:sz w:val="24"/>
          <w:szCs w:val="24"/>
        </w:rPr>
        <w:t>poder</w:t>
      </w:r>
      <w:r>
        <w:rPr>
          <w:rFonts w:ascii="Times New Roman" w:hAnsi="Times New Roman"/>
          <w:sz w:val="24"/>
          <w:szCs w:val="24"/>
        </w:rPr>
        <w:t xml:space="preserve">intrainstitucional e é uma questão que se apresenta como o </w:t>
      </w:r>
      <w:r>
        <w:rPr>
          <w:rFonts w:ascii="Times New Roman" w:hAnsi="Times New Roman"/>
          <w:i/>
          <w:sz w:val="24"/>
          <w:szCs w:val="24"/>
        </w:rPr>
        <w:t>cerne</w:t>
      </w:r>
      <w:r>
        <w:rPr>
          <w:rFonts w:ascii="Times New Roman" w:hAnsi="Times New Roman"/>
          <w:sz w:val="24"/>
          <w:szCs w:val="24"/>
        </w:rPr>
        <w:t xml:space="preserve"> das tentativas interpretativas de validação e legitimação não apenas dos Conselhos, mas também dos resultados deliberados. O </w:t>
      </w:r>
      <w:r>
        <w:rPr>
          <w:rFonts w:ascii="Times New Roman" w:hAnsi="Times New Roman"/>
          <w:i/>
          <w:sz w:val="24"/>
          <w:szCs w:val="24"/>
        </w:rPr>
        <w:t xml:space="preserve">fio </w:t>
      </w:r>
      <w:r w:rsidRPr="00DE6E0B">
        <w:rPr>
          <w:rFonts w:ascii="Times New Roman" w:hAnsi="Times New Roman"/>
          <w:i/>
          <w:sz w:val="24"/>
          <w:szCs w:val="24"/>
        </w:rPr>
        <w:t>vermelho</w:t>
      </w:r>
      <w:r>
        <w:rPr>
          <w:rFonts w:ascii="Times New Roman" w:hAnsi="Times New Roman"/>
          <w:sz w:val="24"/>
          <w:szCs w:val="24"/>
        </w:rPr>
        <w:t>que atravessa as análises acerca do CDES é a naturalização da equalização dos sujeitos sociais como “cidadãos” abstratos, sem qualquer conteúdo ou posições de classe. Contudo, este processo de separação entre a condição cívica e a posição de classe é histórico e medular na constituição das democracias liberais modernas e opera, segundo Wood, nas duas direções:</w:t>
      </w:r>
    </w:p>
    <w:p w:rsidR="00582426" w:rsidRPr="003E40E5" w:rsidRDefault="00582426" w:rsidP="00582426">
      <w:pPr>
        <w:spacing w:line="240" w:lineRule="auto"/>
        <w:ind w:left="2268"/>
        <w:jc w:val="both"/>
        <w:rPr>
          <w:rFonts w:ascii="Times New Roman" w:hAnsi="Times New Roman"/>
          <w:sz w:val="20"/>
          <w:szCs w:val="20"/>
        </w:rPr>
      </w:pPr>
      <w:r w:rsidRPr="003E40E5">
        <w:rPr>
          <w:rFonts w:ascii="Times New Roman" w:hAnsi="Times New Roman"/>
          <w:sz w:val="20"/>
          <w:szCs w:val="20"/>
        </w:rPr>
        <w:t>A posição socioeconômica não determina o direito à cidadania – e é isso o democrático na democracia capitalista -, mas, como o poder do capitalista de apropriar-se do trabalho excedente dos trabalhadores não depende de condição jurídica ou civil privilegiada, a igualdade civil não afeta diretamente nem modifica significativamente a desigualdade de classe – e é isso que limita a democracia no capitalismo.</w:t>
      </w:r>
      <w:r>
        <w:rPr>
          <w:rStyle w:val="Refdenotaderodap"/>
          <w:rFonts w:ascii="Times New Roman" w:hAnsi="Times New Roman"/>
          <w:sz w:val="20"/>
          <w:szCs w:val="20"/>
        </w:rPr>
        <w:footnoteReference w:id="44"/>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Além disso, se é correto que o conceito de instituições utilizado engloba os aparelhos de Estado, há flagrante afastamento e mesmo oposição entre sociedade civil e política. </w:t>
      </w:r>
      <w:r w:rsidRPr="00980CAA">
        <w:rPr>
          <w:rFonts w:ascii="Times New Roman" w:hAnsi="Times New Roman"/>
          <w:sz w:val="24"/>
          <w:szCs w:val="24"/>
        </w:rPr>
        <w:t>Posicionamo</w:t>
      </w:r>
      <w:r>
        <w:rPr>
          <w:rFonts w:ascii="Times New Roman" w:hAnsi="Times New Roman"/>
          <w:sz w:val="24"/>
          <w:szCs w:val="24"/>
        </w:rPr>
        <w:t xml:space="preserve">-nos no sentido de que, no caso do CDES, como em qualquer outra arena da sociedade civil e política, não há possibilidades de tratar a política longe da economia: as lideranças da sociedade civil não se despojam de suas posições de classe e nele ingressam como “cidadãos” abstratos ou “parceiros estratégicos” (como </w:t>
      </w:r>
      <w:r w:rsidR="000948C6">
        <w:rPr>
          <w:rFonts w:ascii="Times New Roman" w:hAnsi="Times New Roman"/>
          <w:sz w:val="24"/>
          <w:szCs w:val="24"/>
        </w:rPr>
        <w:t>a</w:t>
      </w:r>
      <w:r w:rsidR="00A47E6D">
        <w:rPr>
          <w:rFonts w:ascii="Times New Roman" w:hAnsi="Times New Roman"/>
          <w:sz w:val="24"/>
          <w:szCs w:val="24"/>
        </w:rPr>
        <w:t>legislação do CDES</w:t>
      </w:r>
      <w:r>
        <w:rPr>
          <w:rFonts w:ascii="Times New Roman" w:hAnsi="Times New Roman"/>
          <w:sz w:val="24"/>
          <w:szCs w:val="24"/>
        </w:rPr>
        <w:t xml:space="preserve"> denomina os conselheiros). Muito pelo contrário, posicionavam-se como intelectuais orgânicos de suas classes e frações de classes, sendo a grande maioria, inclusive, ou “nascidos no mesmo terreno industrial do grupo econômico” ou que ascenderam a ela como seus prepostos (empregados especializados) a quem os empresários possam “confiar esta atividade organizativa das relações gerais exteriores à empresa” no dizer de Gramsci.</w:t>
      </w:r>
      <w:r>
        <w:rPr>
          <w:rStyle w:val="Refdenotaderodap"/>
          <w:rFonts w:ascii="Times New Roman" w:hAnsi="Times New Roman"/>
          <w:sz w:val="24"/>
          <w:szCs w:val="24"/>
        </w:rPr>
        <w:footnoteReference w:id="45"/>
      </w:r>
    </w:p>
    <w:p w:rsidR="00582426" w:rsidRDefault="001D557D" w:rsidP="00582426">
      <w:pPr>
        <w:spacing w:after="0" w:line="360" w:lineRule="auto"/>
        <w:ind w:firstLine="708"/>
        <w:jc w:val="both"/>
        <w:rPr>
          <w:rFonts w:ascii="Times New Roman" w:hAnsi="Times New Roman"/>
          <w:sz w:val="24"/>
          <w:szCs w:val="24"/>
        </w:rPr>
      </w:pPr>
      <w:r>
        <w:rPr>
          <w:rFonts w:ascii="Times New Roman" w:hAnsi="Times New Roman"/>
          <w:sz w:val="24"/>
          <w:szCs w:val="24"/>
        </w:rPr>
        <w:t>E</w:t>
      </w:r>
      <w:r w:rsidR="00582426">
        <w:rPr>
          <w:rFonts w:ascii="Times New Roman" w:hAnsi="Times New Roman"/>
          <w:sz w:val="24"/>
          <w:szCs w:val="24"/>
        </w:rPr>
        <w:t xml:space="preserve">m nenhum momento os imperativos da ordem do capital estiveram ameaçados, </w:t>
      </w:r>
      <w:r>
        <w:rPr>
          <w:rFonts w:ascii="Times New Roman" w:hAnsi="Times New Roman"/>
          <w:sz w:val="24"/>
          <w:szCs w:val="24"/>
        </w:rPr>
        <w:t>pois o</w:t>
      </w:r>
      <w:r w:rsidR="00582426">
        <w:rPr>
          <w:rFonts w:ascii="Times New Roman" w:hAnsi="Times New Roman"/>
          <w:sz w:val="24"/>
          <w:szCs w:val="24"/>
        </w:rPr>
        <w:t xml:space="preserve"> Conselho </w:t>
      </w:r>
      <w:r>
        <w:rPr>
          <w:rFonts w:ascii="Times New Roman" w:hAnsi="Times New Roman"/>
          <w:sz w:val="24"/>
          <w:szCs w:val="24"/>
        </w:rPr>
        <w:t>expressava</w:t>
      </w:r>
      <w:r w:rsidR="00582426">
        <w:rPr>
          <w:rFonts w:ascii="Times New Roman" w:hAnsi="Times New Roman"/>
          <w:sz w:val="24"/>
          <w:szCs w:val="24"/>
        </w:rPr>
        <w:t xml:space="preserve"> as aspirações de remodelação social-liberal de um projeto de expansão do capitalismo e não de </w:t>
      </w:r>
      <w:r w:rsidR="00582426">
        <w:rPr>
          <w:rFonts w:ascii="Times New Roman" w:hAnsi="Times New Roman"/>
          <w:i/>
          <w:sz w:val="24"/>
          <w:szCs w:val="24"/>
        </w:rPr>
        <w:t xml:space="preserve">lócus </w:t>
      </w:r>
      <w:r w:rsidR="00582426">
        <w:rPr>
          <w:rFonts w:ascii="Times New Roman" w:hAnsi="Times New Roman"/>
          <w:sz w:val="24"/>
          <w:szCs w:val="24"/>
        </w:rPr>
        <w:t xml:space="preserve">de organização e atendimento das reivindicações históricas do conjunto das classes subalternas. Mesmo assim, “as condições da construção de uma visão comum negociada” devem ser vistas não como respostas à comunhão </w:t>
      </w:r>
      <w:r w:rsidR="00582426">
        <w:rPr>
          <w:rFonts w:ascii="Times New Roman" w:hAnsi="Times New Roman"/>
          <w:i/>
          <w:sz w:val="24"/>
          <w:szCs w:val="24"/>
        </w:rPr>
        <w:t xml:space="preserve">direta </w:t>
      </w:r>
      <w:r w:rsidR="00582426">
        <w:rPr>
          <w:rFonts w:ascii="Times New Roman" w:hAnsi="Times New Roman"/>
          <w:sz w:val="24"/>
          <w:szCs w:val="24"/>
        </w:rPr>
        <w:t xml:space="preserve">de interesses e projetos (“concertação”), mas como </w:t>
      </w:r>
      <w:r w:rsidR="00582426" w:rsidRPr="002664F1">
        <w:rPr>
          <w:rFonts w:ascii="Times New Roman" w:hAnsi="Times New Roman"/>
          <w:i/>
          <w:sz w:val="24"/>
          <w:szCs w:val="24"/>
        </w:rPr>
        <w:t>afirmação de hegemonia</w:t>
      </w:r>
      <w:r w:rsidR="00582426">
        <w:rPr>
          <w:rFonts w:ascii="Times New Roman" w:hAnsi="Times New Roman"/>
          <w:i/>
          <w:sz w:val="24"/>
          <w:szCs w:val="24"/>
        </w:rPr>
        <w:t>(</w:t>
      </w:r>
      <w:r w:rsidR="00582426" w:rsidRPr="002664F1">
        <w:rPr>
          <w:rFonts w:ascii="Times New Roman" w:hAnsi="Times New Roman"/>
          <w:i/>
          <w:sz w:val="24"/>
          <w:szCs w:val="24"/>
        </w:rPr>
        <w:t>s</w:t>
      </w:r>
      <w:r w:rsidR="00582426">
        <w:rPr>
          <w:rFonts w:ascii="Times New Roman" w:hAnsi="Times New Roman"/>
          <w:i/>
          <w:sz w:val="24"/>
          <w:szCs w:val="24"/>
        </w:rPr>
        <w:t>)</w:t>
      </w:r>
      <w:r w:rsidR="00582426">
        <w:rPr>
          <w:rFonts w:ascii="Times New Roman" w:hAnsi="Times New Roman"/>
          <w:sz w:val="24"/>
          <w:szCs w:val="24"/>
        </w:rPr>
        <w:t xml:space="preserve">, ainda que acertadas nas franjas (e mesmo que ao longo do processo seja necessária </w:t>
      </w:r>
      <w:r w:rsidR="000948C6">
        <w:rPr>
          <w:rFonts w:ascii="Times New Roman" w:hAnsi="Times New Roman"/>
          <w:sz w:val="24"/>
          <w:szCs w:val="24"/>
        </w:rPr>
        <w:t xml:space="preserve">a </w:t>
      </w:r>
      <w:r w:rsidR="00582426">
        <w:rPr>
          <w:rFonts w:ascii="Times New Roman" w:hAnsi="Times New Roman"/>
          <w:sz w:val="24"/>
          <w:szCs w:val="24"/>
        </w:rPr>
        <w:t>depuração de lideranças renitentes), posto que o “miolo” foi definido na sociedade civil.</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É nesse sentido que também vislumbramos o “adensamento institucional” por ocasião dos trabalhos realizados pelos conselheiros na Agenda Nacional de Desenvolvimento. O “esgarçar as mangas” no processo de construção de uma agenda coesa em torno de objetivos e propostas para o “desenvolvimento com sustentabilidade” permitiu, de fato, que se revertesse um desânimo interno entre os conselheiros. Permitiu a abertura de oportunidades claras para que os </w:t>
      </w:r>
      <w:r>
        <w:rPr>
          <w:rFonts w:ascii="Times New Roman" w:hAnsi="Times New Roman"/>
          <w:i/>
          <w:sz w:val="24"/>
          <w:szCs w:val="24"/>
        </w:rPr>
        <w:t>projetos de hegemonia</w:t>
      </w:r>
      <w:r>
        <w:rPr>
          <w:rFonts w:ascii="Times New Roman" w:hAnsi="Times New Roman"/>
          <w:sz w:val="24"/>
          <w:szCs w:val="24"/>
        </w:rPr>
        <w:t xml:space="preserve"> das entidades da sociedade civil patronais pudessem se confrontar, se robustecer, se aperfeiçoar, se coadunar com demandas de outros segmentos sociais as quais não estavam originalmente inscritas, mas que decisivamente não os defrontavam ou os ameaçavam frontalmente, podendo sofrer depurações, descurando e parcelando suas pautas.</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Este foi o </w:t>
      </w:r>
      <w:r>
        <w:rPr>
          <w:rFonts w:ascii="Times New Roman" w:hAnsi="Times New Roman"/>
          <w:i/>
          <w:sz w:val="24"/>
          <w:szCs w:val="24"/>
        </w:rPr>
        <w:t xml:space="preserve">leitmotiv </w:t>
      </w:r>
      <w:r>
        <w:rPr>
          <w:rFonts w:ascii="Times New Roman" w:hAnsi="Times New Roman"/>
          <w:sz w:val="24"/>
          <w:szCs w:val="24"/>
        </w:rPr>
        <w:t xml:space="preserve">do “fortalecimento de vínculos institucionais” proveniente da Agenda e da criação de “capacidades institucionais de negociação e construção de consensos”: administrar ou gerenciar conflitos e disputas internas, aplainando e/ou extraindo robustezas inconvenientes e inoportunas (de origem ou viés socializante) e incorporando componentes gestados pelas lutas populares de forma </w:t>
      </w:r>
      <w:r w:rsidRPr="008C352C">
        <w:rPr>
          <w:rFonts w:ascii="Times New Roman" w:hAnsi="Times New Roman"/>
          <w:i/>
          <w:sz w:val="24"/>
          <w:szCs w:val="24"/>
        </w:rPr>
        <w:t>seletiva, re</w:t>
      </w:r>
      <w:r w:rsidR="004F3993">
        <w:rPr>
          <w:rFonts w:ascii="Times New Roman" w:hAnsi="Times New Roman"/>
          <w:i/>
          <w:sz w:val="24"/>
          <w:szCs w:val="24"/>
        </w:rPr>
        <w:t>s</w:t>
      </w:r>
      <w:r w:rsidRPr="008C352C">
        <w:rPr>
          <w:rFonts w:ascii="Times New Roman" w:hAnsi="Times New Roman"/>
          <w:i/>
          <w:sz w:val="24"/>
          <w:szCs w:val="24"/>
        </w:rPr>
        <w:t xml:space="preserve">significada </w:t>
      </w:r>
      <w:r w:rsidRPr="00603CC5">
        <w:rPr>
          <w:rFonts w:ascii="Times New Roman" w:hAnsi="Times New Roman"/>
          <w:sz w:val="24"/>
          <w:szCs w:val="24"/>
        </w:rPr>
        <w:t xml:space="preserve">e </w:t>
      </w:r>
      <w:r w:rsidRPr="008C352C">
        <w:rPr>
          <w:rFonts w:ascii="Times New Roman" w:hAnsi="Times New Roman"/>
          <w:i/>
          <w:sz w:val="24"/>
          <w:szCs w:val="24"/>
        </w:rPr>
        <w:t>segmentada</w:t>
      </w:r>
      <w:r>
        <w:rPr>
          <w:rFonts w:ascii="Times New Roman" w:hAnsi="Times New Roman"/>
          <w:sz w:val="24"/>
          <w:szCs w:val="24"/>
        </w:rPr>
        <w:t>.  Tão logo o governo deu mostras de relativo desinteresse, no curto prazo, pela Agenda, o “fortalecimento institucional” não se sustentou e inaugurou-se novo ciclo de descontentamentos que, após interlúdio preenchido pela elaboração dos Enunciados Estratégicos,</w:t>
      </w:r>
      <w:r>
        <w:rPr>
          <w:rStyle w:val="Refdenotaderodap"/>
          <w:rFonts w:ascii="Times New Roman" w:hAnsi="Times New Roman"/>
          <w:sz w:val="24"/>
          <w:szCs w:val="24"/>
        </w:rPr>
        <w:footnoteReference w:id="46"/>
      </w:r>
      <w:r>
        <w:rPr>
          <w:rFonts w:ascii="Times New Roman" w:hAnsi="Times New Roman"/>
          <w:sz w:val="24"/>
          <w:szCs w:val="24"/>
        </w:rPr>
        <w:t xml:space="preserve"> foram desaguar na formação do Comitê Gestor.</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Outro estudo importante sobre o CDES é o de Romerio Kunrath. A pesquisa de Kunrath se credencia, </w:t>
      </w:r>
      <w:r w:rsidR="00F729D2">
        <w:rPr>
          <w:rFonts w:ascii="Times New Roman" w:hAnsi="Times New Roman"/>
          <w:sz w:val="24"/>
          <w:szCs w:val="24"/>
        </w:rPr>
        <w:t>em relação</w:t>
      </w:r>
      <w:r>
        <w:rPr>
          <w:rFonts w:ascii="Times New Roman" w:hAnsi="Times New Roman"/>
          <w:sz w:val="24"/>
          <w:szCs w:val="24"/>
        </w:rPr>
        <w:t xml:space="preserve"> aos demais, como aquela que apresenta maior fôlego no trato de uma extensa documentação e tratamento teórico neoinstitucionalista. Fruto de tese de doutorado, sua pesquisa realiza alargamento temporal e dá maior consistência teórico-analítica à sua dissertação de mestrado, também sobre o CDES. </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A tese investiga e compara os Conselhos Econômicos e Sociais da Espanha e do Brasil e tenta defender duas hipóteses: a) os conselhos são criados “como </w:t>
      </w:r>
      <w:r>
        <w:rPr>
          <w:rFonts w:ascii="Times New Roman" w:hAnsi="Times New Roman"/>
          <w:i/>
          <w:sz w:val="24"/>
          <w:szCs w:val="24"/>
        </w:rPr>
        <w:t>complemento</w:t>
      </w:r>
      <w:r>
        <w:rPr>
          <w:rFonts w:ascii="Times New Roman" w:hAnsi="Times New Roman"/>
          <w:sz w:val="24"/>
          <w:szCs w:val="24"/>
        </w:rPr>
        <w:t xml:space="preserve"> às instituições clássicas da democracia representativa liberal, com o objetivo de </w:t>
      </w:r>
      <w:r>
        <w:rPr>
          <w:rFonts w:ascii="Times New Roman" w:hAnsi="Times New Roman"/>
          <w:i/>
          <w:sz w:val="24"/>
          <w:szCs w:val="24"/>
        </w:rPr>
        <w:t>respaldar</w:t>
      </w:r>
      <w:r>
        <w:rPr>
          <w:rFonts w:ascii="Times New Roman" w:hAnsi="Times New Roman"/>
          <w:sz w:val="24"/>
          <w:szCs w:val="24"/>
        </w:rPr>
        <w:t xml:space="preserve"> as ações dos governos e/ou dos Estados, atribuindo-lhes maior grau de </w:t>
      </w:r>
      <w:r>
        <w:rPr>
          <w:rFonts w:ascii="Times New Roman" w:hAnsi="Times New Roman"/>
          <w:i/>
          <w:sz w:val="24"/>
          <w:szCs w:val="24"/>
        </w:rPr>
        <w:t>legitimidade</w:t>
      </w:r>
      <w:r>
        <w:rPr>
          <w:rFonts w:ascii="Times New Roman" w:hAnsi="Times New Roman"/>
          <w:sz w:val="24"/>
          <w:szCs w:val="24"/>
        </w:rPr>
        <w:t xml:space="preserve">, em momentos de (...) </w:t>
      </w:r>
      <w:r>
        <w:rPr>
          <w:rFonts w:ascii="Times New Roman" w:hAnsi="Times New Roman"/>
          <w:i/>
          <w:sz w:val="24"/>
          <w:szCs w:val="24"/>
        </w:rPr>
        <w:t>reformas estruturais</w:t>
      </w:r>
      <w:r w:rsidRPr="0056744C">
        <w:rPr>
          <w:rFonts w:ascii="Times New Roman" w:hAnsi="Times New Roman"/>
          <w:sz w:val="24"/>
          <w:szCs w:val="24"/>
        </w:rPr>
        <w:t>”</w:t>
      </w:r>
      <w:r>
        <w:rPr>
          <w:rFonts w:ascii="Times New Roman" w:hAnsi="Times New Roman"/>
          <w:sz w:val="24"/>
          <w:szCs w:val="24"/>
        </w:rPr>
        <w:t xml:space="preserve"> e b) </w:t>
      </w:r>
      <w:r w:rsidRPr="0041452D">
        <w:rPr>
          <w:rFonts w:ascii="Times New Roman" w:hAnsi="Times New Roman"/>
          <w:sz w:val="24"/>
          <w:szCs w:val="24"/>
        </w:rPr>
        <w:t xml:space="preserve">as características ou as especificidades do </w:t>
      </w:r>
      <w:r w:rsidRPr="0098414E">
        <w:rPr>
          <w:rFonts w:ascii="Times New Roman" w:hAnsi="Times New Roman"/>
          <w:i/>
          <w:sz w:val="24"/>
          <w:szCs w:val="24"/>
        </w:rPr>
        <w:t>contexto</w:t>
      </w:r>
      <w:r w:rsidRPr="0041452D">
        <w:rPr>
          <w:rFonts w:ascii="Times New Roman" w:hAnsi="Times New Roman"/>
          <w:sz w:val="24"/>
          <w:szCs w:val="24"/>
        </w:rPr>
        <w:t xml:space="preserve"> que lhes deu origem constituem fator determinante do formato institucional que assumem tais conselhos na sua estrutura e organização, determinando também o tipo de “produto” que emana como resultado do </w:t>
      </w:r>
      <w:r>
        <w:rPr>
          <w:rFonts w:ascii="Times New Roman" w:hAnsi="Times New Roman"/>
          <w:sz w:val="24"/>
          <w:szCs w:val="24"/>
        </w:rPr>
        <w:t>trabalho desenvolvido por eles.</w:t>
      </w:r>
      <w:r>
        <w:rPr>
          <w:rStyle w:val="Refdenotaderodap"/>
          <w:rFonts w:ascii="Times New Roman" w:hAnsi="Times New Roman"/>
          <w:sz w:val="24"/>
          <w:szCs w:val="24"/>
        </w:rPr>
        <w:footnoteReference w:id="47"/>
      </w:r>
      <w:r>
        <w:rPr>
          <w:rFonts w:ascii="Times New Roman" w:hAnsi="Times New Roman"/>
          <w:sz w:val="24"/>
          <w:szCs w:val="24"/>
        </w:rPr>
        <w:t xml:space="preserve"> Concentremo-nos em pontos fundamentais de sustentação de suas hipóteses evidenciando apenas as considerações acerca do CDES.</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A questão da legitimidade e do contexto histórico aparece imbricada na formulação de Kunrath para tentar dar conta das principais motivações da criação do CDES em 2003, ligadas, segundo o autor, a duas ordens de fatores: a) “a busca de apoio, em especial da classe empresarial, por parte de um governo que se elegia num contexto em que (...) vivia-se também o “medo” de que o retorno à era da inflação pudesse levar o país a uma situação ainda pior; e b) a defesa que tanto o PT como os demais partidos que apoiavam a candidatura Lula vinham fazendo, já de longa data, sobre a necessidade de criar espaços de participação como complemento à organização própria do Estado Liberal Democrático”.</w:t>
      </w:r>
      <w:r>
        <w:rPr>
          <w:rStyle w:val="Refdenotaderodap"/>
          <w:rFonts w:ascii="Times New Roman" w:hAnsi="Times New Roman"/>
          <w:sz w:val="24"/>
          <w:szCs w:val="24"/>
        </w:rPr>
        <w:footnoteReference w:id="48"/>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A tarefa de produzir legitimidade às reformas constitui parte do corpo teórico de um certo neoinstitucionalismo defendido pelo autor. </w:t>
      </w:r>
      <w:r w:rsidR="000948C6">
        <w:rPr>
          <w:rFonts w:ascii="Times New Roman" w:hAnsi="Times New Roman"/>
          <w:sz w:val="24"/>
          <w:szCs w:val="24"/>
        </w:rPr>
        <w:t>O</w:t>
      </w:r>
      <w:r>
        <w:rPr>
          <w:rFonts w:ascii="Times New Roman" w:hAnsi="Times New Roman"/>
          <w:sz w:val="24"/>
          <w:szCs w:val="24"/>
        </w:rPr>
        <w:t xml:space="preserve"> autor afirma que as instituições, numa concepção extensiva, são “mediações entre atores e estruturas” que compreendem “regulação do conflito, compromisso, convenção e cooperação”.</w:t>
      </w:r>
      <w:r>
        <w:rPr>
          <w:rStyle w:val="Refdenotaderodap"/>
          <w:rFonts w:ascii="Times New Roman" w:hAnsi="Times New Roman"/>
          <w:sz w:val="24"/>
          <w:szCs w:val="24"/>
        </w:rPr>
        <w:footnoteReference w:id="49"/>
      </w:r>
      <w:r>
        <w:rPr>
          <w:rFonts w:ascii="Times New Roman" w:hAnsi="Times New Roman"/>
          <w:sz w:val="24"/>
          <w:szCs w:val="24"/>
        </w:rPr>
        <w:t xml:space="preserve"> Tal compreensão de instituição torna-se, portanto, “atraente para pensar novos arranjos como os Conselhos Econômicos e Sociais, que envolvem tanto a perspectiva de cooperação (...) bem como a manifestação do conflito e o estabelecimento de regras de coordenação”.</w:t>
      </w:r>
      <w:r>
        <w:rPr>
          <w:rStyle w:val="Refdenotaderodap"/>
          <w:rFonts w:ascii="Times New Roman" w:hAnsi="Times New Roman"/>
          <w:sz w:val="24"/>
          <w:szCs w:val="24"/>
        </w:rPr>
        <w:footnoteReference w:id="50"/>
      </w:r>
    </w:p>
    <w:p w:rsidR="00582426" w:rsidRPr="003B40D3"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O corpo teórico adotado lhe permite comungar com as análises deoutros autores, assegurando que a “nova fase de concertação” europeia, inaugurada na década de 90, </w:t>
      </w:r>
      <w:r w:rsidRPr="00A94736">
        <w:rPr>
          <w:rFonts w:ascii="Times New Roman" w:hAnsi="Times New Roman"/>
          <w:sz w:val="24"/>
          <w:szCs w:val="24"/>
        </w:rPr>
        <w:t>reflete</w:t>
      </w:r>
    </w:p>
    <w:p w:rsidR="00582426" w:rsidRPr="003B40D3" w:rsidRDefault="00582426" w:rsidP="00582426">
      <w:pPr>
        <w:spacing w:line="240" w:lineRule="auto"/>
        <w:ind w:left="2268"/>
        <w:jc w:val="both"/>
        <w:rPr>
          <w:rFonts w:ascii="Times New Roman" w:hAnsi="Times New Roman"/>
          <w:sz w:val="20"/>
          <w:szCs w:val="20"/>
        </w:rPr>
      </w:pPr>
      <w:r>
        <w:rPr>
          <w:rFonts w:ascii="Times New Roman" w:hAnsi="Times New Roman"/>
          <w:sz w:val="20"/>
          <w:szCs w:val="20"/>
        </w:rPr>
        <w:t>a</w:t>
      </w:r>
      <w:r w:rsidRPr="003B40D3">
        <w:rPr>
          <w:rFonts w:ascii="Times New Roman" w:hAnsi="Times New Roman"/>
          <w:sz w:val="20"/>
          <w:szCs w:val="20"/>
        </w:rPr>
        <w:t xml:space="preserve">busca de soluções de compromisso e saídas conjuntas em torno de exigências contraditórias. De um lado, a </w:t>
      </w:r>
      <w:r w:rsidRPr="00A94736">
        <w:rPr>
          <w:rFonts w:ascii="Times New Roman" w:hAnsi="Times New Roman"/>
          <w:sz w:val="20"/>
          <w:szCs w:val="20"/>
        </w:rPr>
        <w:t>necessidade</w:t>
      </w:r>
      <w:r w:rsidRPr="003B40D3">
        <w:rPr>
          <w:rFonts w:ascii="Times New Roman" w:hAnsi="Times New Roman"/>
          <w:sz w:val="20"/>
          <w:szCs w:val="20"/>
        </w:rPr>
        <w:t xml:space="preserve"> de introduzir reformas para desregulamentar, flexibilizar as relações contratuais e reduzir o Estado de Bem-Estar. De outro, </w:t>
      </w:r>
      <w:r w:rsidRPr="00A94736">
        <w:rPr>
          <w:rFonts w:ascii="Times New Roman" w:hAnsi="Times New Roman"/>
          <w:sz w:val="20"/>
          <w:szCs w:val="20"/>
        </w:rPr>
        <w:t>a necessidade</w:t>
      </w:r>
      <w:r w:rsidRPr="003B40D3">
        <w:rPr>
          <w:rFonts w:ascii="Times New Roman" w:hAnsi="Times New Roman"/>
          <w:sz w:val="20"/>
          <w:szCs w:val="20"/>
        </w:rPr>
        <w:t xml:space="preserve"> de criar fortes apoios, cooperação e compromisso social, para aumentar a competiti</w:t>
      </w:r>
      <w:r>
        <w:rPr>
          <w:rFonts w:ascii="Times New Roman" w:hAnsi="Times New Roman"/>
          <w:sz w:val="20"/>
          <w:szCs w:val="20"/>
        </w:rPr>
        <w:t>vidade no mercado internacional.</w:t>
      </w:r>
      <w:r>
        <w:rPr>
          <w:rStyle w:val="Refdenotaderodap"/>
          <w:rFonts w:ascii="Times New Roman" w:hAnsi="Times New Roman"/>
          <w:sz w:val="20"/>
          <w:szCs w:val="20"/>
        </w:rPr>
        <w:footnoteReference w:id="51"/>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No caso da América Latina, o autor compartilha com as posições de Licha</w:t>
      </w:r>
      <w:r w:rsidR="000948C6">
        <w:rPr>
          <w:rStyle w:val="Refdenotaderodap"/>
          <w:rFonts w:ascii="Times New Roman" w:hAnsi="Times New Roman"/>
          <w:sz w:val="24"/>
          <w:szCs w:val="24"/>
        </w:rPr>
        <w:footnoteReference w:id="52"/>
      </w:r>
      <w:r>
        <w:rPr>
          <w:rFonts w:ascii="Times New Roman" w:hAnsi="Times New Roman"/>
          <w:sz w:val="24"/>
          <w:szCs w:val="24"/>
        </w:rPr>
        <w:t xml:space="preserve"> e destaca que as políticas de concertação relacionam-se à redução de “riscos de ingovernabilidade” causados pelo aumento dos conflitos sociais decorrentes do incremento da violência, pobreza e desigualdade. Estas políticas seriam eficazes, segundo o autor, como “mecanismos de legitimação das reformas em curso, facilitando coalizões e acordos que dêem a elas sustentação, quando os acordos se tornam imprescindíveis para que as reformas aconteçam”.</w:t>
      </w:r>
      <w:r>
        <w:rPr>
          <w:rStyle w:val="Refdenotaderodap"/>
          <w:rFonts w:ascii="Times New Roman" w:hAnsi="Times New Roman"/>
          <w:sz w:val="24"/>
          <w:szCs w:val="24"/>
        </w:rPr>
        <w:footnoteReference w:id="53"/>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 No Brasil, Kunrath realça o fato de que o primeiro governo de Lula da Silva precisava garantir a “governabilidade” e, para tanto, buscou apoio da classe empresarial para orquestrar as “reformas estruturais necessárias ao país, inscritas na agenda pública antes mesmo de se eleger”.</w:t>
      </w:r>
      <w:r>
        <w:rPr>
          <w:rStyle w:val="Refdenotaderodap"/>
          <w:rFonts w:ascii="Times New Roman" w:hAnsi="Times New Roman"/>
          <w:sz w:val="24"/>
          <w:szCs w:val="24"/>
        </w:rPr>
        <w:footnoteReference w:id="54"/>
      </w:r>
      <w:r>
        <w:rPr>
          <w:rFonts w:ascii="Times New Roman" w:hAnsi="Times New Roman"/>
          <w:sz w:val="24"/>
          <w:szCs w:val="24"/>
        </w:rPr>
        <w:t xml:space="preserve"> Assim, a motivação do “diálogo” e da “cultura de negociação e participação”, orientada para a convergência entre diferentes atores econômicos e sociais sobre “questões importantes, como eram os temas das reformas, </w:t>
      </w:r>
      <w:r w:rsidRPr="00CB3937">
        <w:rPr>
          <w:rFonts w:ascii="Times New Roman" w:hAnsi="Times New Roman"/>
          <w:sz w:val="24"/>
          <w:szCs w:val="24"/>
        </w:rPr>
        <w:t>aparentemente</w:t>
      </w:r>
      <w:r>
        <w:rPr>
          <w:rFonts w:ascii="Times New Roman" w:hAnsi="Times New Roman"/>
          <w:sz w:val="24"/>
          <w:szCs w:val="24"/>
        </w:rPr>
        <w:t xml:space="preserve"> contrária ao ideário de várias forças sociais e partidos políticos que o apoiaram”, foi realizada através da criação de espaços como o CDES.</w:t>
      </w:r>
      <w:r>
        <w:rPr>
          <w:rStyle w:val="Refdenotaderodap"/>
          <w:rFonts w:ascii="Times New Roman" w:hAnsi="Times New Roman"/>
          <w:sz w:val="24"/>
          <w:szCs w:val="24"/>
        </w:rPr>
        <w:footnoteReference w:id="55"/>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Além disso, o autor aciona uma combinação de fatores “históricos/contextuais” e “estratégicos/instrumentais”, “trazidas das principais vertentes do neoinstitucionalismo” que explicariam a criação do CDES. Do ponto de vista histórico: a) emergência dos movimentos sociais organizados nos anos 1980; b) importância atribuída aos conselhos gestores a partir da CF/88; c) experiência das câmaras setoriais nos anos 90; d) compromisso do PT com os movimentos populares e sociais do campo e da cidade; e) experiência administrativa do PT nas prefeituras. Do ponto de vista do “institucionalismo da Escolha Racional” ou de uma “visão estratégica/instrumental: a) escolha de José de Alencar como vice; b) necessidade de contar com o respaldo do setor industrial brasileiro (“retribuir a confiança depositada nas urnas”); c) receio do resgate de um governo populista; d) convencer aliados históricos “de que as reformas precisariam ser enfrentadas”; e) era chegado o momento de promover “uma mudança radical na forma de se fazer política do país, deixando de lado a velha conciliação pelo alto”, fortalecendo a democracia.</w:t>
      </w:r>
      <w:r>
        <w:rPr>
          <w:rStyle w:val="Refdenotaderodap"/>
          <w:rFonts w:ascii="Times New Roman" w:hAnsi="Times New Roman"/>
          <w:sz w:val="24"/>
          <w:szCs w:val="24"/>
        </w:rPr>
        <w:footnoteReference w:id="56"/>
      </w:r>
      <w:r>
        <w:rPr>
          <w:rFonts w:ascii="Times New Roman" w:hAnsi="Times New Roman"/>
          <w:sz w:val="24"/>
          <w:szCs w:val="24"/>
        </w:rPr>
        <w:t xml:space="preserve"> A análise mais condensada e substantiva do autor foi expressa nos termos abaixo:</w:t>
      </w:r>
    </w:p>
    <w:p w:rsidR="00582426" w:rsidRPr="00B7750C" w:rsidRDefault="00582426" w:rsidP="00582426">
      <w:pPr>
        <w:spacing w:line="240" w:lineRule="auto"/>
        <w:ind w:left="2268"/>
        <w:jc w:val="both"/>
        <w:rPr>
          <w:rFonts w:ascii="Times New Roman" w:hAnsi="Times New Roman"/>
          <w:sz w:val="20"/>
          <w:szCs w:val="20"/>
        </w:rPr>
      </w:pPr>
      <w:r w:rsidRPr="00B7750C">
        <w:rPr>
          <w:rFonts w:ascii="Times New Roman" w:hAnsi="Times New Roman"/>
          <w:sz w:val="20"/>
          <w:szCs w:val="20"/>
        </w:rPr>
        <w:t>Pode-se dizer que a criação do CDES, além de inovadora, representou um ato de coragem e ousadia do governo frente a determinados grupos de elites do país, pouco afeitos à negociação. Assim, a primeira estratégia do governo foi adotar a “política do espaço”, criando novos espaços de participação, análise e deliberação, abertos à manifestação de diferentes pontos de vista a respeito de determinados temas que, às vezes, custam caro aos governos, como a reforma da previdência, reforma tributária, reforma sindical e trabalhista, entre outras, quando este necessitava de um mínimo de respaldo da população para executá-las, pois por mais legitimidade que as urnas lhe atribuíssem, o contexto econômico lhe era desfavorável, podendo gerar instabilidade política e crises de governabilidade. Nesse momento, o governo agiu estrategicamente para manter e se consolidar no poder, acreditando na possibilidade do consenso, sobre alguns pontos polêmicos da sua agenda</w:t>
      </w:r>
      <w:r>
        <w:rPr>
          <w:rFonts w:ascii="Times New Roman" w:hAnsi="Times New Roman"/>
          <w:sz w:val="20"/>
          <w:szCs w:val="20"/>
        </w:rPr>
        <w:t>.</w:t>
      </w:r>
      <w:r>
        <w:rPr>
          <w:rStyle w:val="Refdenotaderodap"/>
          <w:rFonts w:ascii="Times New Roman" w:hAnsi="Times New Roman"/>
          <w:sz w:val="20"/>
          <w:szCs w:val="20"/>
        </w:rPr>
        <w:footnoteReference w:id="57"/>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Por um caminho bastante percorrido pelos demais analistas do CDES, Kunrath explica a importância do CDES na democratização do Estado e da sociedade. A criação de fóruns institucionalizados de concertação social, embasada na “teoria da deliberação democrática”, buscaria “outra via para se chegar ao consenso social e político” não atendida pelas crises das democracias liberais e lhes propunha “uma contribuição, ou reforço”.</w:t>
      </w:r>
      <w:r>
        <w:rPr>
          <w:rStyle w:val="Refdenotaderodap"/>
          <w:rFonts w:ascii="Times New Roman" w:hAnsi="Times New Roman"/>
          <w:sz w:val="24"/>
          <w:szCs w:val="24"/>
        </w:rPr>
        <w:footnoteReference w:id="58"/>
      </w:r>
      <w:r>
        <w:rPr>
          <w:rFonts w:ascii="Times New Roman" w:hAnsi="Times New Roman"/>
          <w:sz w:val="24"/>
          <w:szCs w:val="24"/>
        </w:rPr>
        <w:t xml:space="preserve"> Atualmente se observaria a “institucionalização destes mecanismos de participação no âmbito dos Estados nacionais”, valorizando “a participação direta dos cidadãos e das organizações no coração de uma definição ampliada de democracia e de soberania popular”, transferindo “para o plano institucional conflitos que antes se resolviam por outros meios, ou de outra maneira”.</w:t>
      </w:r>
      <w:r>
        <w:rPr>
          <w:rStyle w:val="Refdenotaderodap"/>
          <w:rFonts w:ascii="Times New Roman" w:hAnsi="Times New Roman"/>
          <w:sz w:val="24"/>
          <w:szCs w:val="24"/>
        </w:rPr>
        <w:footnoteReference w:id="59"/>
      </w:r>
      <w:r>
        <w:rPr>
          <w:rFonts w:ascii="Times New Roman" w:hAnsi="Times New Roman"/>
          <w:sz w:val="24"/>
          <w:szCs w:val="24"/>
        </w:rPr>
        <w:t xml:space="preserve"> Conforme o autor, o CDES foi uma aposta do governo Lula da Silva “nessa interlocução ativa com a sociedade”, passando de participação liderada pela sociedade civil, nos tempos de FHC, para uma “mais assistida, fomentada, ou coordenada pelo Estado, ou de um Estado </w:t>
      </w:r>
      <w:r w:rsidR="00573F80">
        <w:rPr>
          <w:rFonts w:ascii="Times New Roman" w:hAnsi="Times New Roman"/>
          <w:sz w:val="24"/>
          <w:szCs w:val="24"/>
        </w:rPr>
        <w:t xml:space="preserve">que </w:t>
      </w:r>
      <w:r>
        <w:rPr>
          <w:rFonts w:ascii="Times New Roman" w:hAnsi="Times New Roman"/>
          <w:sz w:val="24"/>
          <w:szCs w:val="24"/>
        </w:rPr>
        <w:t>se desenha para a sociedade civil”.</w:t>
      </w:r>
      <w:r>
        <w:rPr>
          <w:rStyle w:val="Refdenotaderodap"/>
          <w:rFonts w:ascii="Times New Roman" w:hAnsi="Times New Roman"/>
          <w:sz w:val="24"/>
          <w:szCs w:val="24"/>
        </w:rPr>
        <w:footnoteReference w:id="60"/>
      </w:r>
    </w:p>
    <w:p w:rsidR="001D557D"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Há outros temas importantes trabalhados por Kunrath em sua tese, mas acreditamos ter destacado aqueles que mais de perto envolvem o CDES. As nossas </w:t>
      </w:r>
      <w:r w:rsidR="00573F80">
        <w:rPr>
          <w:rFonts w:ascii="Times New Roman" w:hAnsi="Times New Roman"/>
          <w:sz w:val="24"/>
          <w:szCs w:val="24"/>
        </w:rPr>
        <w:t xml:space="preserve">críticas </w:t>
      </w:r>
      <w:r w:rsidR="001D557D">
        <w:rPr>
          <w:rFonts w:ascii="Times New Roman" w:hAnsi="Times New Roman"/>
          <w:sz w:val="24"/>
          <w:szCs w:val="24"/>
        </w:rPr>
        <w:t xml:space="preserve">partem da </w:t>
      </w:r>
      <w:r>
        <w:rPr>
          <w:rFonts w:ascii="Times New Roman" w:hAnsi="Times New Roman"/>
          <w:sz w:val="24"/>
          <w:szCs w:val="24"/>
        </w:rPr>
        <w:t>articulação en</w:t>
      </w:r>
      <w:r w:rsidR="001D557D">
        <w:rPr>
          <w:rFonts w:ascii="Times New Roman" w:hAnsi="Times New Roman"/>
          <w:sz w:val="24"/>
          <w:szCs w:val="24"/>
        </w:rPr>
        <w:t>tre classes sociais e hegemonia, com lastro n</w:t>
      </w:r>
      <w:r>
        <w:rPr>
          <w:rFonts w:ascii="Times New Roman" w:hAnsi="Times New Roman"/>
          <w:sz w:val="24"/>
          <w:szCs w:val="24"/>
        </w:rPr>
        <w:t>as relações entre economia e política no capitalismo contemporâneo</w:t>
      </w:r>
      <w:r w:rsidR="001D557D">
        <w:rPr>
          <w:rFonts w:ascii="Times New Roman" w:hAnsi="Times New Roman"/>
          <w:sz w:val="24"/>
          <w:szCs w:val="24"/>
        </w:rPr>
        <w:t>.</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A primeira problemática se refere às “soluções de compromisso” e “saídas conjuntas” - ou “regulação concertada”, na expressão de Tápia. No nosso entendimento, são formas</w:t>
      </w:r>
      <w:r w:rsidR="00573F80">
        <w:rPr>
          <w:rFonts w:ascii="Times New Roman" w:hAnsi="Times New Roman"/>
          <w:sz w:val="24"/>
          <w:szCs w:val="24"/>
        </w:rPr>
        <w:t xml:space="preserve"> de</w:t>
      </w:r>
      <w:r>
        <w:rPr>
          <w:rFonts w:ascii="Times New Roman" w:hAnsi="Times New Roman"/>
          <w:sz w:val="24"/>
          <w:szCs w:val="24"/>
        </w:rPr>
        <w:t xml:space="preserve"> desarticulação ou eliminação de algumas amarras, barreiras, constrangimentos político-ideológicos, pela via da hegemonia e da dominação, para o avanço do capital sobre as conquistas das classes trabalhadoras, expostas como “flexibilidade seletiva”, convertendo lutas emancipatórias, redistributivas ou de cunho universalizante em consentimento ativo (principalmente de partidos e sindicatos) à “pactuação” de classes, na esteira do refluxo de organizações e movimentos combativos e/ou numa esterilização </w:t>
      </w:r>
      <w:r>
        <w:rPr>
          <w:rFonts w:ascii="Times New Roman" w:hAnsi="Times New Roman"/>
          <w:i/>
          <w:sz w:val="24"/>
          <w:szCs w:val="24"/>
        </w:rPr>
        <w:t xml:space="preserve">ex ante </w:t>
      </w:r>
      <w:r>
        <w:rPr>
          <w:rFonts w:ascii="Times New Roman" w:hAnsi="Times New Roman"/>
          <w:sz w:val="24"/>
          <w:szCs w:val="24"/>
        </w:rPr>
        <w:t>de sua provável retomada. Isto envolvia grande</w:t>
      </w:r>
      <w:r w:rsidR="00573F80">
        <w:rPr>
          <w:rFonts w:ascii="Times New Roman" w:hAnsi="Times New Roman"/>
          <w:sz w:val="24"/>
          <w:szCs w:val="24"/>
        </w:rPr>
        <w:t>s</w:t>
      </w:r>
      <w:r>
        <w:rPr>
          <w:rFonts w:ascii="Times New Roman" w:hAnsi="Times New Roman"/>
          <w:sz w:val="24"/>
          <w:szCs w:val="24"/>
        </w:rPr>
        <w:t xml:space="preserve"> incentivo</w:t>
      </w:r>
      <w:r w:rsidR="00573F80">
        <w:rPr>
          <w:rFonts w:ascii="Times New Roman" w:hAnsi="Times New Roman"/>
          <w:sz w:val="24"/>
          <w:szCs w:val="24"/>
        </w:rPr>
        <w:t>s</w:t>
      </w:r>
      <w:r>
        <w:rPr>
          <w:rFonts w:ascii="Times New Roman" w:hAnsi="Times New Roman"/>
          <w:sz w:val="24"/>
          <w:szCs w:val="24"/>
        </w:rPr>
        <w:t xml:space="preserve"> e investimento</w:t>
      </w:r>
      <w:r w:rsidR="00573F80">
        <w:rPr>
          <w:rFonts w:ascii="Times New Roman" w:hAnsi="Times New Roman"/>
          <w:sz w:val="24"/>
          <w:szCs w:val="24"/>
        </w:rPr>
        <w:t>s</w:t>
      </w:r>
      <w:r>
        <w:rPr>
          <w:rFonts w:ascii="Times New Roman" w:hAnsi="Times New Roman"/>
          <w:sz w:val="24"/>
          <w:szCs w:val="24"/>
        </w:rPr>
        <w:t xml:space="preserve"> de vários tipos no apoio, produção e disseminação de largos setores de “esquerda” adesionista e colaboracionista, institucional e resignada (“propositiva” diriam eles), cujo discurso apontava para a atuação nos marcos “do possível” (isto é, a conta-gotas e seletivamente) para as aspirações oriundas dos setores populares e desde que fossem capazes, na prática real e efetiva, de ampliar a escala de lucros nos limites do improvável. </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 Ora, os autores </w:t>
      </w:r>
      <w:r w:rsidR="001D557D">
        <w:rPr>
          <w:rFonts w:ascii="Times New Roman" w:hAnsi="Times New Roman"/>
          <w:sz w:val="24"/>
          <w:szCs w:val="24"/>
        </w:rPr>
        <w:t xml:space="preserve">trazidos </w:t>
      </w:r>
      <w:r>
        <w:rPr>
          <w:rFonts w:ascii="Times New Roman" w:hAnsi="Times New Roman"/>
          <w:sz w:val="24"/>
          <w:szCs w:val="24"/>
        </w:rPr>
        <w:t xml:space="preserve">parecem endossar este </w:t>
      </w:r>
      <w:r w:rsidRPr="00A14F3D">
        <w:rPr>
          <w:rFonts w:ascii="Times New Roman" w:hAnsi="Times New Roman"/>
          <w:i/>
          <w:sz w:val="24"/>
          <w:szCs w:val="24"/>
        </w:rPr>
        <w:t>projeto hegemônico</w:t>
      </w:r>
      <w:r>
        <w:rPr>
          <w:rFonts w:ascii="Times New Roman" w:hAnsi="Times New Roman"/>
          <w:sz w:val="24"/>
          <w:szCs w:val="24"/>
        </w:rPr>
        <w:t xml:space="preserve">, acreditando se tratar de “alternativa” à “economia sem coordenação”. A </w:t>
      </w:r>
      <w:r w:rsidRPr="00BF6441">
        <w:rPr>
          <w:rFonts w:ascii="Times New Roman" w:hAnsi="Times New Roman"/>
          <w:i/>
          <w:sz w:val="24"/>
          <w:szCs w:val="24"/>
        </w:rPr>
        <w:t>legitimidade</w:t>
      </w:r>
      <w:r>
        <w:rPr>
          <w:rFonts w:ascii="Times New Roman" w:hAnsi="Times New Roman"/>
          <w:sz w:val="24"/>
          <w:szCs w:val="24"/>
        </w:rPr>
        <w:t xml:space="preserve">identificada e tratada pelos autores de fato constitui </w:t>
      </w:r>
      <w:r w:rsidR="001D557D">
        <w:rPr>
          <w:rFonts w:ascii="Times New Roman" w:hAnsi="Times New Roman"/>
          <w:sz w:val="24"/>
          <w:szCs w:val="24"/>
        </w:rPr>
        <w:t>elemento importante d</w:t>
      </w:r>
      <w:r>
        <w:rPr>
          <w:rFonts w:ascii="Times New Roman" w:hAnsi="Times New Roman"/>
          <w:sz w:val="24"/>
          <w:szCs w:val="24"/>
        </w:rPr>
        <w:t xml:space="preserve">o projeto, mas eles a tomam como vantajosa para os “atores” que dele participam. </w:t>
      </w:r>
      <w:r w:rsidR="00573F80">
        <w:rPr>
          <w:rFonts w:ascii="Times New Roman" w:hAnsi="Times New Roman"/>
          <w:sz w:val="24"/>
          <w:szCs w:val="24"/>
        </w:rPr>
        <w:t>A nosso ver, o</w:t>
      </w:r>
      <w:r>
        <w:rPr>
          <w:rFonts w:ascii="Times New Roman" w:hAnsi="Times New Roman"/>
          <w:sz w:val="24"/>
          <w:szCs w:val="24"/>
        </w:rPr>
        <w:t>desafio teórico e político</w:t>
      </w:r>
      <w:r w:rsidR="00573F80">
        <w:rPr>
          <w:rFonts w:ascii="Times New Roman" w:hAnsi="Times New Roman"/>
          <w:sz w:val="24"/>
          <w:szCs w:val="24"/>
        </w:rPr>
        <w:t xml:space="preserve"> que se apresenta</w:t>
      </w:r>
      <w:r>
        <w:rPr>
          <w:rFonts w:ascii="Times New Roman" w:hAnsi="Times New Roman"/>
          <w:sz w:val="24"/>
          <w:szCs w:val="24"/>
        </w:rPr>
        <w:t xml:space="preserve"> é </w:t>
      </w:r>
      <w:r w:rsidR="00573F80">
        <w:rPr>
          <w:rFonts w:ascii="Times New Roman" w:hAnsi="Times New Roman"/>
          <w:sz w:val="24"/>
          <w:szCs w:val="24"/>
        </w:rPr>
        <w:t xml:space="preserve">outro: </w:t>
      </w:r>
      <w:r>
        <w:rPr>
          <w:rFonts w:ascii="Times New Roman" w:hAnsi="Times New Roman"/>
          <w:sz w:val="24"/>
          <w:szCs w:val="24"/>
        </w:rPr>
        <w:t xml:space="preserve">o da </w:t>
      </w:r>
      <w:r w:rsidRPr="001C2559">
        <w:rPr>
          <w:rFonts w:ascii="Times New Roman" w:hAnsi="Times New Roman"/>
          <w:i/>
          <w:sz w:val="24"/>
          <w:szCs w:val="24"/>
        </w:rPr>
        <w:t>renovação da hegemonia</w:t>
      </w:r>
      <w:r>
        <w:rPr>
          <w:rFonts w:ascii="Times New Roman" w:hAnsi="Times New Roman"/>
          <w:sz w:val="24"/>
          <w:szCs w:val="24"/>
        </w:rPr>
        <w:t xml:space="preserve">, a qual </w:t>
      </w:r>
      <w:r>
        <w:rPr>
          <w:rFonts w:ascii="Times New Roman" w:hAnsi="Times New Roman"/>
          <w:i/>
          <w:sz w:val="24"/>
          <w:szCs w:val="24"/>
        </w:rPr>
        <w:t xml:space="preserve">precisa </w:t>
      </w:r>
      <w:r>
        <w:rPr>
          <w:rFonts w:ascii="Times New Roman" w:hAnsi="Times New Roman"/>
          <w:sz w:val="24"/>
          <w:szCs w:val="24"/>
        </w:rPr>
        <w:t xml:space="preserve">de um novo pacto conciliatório que aponte para ampliação da estratégia de desenvolvimento capitalista sem alterar as bases macroeconômicas em que se assentou o neoliberalismo, acenando aos derrotados e resignados promessas de ganhos (precários, imediatos, fragmentados), desde que se mantenham em tais condições, com o propósito de conter ou reduzir “riscos de ingovernabilidade” e assim “aumentar a competitividade no mercado internacional”, ao mesmo tempo em que repõe garantias ao investimento externo. </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Outra problemática importante abordada pelos autores é o da suposta </w:t>
      </w:r>
      <w:r>
        <w:rPr>
          <w:rFonts w:ascii="Times New Roman" w:hAnsi="Times New Roman"/>
          <w:i/>
          <w:sz w:val="24"/>
          <w:szCs w:val="24"/>
        </w:rPr>
        <w:t>complementaridade</w:t>
      </w:r>
      <w:r>
        <w:rPr>
          <w:rFonts w:ascii="Times New Roman" w:hAnsi="Times New Roman"/>
          <w:sz w:val="24"/>
          <w:szCs w:val="24"/>
        </w:rPr>
        <w:t xml:space="preserve"> que o CDES assumiria, como arena da “democracia participativa”, frente à democracia representativa liberal. Se esta hipótese talvez possa ser comprovada em outros contextos, não nos parece se sustentar para o caso do CDES. Talvez não seja o caso também da maioria dos conselhos gestores no Brasil, não apenas devido à alta burocratização e distanciamento popular que estes espaços vêm apresentando de longa data, cada vez mais “funcionários” do governo que os administra e, muitas vezes, dedicados a uma lógica procedimental fiscalizatória, burocrática, tarefeira, que pouco ou nada tem a ver como desafio propositivo e de intervenção social originalmente projetado. Trata-se também de conselhos amarrados à institucionalidade de governos burgueses, que de fato os instauram ou os mantém porque assim a legislação exige, ou sem os quais verbas advindas de outros entes federativos não são liberadas,</w:t>
      </w:r>
      <w:r>
        <w:rPr>
          <w:rStyle w:val="Refdenotaderodap"/>
          <w:rFonts w:ascii="Times New Roman" w:hAnsi="Times New Roman"/>
          <w:sz w:val="24"/>
          <w:szCs w:val="24"/>
        </w:rPr>
        <w:footnoteReference w:id="61"/>
      </w:r>
      <w:r>
        <w:rPr>
          <w:rFonts w:ascii="Times New Roman" w:hAnsi="Times New Roman"/>
          <w:sz w:val="24"/>
          <w:szCs w:val="24"/>
        </w:rPr>
        <w:t xml:space="preserve"> podendo-se pensar, inclusive, nas “vantagens” que seus membros podem obter não pela remuneração recebida, mas, principalmente, pelos canais de influência direta que se pode abrir ou alargar com interesses empresariais, político-eleitorais, mercantil-filantrópicos, etc.</w:t>
      </w:r>
    </w:p>
    <w:p w:rsidR="00582426" w:rsidRDefault="00582426" w:rsidP="00582426">
      <w:pPr>
        <w:spacing w:line="360" w:lineRule="auto"/>
        <w:ind w:firstLine="708"/>
        <w:jc w:val="both"/>
        <w:rPr>
          <w:rFonts w:ascii="Times New Roman" w:hAnsi="Times New Roman"/>
          <w:sz w:val="24"/>
          <w:szCs w:val="24"/>
        </w:rPr>
      </w:pPr>
      <w:r>
        <w:rPr>
          <w:rFonts w:ascii="Times New Roman" w:hAnsi="Times New Roman"/>
          <w:sz w:val="24"/>
          <w:szCs w:val="24"/>
        </w:rPr>
        <w:t>A hipótese aqui é outra e muito diversa de uma suposta “complementariedade da democracia representativa” de que o CDES seria responsável. Partindo da conceitualização teórico-histórica de Estado ampliado gramsciana, a nossa hipótese, como foi sumariamente apresentada no início desta introdução, é a de que o</w:t>
      </w:r>
      <w:r w:rsidRPr="00AD5283">
        <w:rPr>
          <w:rFonts w:ascii="Times New Roman" w:hAnsi="Times New Roman"/>
          <w:i/>
          <w:sz w:val="24"/>
          <w:szCs w:val="24"/>
        </w:rPr>
        <w:t xml:space="preserve"> CDES é um capítulo a mais na histórica ampliação seletiva do Estado brasileiro</w:t>
      </w:r>
      <w:r>
        <w:rPr>
          <w:rFonts w:ascii="Times New Roman" w:hAnsi="Times New Roman"/>
          <w:sz w:val="24"/>
          <w:szCs w:val="24"/>
        </w:rPr>
        <w:t>, não sendo certamente o único, mas provavelmente candidata-se como o mais importante nos tempos mais recentes.</w:t>
      </w:r>
    </w:p>
    <w:p w:rsidR="00582426" w:rsidRPr="00060058" w:rsidRDefault="00582426" w:rsidP="00582426">
      <w:pPr>
        <w:spacing w:after="0" w:line="360" w:lineRule="auto"/>
        <w:jc w:val="both"/>
        <w:rPr>
          <w:rFonts w:ascii="Times New Roman" w:hAnsi="Times New Roman"/>
          <w:b/>
          <w:sz w:val="24"/>
          <w:szCs w:val="24"/>
        </w:rPr>
      </w:pPr>
      <w:r>
        <w:rPr>
          <w:rFonts w:ascii="Times New Roman" w:hAnsi="Times New Roman"/>
          <w:b/>
          <w:sz w:val="24"/>
          <w:szCs w:val="24"/>
        </w:rPr>
        <w:t>Os “consensualistas democráticos”</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Muito citado pelos demais autores, Lúcio Kowarick publicou provavelmente o primeiro trabalho de análise mais sistemática sobre o CDES, em 2003. O analista a se apoia nas experiências históricas cultivadas pelo PT em suas administrações para explicar o surgimento do CDES. Considerado como expressão das “modalidades de superação de conflitos”, os quais se incluem os Orçamentos Participativos, os Conselhos de Saúde, Educação, Transporte ou Meio Ambiente, e, “apoiados na consulta aos variados grupos sociais”, o conjunto destas tradições políticas emanadas do próprio partido, “a decisão política em criar o Conselho baseado na democracia por consenso, que favorece a conciliação de pontos divergentes”. O autor destaca ainda a postura de lideranças do PT que possuem em suas biografias “enorme experiência de chegar a acordos com opositores”.</w:t>
      </w:r>
      <w:r>
        <w:rPr>
          <w:rStyle w:val="Refdenotaderodap"/>
          <w:rFonts w:ascii="Times New Roman" w:hAnsi="Times New Roman"/>
          <w:sz w:val="24"/>
          <w:szCs w:val="24"/>
        </w:rPr>
        <w:footnoteReference w:id="62"/>
      </w:r>
    </w:p>
    <w:p w:rsidR="00582426" w:rsidRDefault="00582426" w:rsidP="00582426">
      <w:pPr>
        <w:spacing w:after="0" w:line="360" w:lineRule="auto"/>
        <w:jc w:val="both"/>
        <w:rPr>
          <w:rFonts w:ascii="Times New Roman" w:hAnsi="Times New Roman"/>
          <w:sz w:val="24"/>
          <w:szCs w:val="24"/>
        </w:rPr>
      </w:pPr>
      <w:r>
        <w:rPr>
          <w:rFonts w:ascii="Times New Roman" w:hAnsi="Times New Roman"/>
          <w:sz w:val="24"/>
          <w:szCs w:val="24"/>
        </w:rPr>
        <w:tab/>
        <w:t>Sobre a polêmica questão da super-representatividade empresarial, Kowarick adere à tese da mudança do sistema decisório</w:t>
      </w:r>
      <w:r w:rsidR="00573F80">
        <w:rPr>
          <w:rFonts w:ascii="Times New Roman" w:hAnsi="Times New Roman"/>
          <w:sz w:val="24"/>
          <w:szCs w:val="24"/>
        </w:rPr>
        <w:t xml:space="preserve"> de majoritário para consensual</w:t>
      </w:r>
      <w:r>
        <w:rPr>
          <w:rFonts w:ascii="Times New Roman" w:hAnsi="Times New Roman"/>
          <w:sz w:val="24"/>
          <w:szCs w:val="24"/>
        </w:rPr>
        <w:t>. Na verdade, o autor está mais decidido em seu artigo em defender argumentos que visem à “coesão” e “construção de consensos”. Mobiliza, para tanto, a importância da “confiança”, ou, de forma mais detalhada, a “produção de uma ética de negociação, cujos princípios básicos são a confiabilidade e a cooperação”</w:t>
      </w:r>
      <w:r>
        <w:rPr>
          <w:rStyle w:val="Refdenotaderodap"/>
          <w:rFonts w:ascii="Times New Roman" w:hAnsi="Times New Roman"/>
          <w:sz w:val="24"/>
          <w:szCs w:val="24"/>
        </w:rPr>
        <w:footnoteReference w:id="63"/>
      </w:r>
      <w:r>
        <w:rPr>
          <w:rFonts w:ascii="Times New Roman" w:hAnsi="Times New Roman"/>
          <w:sz w:val="24"/>
          <w:szCs w:val="24"/>
        </w:rPr>
        <w:t xml:space="preserve"> entre os setores que compõem o CDES e apela também a uma abstrata e estranha “virtude cívica”.</w:t>
      </w:r>
    </w:p>
    <w:p w:rsidR="00582426" w:rsidRPr="00E9514A" w:rsidRDefault="00582426" w:rsidP="00582426">
      <w:pPr>
        <w:spacing w:line="240" w:lineRule="auto"/>
        <w:ind w:left="2268"/>
        <w:jc w:val="both"/>
        <w:rPr>
          <w:rFonts w:ascii="Times New Roman" w:hAnsi="Times New Roman"/>
          <w:i/>
          <w:sz w:val="20"/>
          <w:szCs w:val="20"/>
        </w:rPr>
      </w:pPr>
      <w:r w:rsidRPr="00E9514A">
        <w:rPr>
          <w:rFonts w:ascii="Times New Roman" w:hAnsi="Times New Roman"/>
          <w:sz w:val="20"/>
          <w:szCs w:val="20"/>
        </w:rPr>
        <w:t xml:space="preserve">Mas, repita-se quantas vezes necessário for: é preciso construir entre os diversos grupos do CDES um </w:t>
      </w:r>
      <w:r w:rsidRPr="00E9514A">
        <w:rPr>
          <w:rFonts w:ascii="Times New Roman" w:hAnsi="Times New Roman"/>
          <w:b/>
          <w:sz w:val="20"/>
          <w:szCs w:val="20"/>
        </w:rPr>
        <w:t>capital de confiabilidade</w:t>
      </w:r>
      <w:r w:rsidRPr="00E9514A">
        <w:rPr>
          <w:rFonts w:ascii="Times New Roman" w:hAnsi="Times New Roman"/>
          <w:sz w:val="20"/>
          <w:szCs w:val="20"/>
        </w:rPr>
        <w:t xml:space="preserve"> que faça predominar uma prática de cooperação para superar as arraigadas diferenças de interesses em uma sociedade pouco habituada à interlocução social que procura construir acordos sucessivos sobre o que seja o bem comum.</w:t>
      </w:r>
      <w:r>
        <w:rPr>
          <w:rStyle w:val="Refdenotaderodap"/>
          <w:rFonts w:ascii="Times New Roman" w:hAnsi="Times New Roman"/>
          <w:sz w:val="20"/>
          <w:szCs w:val="20"/>
        </w:rPr>
        <w:footnoteReference w:id="64"/>
      </w:r>
    </w:p>
    <w:p w:rsidR="00582426" w:rsidRDefault="00582426" w:rsidP="00582426">
      <w:pPr>
        <w:spacing w:after="0" w:line="360" w:lineRule="auto"/>
        <w:jc w:val="both"/>
        <w:rPr>
          <w:rFonts w:ascii="Times New Roman" w:hAnsi="Times New Roman"/>
          <w:sz w:val="24"/>
          <w:szCs w:val="24"/>
        </w:rPr>
      </w:pPr>
      <w:r>
        <w:rPr>
          <w:rFonts w:ascii="Times New Roman" w:hAnsi="Times New Roman"/>
          <w:sz w:val="24"/>
          <w:szCs w:val="24"/>
        </w:rPr>
        <w:tab/>
        <w:t>Por fim, o autor aposta na força simbólica que as propostas encaminhadas, fruto de embates e debates de diferentes grupos, possa se apresentar “como uma formulação que visa se aproximar dos interesses coletivos”,</w:t>
      </w:r>
      <w:r>
        <w:rPr>
          <w:rStyle w:val="Refdenotaderodap"/>
          <w:rFonts w:ascii="Times New Roman" w:hAnsi="Times New Roman"/>
          <w:sz w:val="24"/>
          <w:szCs w:val="24"/>
        </w:rPr>
        <w:footnoteReference w:id="65"/>
      </w:r>
      <w:r>
        <w:rPr>
          <w:rFonts w:ascii="Times New Roman" w:hAnsi="Times New Roman"/>
          <w:sz w:val="24"/>
          <w:szCs w:val="24"/>
        </w:rPr>
        <w:t xml:space="preserve"> posto que a isenção de particularismo “confere a seus membros um poder de opinião que transcende a especificidade de suas posições particulares”.</w:t>
      </w:r>
      <w:r>
        <w:rPr>
          <w:rStyle w:val="Refdenotaderodap"/>
          <w:rFonts w:ascii="Times New Roman" w:hAnsi="Times New Roman"/>
          <w:sz w:val="24"/>
          <w:szCs w:val="24"/>
        </w:rPr>
        <w:footnoteReference w:id="66"/>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Sonia Fleury é importante pesquisadora e autora sobre assuntos como Teoria da Democracia e da Cidadania, dentre outros temas. Nos anos 80 atuou na luta pela Reforma Sanitária </w:t>
      </w:r>
      <w:r w:rsidRPr="005B1376">
        <w:rPr>
          <w:rFonts w:ascii="Times New Roman" w:hAnsi="Times New Roman"/>
          <w:sz w:val="24"/>
          <w:szCs w:val="24"/>
        </w:rPr>
        <w:t xml:space="preserve">que resultou na criação do Sistema Único de Saúde - SUS.Foi uma das lideranças da CEBES e </w:t>
      </w:r>
      <w:r w:rsidR="00573F80">
        <w:rPr>
          <w:rFonts w:ascii="Times New Roman" w:hAnsi="Times New Roman"/>
          <w:sz w:val="24"/>
          <w:szCs w:val="24"/>
        </w:rPr>
        <w:t>d</w:t>
      </w:r>
      <w:r w:rsidRPr="005B1376">
        <w:rPr>
          <w:rFonts w:ascii="Times New Roman" w:hAnsi="Times New Roman"/>
          <w:sz w:val="24"/>
          <w:szCs w:val="24"/>
        </w:rPr>
        <w:t>a ABRASCO.</w:t>
      </w:r>
      <w:r>
        <w:rPr>
          <w:rStyle w:val="Refdenotaderodap"/>
          <w:rFonts w:ascii="Times New Roman" w:hAnsi="Times New Roman"/>
          <w:sz w:val="24"/>
          <w:szCs w:val="24"/>
        </w:rPr>
        <w:footnoteReference w:id="67"/>
      </w:r>
      <w:r>
        <w:rPr>
          <w:rFonts w:ascii="Times New Roman" w:hAnsi="Times New Roman"/>
          <w:sz w:val="24"/>
          <w:szCs w:val="24"/>
        </w:rPr>
        <w:t xml:space="preserve">Em seu artigo sobre o CDES, Fleury advoga que o Conselho pretendeu retomar o desenho da relação Estado e Sociedade inaugurada </w:t>
      </w:r>
      <w:r w:rsidR="005E603D">
        <w:rPr>
          <w:rFonts w:ascii="Times New Roman" w:hAnsi="Times New Roman"/>
          <w:sz w:val="24"/>
          <w:szCs w:val="24"/>
        </w:rPr>
        <w:t>pela</w:t>
      </w:r>
      <w:r>
        <w:rPr>
          <w:rFonts w:ascii="Times New Roman" w:hAnsi="Times New Roman"/>
          <w:sz w:val="24"/>
          <w:szCs w:val="24"/>
        </w:rPr>
        <w:t xml:space="preserve"> C</w:t>
      </w:r>
      <w:r w:rsidR="00573F80">
        <w:rPr>
          <w:rFonts w:ascii="Times New Roman" w:hAnsi="Times New Roman"/>
          <w:sz w:val="24"/>
          <w:szCs w:val="24"/>
        </w:rPr>
        <w:t>onstituição Federal de 1988 (C</w:t>
      </w:r>
      <w:r>
        <w:rPr>
          <w:rFonts w:ascii="Times New Roman" w:hAnsi="Times New Roman"/>
          <w:sz w:val="24"/>
          <w:szCs w:val="24"/>
        </w:rPr>
        <w:t>F/88</w:t>
      </w:r>
      <w:r w:rsidR="00573F80">
        <w:rPr>
          <w:rFonts w:ascii="Times New Roman" w:hAnsi="Times New Roman"/>
          <w:sz w:val="24"/>
          <w:szCs w:val="24"/>
        </w:rPr>
        <w:t>)</w:t>
      </w:r>
      <w:r>
        <w:rPr>
          <w:rFonts w:ascii="Times New Roman" w:hAnsi="Times New Roman"/>
          <w:sz w:val="24"/>
          <w:szCs w:val="24"/>
        </w:rPr>
        <w:t xml:space="preserve"> e avançar criando “um novo espaço institucionalizado e plural no qual se encontram diferentes atores políticos e o governo, possibilitando um processo de concertação social e novas bases para garantir a governabilidade”.</w:t>
      </w:r>
      <w:r>
        <w:rPr>
          <w:rStyle w:val="Refdenotaderodap"/>
          <w:rFonts w:ascii="Times New Roman" w:hAnsi="Times New Roman"/>
          <w:sz w:val="24"/>
          <w:szCs w:val="24"/>
        </w:rPr>
        <w:footnoteReference w:id="68"/>
      </w:r>
      <w:r>
        <w:rPr>
          <w:rFonts w:ascii="Times New Roman" w:hAnsi="Times New Roman"/>
          <w:sz w:val="24"/>
          <w:szCs w:val="24"/>
        </w:rPr>
        <w:t xml:space="preserve"> A autora resgata o Orçamento Participativo, outras modalidades de participação nos governos locais, os Conselhos de Saúde e as Câmaras Setoriais, no início dos anos 90, como experiências a partir das quais emergiriam propostas de “democratização radical do Estado”, “controle social”, “democracia concertada” ou atuação do “neocorporativismo” que romperiam com a lógica patrimonial de incorporação dos interesses exclusivos das elites. Para a autora,</w:t>
      </w:r>
    </w:p>
    <w:p w:rsidR="00582426" w:rsidRDefault="00582426" w:rsidP="00582426">
      <w:pPr>
        <w:spacing w:line="240" w:lineRule="auto"/>
        <w:ind w:left="2268"/>
        <w:jc w:val="both"/>
        <w:rPr>
          <w:rFonts w:ascii="Times New Roman" w:hAnsi="Times New Roman"/>
          <w:sz w:val="20"/>
          <w:szCs w:val="20"/>
        </w:rPr>
      </w:pPr>
      <w:r>
        <w:rPr>
          <w:rFonts w:ascii="Times New Roman" w:hAnsi="Times New Roman"/>
          <w:sz w:val="20"/>
          <w:szCs w:val="20"/>
        </w:rPr>
        <w:t>(...) compreendemos a criação do CDES como uma inovação social que amplia a esfera pública, ao introduzir em uma mesma arena de discussão atores sociais que não interatuam em outras situações, em uma sociedade marcada por clivagens e exclusões. (...) Trata-se, por primeira vez na história brasileira, da existência de um órgão consultivo nacional, com a missão de discutir tanto políticas específicas quanto os fundamentos do desenvolvimento econômico e social. Sua composição é também original, já que difere do formato marcadamente corporativo dos Conselhos europeus, em correspondência com o tecido e estrutura social existentes no Brasil.</w:t>
      </w:r>
      <w:r>
        <w:rPr>
          <w:rStyle w:val="Refdenotaderodap"/>
          <w:rFonts w:ascii="Times New Roman" w:hAnsi="Times New Roman"/>
          <w:sz w:val="20"/>
          <w:szCs w:val="20"/>
        </w:rPr>
        <w:footnoteReference w:id="69"/>
      </w:r>
    </w:p>
    <w:p w:rsidR="00582426" w:rsidRDefault="00582426" w:rsidP="00582426">
      <w:pPr>
        <w:spacing w:after="0" w:line="360" w:lineRule="auto"/>
        <w:jc w:val="both"/>
        <w:rPr>
          <w:rFonts w:ascii="Times New Roman" w:hAnsi="Times New Roman"/>
          <w:sz w:val="24"/>
          <w:szCs w:val="24"/>
        </w:rPr>
      </w:pPr>
      <w:r>
        <w:rPr>
          <w:rFonts w:ascii="Times New Roman" w:hAnsi="Times New Roman"/>
          <w:sz w:val="24"/>
          <w:szCs w:val="24"/>
        </w:rPr>
        <w:tab/>
        <w:t xml:space="preserve">A autora julga serem os “pontos fortes” do CDES sua “efetividade política”, isto é, uma arena “onde os diferentes são reconhecidos como politicamente iguais”, “uma equalização ao nível político institucional” e a capacidade de geração de consensos, importantes para criar “densidade política” às decisões governamentais e “políticas mais sustentáveis”. Entretanto, sua “eficácia tende a ser baixa (...) dado sua natureza apenas consultiva”, ou seja, as sugestões emanadas do Conselho “podem ou não serem aceitas pelo governo”. </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Do mesmo modo, a autora analisa as fases (interpelativa, demonstrativa e de negociação)</w:t>
      </w:r>
      <w:r>
        <w:rPr>
          <w:rStyle w:val="Refdenotaderodap"/>
          <w:rFonts w:ascii="Times New Roman" w:hAnsi="Times New Roman"/>
          <w:sz w:val="24"/>
          <w:szCs w:val="24"/>
        </w:rPr>
        <w:footnoteReference w:id="70"/>
      </w:r>
      <w:r>
        <w:rPr>
          <w:rFonts w:ascii="Times New Roman" w:hAnsi="Times New Roman"/>
          <w:sz w:val="24"/>
          <w:szCs w:val="24"/>
        </w:rPr>
        <w:t xml:space="preserve"> de relacionamento entre o Conselho e sua Secretaria e conclui que “o modelo de governança interno dificulta a realização [da] capacidade propositiva do CDES, reservando-lhe apenas as funções consultivas”.</w:t>
      </w:r>
      <w:r>
        <w:rPr>
          <w:rStyle w:val="Refdenotaderodap"/>
          <w:rFonts w:ascii="Times New Roman" w:hAnsi="Times New Roman"/>
          <w:sz w:val="24"/>
          <w:szCs w:val="24"/>
        </w:rPr>
        <w:footnoteReference w:id="71"/>
      </w:r>
      <w:r>
        <w:rPr>
          <w:rFonts w:ascii="Times New Roman" w:hAnsi="Times New Roman"/>
          <w:sz w:val="24"/>
          <w:szCs w:val="24"/>
        </w:rPr>
        <w:t xml:space="preserve"> Fleury encerra o artigo com visíveis sinais de descontentamento ao afirmar que: “a relação entre a SEDES e o CDES manifesta um excessivo controle exercido pela primeira, em relação à dinâmica e funcionamento do segundo, por exemplo, quanto à definição da agenda, da pauta, da dinâmica de funcionamento dos grupos e do Pleno”.</w:t>
      </w:r>
      <w:r>
        <w:rPr>
          <w:rStyle w:val="Refdenotaderodap"/>
          <w:rFonts w:ascii="Times New Roman" w:hAnsi="Times New Roman"/>
          <w:sz w:val="24"/>
          <w:szCs w:val="24"/>
        </w:rPr>
        <w:footnoteReference w:id="72"/>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Vanda Costa é a autora que mais enfatiza o ineditismo que o CDES assume e o seu papel de “democratização das estruturas de governo no Brasil” e “proposta de repactuação social”.</w:t>
      </w:r>
      <w:r>
        <w:rPr>
          <w:rStyle w:val="Refdenotaderodap"/>
          <w:rFonts w:ascii="Times New Roman" w:hAnsi="Times New Roman"/>
          <w:sz w:val="24"/>
          <w:szCs w:val="24"/>
        </w:rPr>
        <w:footnoteReference w:id="73"/>
      </w:r>
      <w:r>
        <w:rPr>
          <w:rFonts w:ascii="Times New Roman" w:hAnsi="Times New Roman"/>
          <w:sz w:val="24"/>
          <w:szCs w:val="24"/>
        </w:rPr>
        <w:t xml:space="preserve"> Tanto no que diz respeito ao arranjo institucional quanto aos atores convocados à participação, o Conselho visaria a construir um “processo dialógico”, um trabalho de “concertação” progressivo sobre os problemas que assolam a sociedade brasileira. Segundo a autora:</w:t>
      </w:r>
    </w:p>
    <w:p w:rsidR="00582426" w:rsidRDefault="00582426" w:rsidP="00582426">
      <w:pPr>
        <w:spacing w:line="240" w:lineRule="auto"/>
        <w:ind w:left="2268"/>
        <w:jc w:val="both"/>
        <w:rPr>
          <w:rFonts w:ascii="Times New Roman" w:hAnsi="Times New Roman"/>
          <w:sz w:val="20"/>
          <w:szCs w:val="20"/>
        </w:rPr>
      </w:pPr>
      <w:r w:rsidRPr="00FC3538">
        <w:rPr>
          <w:rFonts w:ascii="Times New Roman" w:hAnsi="Times New Roman"/>
          <w:sz w:val="20"/>
          <w:szCs w:val="20"/>
        </w:rPr>
        <w:t>A criação do Conselho é um apelo à sociedade civil organizada para que exponha e discuta seus conflitos de interesses e de classe e defina politicamente seus limites em face de um projeto maior de crescimento e desenvolvimento social. O diálogo organizado e coordenado pretende induzir à cooper</w:t>
      </w:r>
      <w:r>
        <w:rPr>
          <w:rFonts w:ascii="Times New Roman" w:hAnsi="Times New Roman"/>
          <w:sz w:val="20"/>
          <w:szCs w:val="20"/>
        </w:rPr>
        <w:t>ação entre os atores envolvidos.</w:t>
      </w:r>
      <w:r>
        <w:rPr>
          <w:rStyle w:val="Refdenotaderodap"/>
          <w:rFonts w:ascii="Times New Roman" w:hAnsi="Times New Roman"/>
          <w:sz w:val="20"/>
          <w:szCs w:val="20"/>
        </w:rPr>
        <w:footnoteReference w:id="74"/>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Sua composição teria sido orientada pelo desafio de criar condições para um novo “Contrato Social” a partir de um esforço conjunto de vários segmentos sociais, não restrito às relações entre o capital e o trabalho.</w:t>
      </w:r>
      <w:r>
        <w:rPr>
          <w:rStyle w:val="Refdenotaderodap"/>
          <w:rFonts w:ascii="Times New Roman" w:hAnsi="Times New Roman"/>
          <w:sz w:val="24"/>
          <w:szCs w:val="24"/>
        </w:rPr>
        <w:footnoteReference w:id="75"/>
      </w:r>
      <w:r>
        <w:rPr>
          <w:rFonts w:ascii="Times New Roman" w:hAnsi="Times New Roman"/>
          <w:sz w:val="24"/>
          <w:szCs w:val="24"/>
        </w:rPr>
        <w:t xml:space="preserve"> A autora realça o fato de </w:t>
      </w:r>
      <w:r w:rsidR="005E603D">
        <w:rPr>
          <w:rFonts w:ascii="Times New Roman" w:hAnsi="Times New Roman"/>
          <w:sz w:val="24"/>
          <w:szCs w:val="24"/>
        </w:rPr>
        <w:t xml:space="preserve">que </w:t>
      </w:r>
      <w:r>
        <w:rPr>
          <w:rFonts w:ascii="Times New Roman" w:hAnsi="Times New Roman"/>
          <w:sz w:val="24"/>
          <w:szCs w:val="24"/>
        </w:rPr>
        <w:t>o CDES teria produzido “uma agenda pactuada (..) cuja importância está no fato de ter conjugado intencionalmente crescimento econômico com desenvolvimento social”, impulsionando, “pela primeira vez neste país”, “um movimento de agregação de elites em torno de um projeto para o país” que escapariam “aos padrões predatórios de captura do poder de governo” por interesses particularistas.</w:t>
      </w:r>
      <w:r>
        <w:rPr>
          <w:rStyle w:val="Refdenotaderodap"/>
          <w:rFonts w:ascii="Times New Roman" w:hAnsi="Times New Roman"/>
          <w:sz w:val="24"/>
          <w:szCs w:val="24"/>
        </w:rPr>
        <w:footnoteReference w:id="76"/>
      </w:r>
    </w:p>
    <w:p w:rsidR="00582426" w:rsidRDefault="00582426" w:rsidP="00582426">
      <w:pPr>
        <w:spacing w:after="0" w:line="360" w:lineRule="auto"/>
        <w:jc w:val="both"/>
        <w:rPr>
          <w:rFonts w:ascii="Times New Roman" w:hAnsi="Times New Roman"/>
          <w:sz w:val="24"/>
          <w:szCs w:val="24"/>
        </w:rPr>
      </w:pPr>
      <w:r>
        <w:rPr>
          <w:rFonts w:ascii="Times New Roman" w:hAnsi="Times New Roman"/>
          <w:sz w:val="24"/>
          <w:szCs w:val="24"/>
        </w:rPr>
        <w:tab/>
        <w:t xml:space="preserve">Entendidos como “sub-sistemas ou unidades menores do sistema político mais amplo”, as democracias procedimental, participativa e deliberativa seriam arranjos </w:t>
      </w:r>
      <w:r w:rsidR="005E603D">
        <w:rPr>
          <w:rFonts w:ascii="Times New Roman" w:hAnsi="Times New Roman"/>
          <w:sz w:val="24"/>
          <w:szCs w:val="24"/>
        </w:rPr>
        <w:t xml:space="preserve">que </w:t>
      </w:r>
      <w:r>
        <w:rPr>
          <w:rFonts w:ascii="Times New Roman" w:hAnsi="Times New Roman"/>
          <w:sz w:val="24"/>
          <w:szCs w:val="24"/>
        </w:rPr>
        <w:t xml:space="preserve">necessitariam de um “diálogo permanente e institucionalizado, autonomia para escolher os problemas a serem resolvidos em comum, e a capacidade de tomar decisões sobre problemas ou temas de interesse desses grupos” e, a partir dessa consideração, arremata, sem pestanejar, o conceito de democracia nos ditos arranjos: “a parte mais interessante da discussão é que a </w:t>
      </w:r>
      <w:r>
        <w:rPr>
          <w:rFonts w:ascii="Times New Roman" w:hAnsi="Times New Roman"/>
          <w:i/>
          <w:sz w:val="24"/>
          <w:szCs w:val="24"/>
        </w:rPr>
        <w:t>democracia é entendida como resultado da conjugação de condições institucionais com metodologias de conduta ou interação no interior das unidades políticas”</w:t>
      </w:r>
      <w:r>
        <w:rPr>
          <w:rFonts w:ascii="Times New Roman" w:hAnsi="Times New Roman"/>
          <w:sz w:val="24"/>
          <w:szCs w:val="24"/>
        </w:rPr>
        <w:t xml:space="preserve"> e é desde esta perspectiva que o seu estudo sobre o CDES se orientou.</w:t>
      </w:r>
      <w:r>
        <w:rPr>
          <w:rStyle w:val="Refdenotaderodap"/>
          <w:rFonts w:ascii="Times New Roman" w:hAnsi="Times New Roman"/>
          <w:sz w:val="24"/>
          <w:szCs w:val="24"/>
        </w:rPr>
        <w:footnoteReference w:id="77"/>
      </w:r>
    </w:p>
    <w:p w:rsidR="00582426" w:rsidRPr="00D54E69"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Seus trabalhos sobre o CDES se orientam pela metodologia de aplicação de questionários (</w:t>
      </w:r>
      <w:r>
        <w:rPr>
          <w:rFonts w:ascii="Times New Roman" w:hAnsi="Times New Roman"/>
          <w:i/>
          <w:sz w:val="24"/>
          <w:szCs w:val="24"/>
        </w:rPr>
        <w:t>survey</w:t>
      </w:r>
      <w:r>
        <w:rPr>
          <w:rFonts w:ascii="Times New Roman" w:hAnsi="Times New Roman"/>
          <w:sz w:val="24"/>
          <w:szCs w:val="24"/>
        </w:rPr>
        <w:t xml:space="preserve">) aos conselheiros. É a partir das respostas obtidas, </w:t>
      </w:r>
      <w:r w:rsidR="00F729D2">
        <w:rPr>
          <w:rFonts w:ascii="Times New Roman" w:hAnsi="Times New Roman"/>
          <w:sz w:val="24"/>
          <w:szCs w:val="24"/>
        </w:rPr>
        <w:t xml:space="preserve">diante </w:t>
      </w:r>
      <w:r w:rsidR="00BF61AD">
        <w:rPr>
          <w:rFonts w:ascii="Times New Roman" w:hAnsi="Times New Roman"/>
          <w:sz w:val="24"/>
          <w:szCs w:val="24"/>
        </w:rPr>
        <w:t>de</w:t>
      </w:r>
      <w:r>
        <w:rPr>
          <w:rFonts w:ascii="Times New Roman" w:hAnsi="Times New Roman"/>
          <w:sz w:val="24"/>
          <w:szCs w:val="24"/>
        </w:rPr>
        <w:t xml:space="preserve"> uma enorme gama de perguntas, que a autora conduz suas conclusões sobre as características, limites e pontencialidades do Conselho. A autora realizou também importante trabalho analítico sobre as Cartas de Concertação do CDES</w:t>
      </w:r>
      <w:r>
        <w:rPr>
          <w:rStyle w:val="Refdenotaderodap"/>
          <w:rFonts w:ascii="Times New Roman" w:hAnsi="Times New Roman"/>
          <w:sz w:val="24"/>
          <w:szCs w:val="24"/>
        </w:rPr>
        <w:footnoteReference w:id="78"/>
      </w:r>
      <w:r>
        <w:rPr>
          <w:rFonts w:ascii="Times New Roman" w:hAnsi="Times New Roman"/>
          <w:sz w:val="24"/>
          <w:szCs w:val="24"/>
        </w:rPr>
        <w:t xml:space="preserve">, produzidas e 2003 e início de 2004, mostrando a dinâmica de relações construídas entre o CDES e a SEDES. </w:t>
      </w:r>
    </w:p>
    <w:p w:rsidR="00582426" w:rsidRPr="00E25AFD" w:rsidRDefault="00582426" w:rsidP="00582426">
      <w:pPr>
        <w:spacing w:after="0" w:line="360" w:lineRule="auto"/>
        <w:jc w:val="both"/>
        <w:rPr>
          <w:rFonts w:ascii="Times New Roman" w:hAnsi="Times New Roman"/>
          <w:sz w:val="24"/>
          <w:szCs w:val="24"/>
        </w:rPr>
      </w:pPr>
      <w:r>
        <w:rPr>
          <w:rFonts w:ascii="Times New Roman" w:hAnsi="Times New Roman"/>
          <w:sz w:val="24"/>
          <w:szCs w:val="24"/>
        </w:rPr>
        <w:tab/>
      </w:r>
      <w:r w:rsidR="005E603D">
        <w:rPr>
          <w:rFonts w:ascii="Times New Roman" w:hAnsi="Times New Roman"/>
          <w:sz w:val="24"/>
          <w:szCs w:val="24"/>
        </w:rPr>
        <w:t>Encerramos a aqui a exposição sumária dos autores designados “consensualistas-democráticos”</w:t>
      </w:r>
      <w:r w:rsidR="001A6CA2">
        <w:rPr>
          <w:rFonts w:ascii="Times New Roman" w:hAnsi="Times New Roman"/>
          <w:sz w:val="24"/>
          <w:szCs w:val="24"/>
        </w:rPr>
        <w:t>. V</w:t>
      </w:r>
      <w:r w:rsidR="005E603D">
        <w:rPr>
          <w:rFonts w:ascii="Times New Roman" w:hAnsi="Times New Roman"/>
          <w:sz w:val="24"/>
          <w:szCs w:val="24"/>
        </w:rPr>
        <w:t>ale mencionar</w:t>
      </w:r>
      <w:r w:rsidR="001A6CA2">
        <w:rPr>
          <w:rFonts w:ascii="Times New Roman" w:hAnsi="Times New Roman"/>
          <w:sz w:val="24"/>
          <w:szCs w:val="24"/>
        </w:rPr>
        <w:t xml:space="preserve"> que, bastante distante desta tradição, </w:t>
      </w:r>
      <w:r w:rsidR="005E603D">
        <w:rPr>
          <w:rFonts w:ascii="Times New Roman" w:hAnsi="Times New Roman"/>
          <w:sz w:val="24"/>
          <w:szCs w:val="24"/>
        </w:rPr>
        <w:t>o</w:t>
      </w:r>
      <w:r>
        <w:rPr>
          <w:rFonts w:ascii="Times New Roman" w:hAnsi="Times New Roman"/>
          <w:sz w:val="24"/>
          <w:szCs w:val="24"/>
        </w:rPr>
        <w:t xml:space="preserve"> único autor a interpretar a criação do CDES numa abordagem teórico-metodológica gramsciana foi </w:t>
      </w:r>
      <w:r w:rsidR="005E603D">
        <w:rPr>
          <w:rFonts w:ascii="Times New Roman" w:hAnsi="Times New Roman"/>
          <w:sz w:val="24"/>
          <w:szCs w:val="24"/>
        </w:rPr>
        <w:t xml:space="preserve">André Silva </w:t>
      </w:r>
      <w:r>
        <w:rPr>
          <w:rFonts w:ascii="Times New Roman" w:hAnsi="Times New Roman"/>
          <w:sz w:val="24"/>
          <w:szCs w:val="24"/>
        </w:rPr>
        <w:t>Martins</w:t>
      </w:r>
      <w:r w:rsidRPr="00E25AFD">
        <w:rPr>
          <w:rFonts w:ascii="Times New Roman" w:hAnsi="Times New Roman"/>
          <w:sz w:val="24"/>
          <w:szCs w:val="24"/>
        </w:rPr>
        <w:t>.</w:t>
      </w:r>
      <w:r w:rsidR="005E603D">
        <w:rPr>
          <w:rStyle w:val="Refdenotaderodap"/>
          <w:rFonts w:ascii="Times New Roman" w:hAnsi="Times New Roman"/>
          <w:sz w:val="24"/>
          <w:szCs w:val="24"/>
        </w:rPr>
        <w:footnoteReference w:id="79"/>
      </w:r>
      <w:r w:rsidRPr="00E25AFD">
        <w:rPr>
          <w:rFonts w:ascii="Times New Roman" w:hAnsi="Times New Roman"/>
          <w:sz w:val="24"/>
          <w:szCs w:val="24"/>
        </w:rPr>
        <w:t xml:space="preserve"> Em </w:t>
      </w:r>
      <w:r>
        <w:rPr>
          <w:rFonts w:ascii="Times New Roman" w:hAnsi="Times New Roman"/>
          <w:sz w:val="24"/>
          <w:szCs w:val="24"/>
        </w:rPr>
        <w:t>sua</w:t>
      </w:r>
      <w:r w:rsidRPr="00E25AFD">
        <w:rPr>
          <w:rFonts w:ascii="Times New Roman" w:hAnsi="Times New Roman"/>
          <w:sz w:val="24"/>
          <w:szCs w:val="24"/>
        </w:rPr>
        <w:t xml:space="preserve"> pesquisa, o autor alerta que a proposta de criação do CDES foi resultado da incorporação de estratégias </w:t>
      </w:r>
      <w:r>
        <w:rPr>
          <w:rFonts w:ascii="Times New Roman" w:hAnsi="Times New Roman"/>
          <w:sz w:val="24"/>
          <w:szCs w:val="24"/>
        </w:rPr>
        <w:t>postas pelo</w:t>
      </w:r>
      <w:r w:rsidRPr="00E25AFD">
        <w:rPr>
          <w:rFonts w:ascii="Times New Roman" w:hAnsi="Times New Roman"/>
          <w:i/>
          <w:sz w:val="24"/>
          <w:szCs w:val="24"/>
        </w:rPr>
        <w:t>Instituto Ethos de Empresas e Responsabilidade Social</w:t>
      </w:r>
      <w:r>
        <w:rPr>
          <w:rFonts w:ascii="Times New Roman" w:hAnsi="Times New Roman"/>
          <w:sz w:val="24"/>
          <w:szCs w:val="24"/>
        </w:rPr>
        <w:t>, objeto de sua análise</w:t>
      </w:r>
      <w:r w:rsidRPr="00E25AFD">
        <w:rPr>
          <w:rFonts w:ascii="Times New Roman" w:hAnsi="Times New Roman"/>
          <w:sz w:val="24"/>
          <w:szCs w:val="24"/>
        </w:rPr>
        <w:t>. Seu estudo mostra que o Instituto foi protagonista da criação e difusão da proposta intitulada “Fórum Empresarial de Apoio ao Município”. Na cidade de São Paulo, esta experiência foi realizada no governo Marta Suplicy (2001-2004) intitulado “Fórum Empresarial de Apoio à Cidade de São Paulo”</w:t>
      </w:r>
      <w:r>
        <w:rPr>
          <w:rFonts w:ascii="Times New Roman" w:hAnsi="Times New Roman"/>
          <w:sz w:val="24"/>
          <w:szCs w:val="24"/>
        </w:rPr>
        <w:t>.</w:t>
      </w:r>
      <w:r w:rsidRPr="00E25AFD">
        <w:rPr>
          <w:rStyle w:val="Refdenotaderodap"/>
          <w:rFonts w:ascii="Times New Roman" w:hAnsi="Times New Roman"/>
          <w:sz w:val="24"/>
          <w:szCs w:val="24"/>
        </w:rPr>
        <w:footnoteReference w:id="80"/>
      </w:r>
    </w:p>
    <w:p w:rsidR="00582426" w:rsidRPr="00572BF1" w:rsidRDefault="00582426" w:rsidP="00582426">
      <w:pPr>
        <w:spacing w:line="240" w:lineRule="auto"/>
        <w:ind w:left="2340"/>
        <w:jc w:val="both"/>
        <w:rPr>
          <w:rFonts w:ascii="Times New Roman" w:hAnsi="Times New Roman"/>
          <w:sz w:val="20"/>
          <w:szCs w:val="20"/>
        </w:rPr>
      </w:pPr>
      <w:r w:rsidRPr="00572BF1">
        <w:rPr>
          <w:rFonts w:ascii="Times New Roman" w:hAnsi="Times New Roman"/>
          <w:sz w:val="20"/>
          <w:szCs w:val="20"/>
        </w:rPr>
        <w:t xml:space="preserve">Em </w:t>
      </w:r>
      <w:smartTag w:uri="urn:schemas-microsoft-com:office:smarttags" w:element="metricconverter">
        <w:smartTagPr>
          <w:attr w:name="ProductID" w:val="2002, a"/>
        </w:smartTagPr>
        <w:r w:rsidRPr="00572BF1">
          <w:rPr>
            <w:rFonts w:ascii="Times New Roman" w:hAnsi="Times New Roman"/>
            <w:sz w:val="20"/>
            <w:szCs w:val="20"/>
          </w:rPr>
          <w:t>2002, a</w:t>
        </w:r>
      </w:smartTag>
      <w:r w:rsidRPr="00572BF1">
        <w:rPr>
          <w:rFonts w:ascii="Times New Roman" w:hAnsi="Times New Roman"/>
          <w:sz w:val="20"/>
          <w:szCs w:val="20"/>
        </w:rPr>
        <w:t xml:space="preserve"> Prefeita Marta Suplicy inaugurou, pioneiramente, o Fórum Empresarial de Apoio à Cidade de São Paulo. Inspirado na proposta do Instituto Ethos de Responsabilidade Social Empresarial, o Fórum Empresarial constitui-se como um </w:t>
      </w:r>
      <w:r w:rsidRPr="00572BF1">
        <w:rPr>
          <w:rFonts w:ascii="Times New Roman" w:hAnsi="Times New Roman"/>
          <w:b/>
          <w:sz w:val="20"/>
          <w:szCs w:val="20"/>
        </w:rPr>
        <w:t>espaço de diálogo</w:t>
      </w:r>
      <w:r w:rsidRPr="00572BF1">
        <w:rPr>
          <w:rFonts w:ascii="Times New Roman" w:hAnsi="Times New Roman"/>
          <w:sz w:val="20"/>
          <w:szCs w:val="20"/>
        </w:rPr>
        <w:t xml:space="preserve"> capaz de promover a </w:t>
      </w:r>
      <w:r w:rsidRPr="00572BF1">
        <w:rPr>
          <w:rFonts w:ascii="Times New Roman" w:hAnsi="Times New Roman"/>
          <w:b/>
          <w:sz w:val="20"/>
          <w:szCs w:val="20"/>
        </w:rPr>
        <w:t>articulação entre os setores público e privado</w:t>
      </w:r>
      <w:r w:rsidRPr="00572BF1">
        <w:rPr>
          <w:rFonts w:ascii="Times New Roman" w:hAnsi="Times New Roman"/>
          <w:sz w:val="20"/>
          <w:szCs w:val="20"/>
        </w:rPr>
        <w:t>. [...] Os trabalhos para implantação do Fórum Empresarial de São Paulo foram desenvolvidos pelo Conselho de Empresários, formado pela Prefeita nos primeiros</w:t>
      </w:r>
      <w:r>
        <w:rPr>
          <w:rFonts w:ascii="Times New Roman" w:hAnsi="Times New Roman"/>
          <w:sz w:val="20"/>
          <w:szCs w:val="20"/>
        </w:rPr>
        <w:t xml:space="preserve"> meses de seu mandato, em 2001.</w:t>
      </w:r>
      <w:r>
        <w:rPr>
          <w:rStyle w:val="Refdenotaderodap"/>
          <w:rFonts w:ascii="Times New Roman" w:hAnsi="Times New Roman"/>
          <w:sz w:val="20"/>
          <w:szCs w:val="20"/>
        </w:rPr>
        <w:footnoteReference w:id="81"/>
      </w:r>
    </w:p>
    <w:p w:rsidR="00582426" w:rsidRPr="00190945" w:rsidRDefault="00582426" w:rsidP="00582426">
      <w:pPr>
        <w:spacing w:after="0" w:line="360" w:lineRule="auto"/>
        <w:jc w:val="both"/>
        <w:rPr>
          <w:rFonts w:ascii="Times New Roman" w:hAnsi="Times New Roman"/>
          <w:sz w:val="24"/>
          <w:szCs w:val="24"/>
        </w:rPr>
      </w:pPr>
      <w:r>
        <w:tab/>
      </w:r>
      <w:r w:rsidRPr="00190945">
        <w:rPr>
          <w:rFonts w:ascii="Times New Roman" w:hAnsi="Times New Roman"/>
          <w:sz w:val="24"/>
          <w:szCs w:val="24"/>
        </w:rPr>
        <w:t>O autor deixa claro que a criação do Conselho de Empresários e, de forma mais ampla, do Fórum no governo petista serviu para ampliar a influência empresarial na definição de políticas públicas, por novos canais. Vale lembrar que o presidente do Instituto Ethos, Oded Grajew, faz parte de um restrito grupo de empresários ligados há anos ao PT tendo exercido, inclusive, o cargo de assessor especial da Presidência da República nos primeiros onze meses do governo Lula da Silva. É conhecida sua participação e influência em vários fóruns, movimentos e associações como intelectual orgânico fortemente engajado na organização da classe empresarial (</w:t>
      </w:r>
      <w:r w:rsidR="000834BC">
        <w:rPr>
          <w:rFonts w:ascii="Times New Roman" w:hAnsi="Times New Roman"/>
          <w:sz w:val="24"/>
          <w:szCs w:val="24"/>
        </w:rPr>
        <w:t>FIESP</w:t>
      </w:r>
      <w:r w:rsidRPr="00190945">
        <w:rPr>
          <w:rFonts w:ascii="Times New Roman" w:hAnsi="Times New Roman"/>
          <w:sz w:val="24"/>
          <w:szCs w:val="24"/>
        </w:rPr>
        <w:t xml:space="preserve">, CIESP, PNBE, Cives, ABRINQ, Global Compact), além de atuar no CDES </w:t>
      </w:r>
      <w:r w:rsidRPr="00190945">
        <w:rPr>
          <w:rFonts w:ascii="Times New Roman" w:hAnsi="Times New Roman"/>
          <w:i/>
          <w:sz w:val="24"/>
          <w:szCs w:val="24"/>
        </w:rPr>
        <w:t>desde 2004</w:t>
      </w:r>
      <w:r w:rsidRPr="00190945">
        <w:rPr>
          <w:rFonts w:ascii="Times New Roman" w:hAnsi="Times New Roman"/>
          <w:sz w:val="24"/>
          <w:szCs w:val="24"/>
        </w:rPr>
        <w:t xml:space="preserve">. </w:t>
      </w:r>
    </w:p>
    <w:p w:rsidR="00582426" w:rsidRPr="00190945" w:rsidRDefault="00582426" w:rsidP="00582426">
      <w:pPr>
        <w:spacing w:line="360" w:lineRule="auto"/>
        <w:ind w:firstLine="708"/>
        <w:jc w:val="both"/>
        <w:rPr>
          <w:rFonts w:ascii="Times New Roman" w:hAnsi="Times New Roman"/>
          <w:sz w:val="24"/>
          <w:szCs w:val="24"/>
        </w:rPr>
      </w:pPr>
      <w:r w:rsidRPr="00190945">
        <w:rPr>
          <w:rFonts w:ascii="Times New Roman" w:hAnsi="Times New Roman"/>
          <w:sz w:val="24"/>
          <w:szCs w:val="24"/>
        </w:rPr>
        <w:t>A relação do Fórum Empresarial implantado no governo Marta Suplicy e idealizado pelo Instituto Ethos possui íntimas relações com o Conselho de Desenvolvimento Econômico e Social, na esfera municipal:</w:t>
      </w:r>
    </w:p>
    <w:p w:rsidR="00582426" w:rsidRPr="00190945" w:rsidRDefault="00582426" w:rsidP="00582426">
      <w:pPr>
        <w:spacing w:line="240" w:lineRule="auto"/>
        <w:ind w:left="2268"/>
        <w:jc w:val="both"/>
        <w:rPr>
          <w:rFonts w:ascii="Times New Roman" w:hAnsi="Times New Roman"/>
          <w:sz w:val="20"/>
          <w:szCs w:val="20"/>
        </w:rPr>
      </w:pPr>
      <w:r w:rsidRPr="00190945">
        <w:rPr>
          <w:rFonts w:ascii="Times New Roman" w:hAnsi="Times New Roman"/>
          <w:sz w:val="20"/>
          <w:szCs w:val="20"/>
        </w:rPr>
        <w:t xml:space="preserve">A criação de um Fórum de Apoio ao Município abre um amplo leque de </w:t>
      </w:r>
      <w:r w:rsidRPr="00190945">
        <w:rPr>
          <w:rFonts w:ascii="Times New Roman" w:hAnsi="Times New Roman"/>
          <w:b/>
          <w:sz w:val="20"/>
          <w:szCs w:val="20"/>
        </w:rPr>
        <w:t>possibilidade de parcerias entre o poder público e o empresariado local</w:t>
      </w:r>
      <w:r w:rsidRPr="00190945">
        <w:rPr>
          <w:rFonts w:ascii="Times New Roman" w:hAnsi="Times New Roman"/>
          <w:sz w:val="20"/>
          <w:szCs w:val="20"/>
        </w:rPr>
        <w:t xml:space="preserve">. Uma dessas alternativas é a constituição de uma instância que se caracterize como um </w:t>
      </w:r>
      <w:r w:rsidRPr="00190945">
        <w:rPr>
          <w:rFonts w:ascii="Times New Roman" w:hAnsi="Times New Roman"/>
          <w:b/>
          <w:sz w:val="20"/>
          <w:szCs w:val="20"/>
        </w:rPr>
        <w:t>Conselho de Desenvolvimento Econômico e Social</w:t>
      </w:r>
      <w:r w:rsidRPr="00190945">
        <w:rPr>
          <w:rFonts w:ascii="Times New Roman" w:hAnsi="Times New Roman"/>
          <w:sz w:val="20"/>
          <w:szCs w:val="20"/>
        </w:rPr>
        <w:t>, em que participem não só os empresários, mas outros segmentos sociais importan</w:t>
      </w:r>
      <w:r>
        <w:rPr>
          <w:rFonts w:ascii="Times New Roman" w:hAnsi="Times New Roman"/>
          <w:sz w:val="20"/>
          <w:szCs w:val="20"/>
        </w:rPr>
        <w:t>tes para economia do município</w:t>
      </w:r>
      <w:r w:rsidRPr="00190945">
        <w:rPr>
          <w:rFonts w:ascii="Times New Roman" w:hAnsi="Times New Roman"/>
          <w:sz w:val="20"/>
          <w:szCs w:val="20"/>
        </w:rPr>
        <w:t>.</w:t>
      </w:r>
      <w:r>
        <w:rPr>
          <w:rStyle w:val="Refdenotaderodap"/>
          <w:rFonts w:ascii="Times New Roman" w:hAnsi="Times New Roman"/>
          <w:sz w:val="20"/>
          <w:szCs w:val="20"/>
        </w:rPr>
        <w:footnoteReference w:id="82"/>
      </w:r>
    </w:p>
    <w:p w:rsidR="00582426" w:rsidRDefault="00582426" w:rsidP="0058242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Martins apresenta pistas claras de que a criação do CDES esteve voltada à trajetória recente de constituição de canais de integração de interesses empresariais a partir da demanda e mobilização de importante associação empresarial da sociedade civil, cujas lideranças passaram a estar coligadas ao CDES, pouco tempo depois.</w:t>
      </w:r>
    </w:p>
    <w:p w:rsidR="00582426" w:rsidRDefault="00582426" w:rsidP="00582426">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 administração petista da principal capital econômico-empresarial do país, reduto histórico importantíssimo de robustos e potentes aparelhos privados de hegemonia empresariais, construíra a ante-sala daquilo que pouco tempo depois se tornaria num fórum que pretendia ser – e se anunciava como - de expressão e representação “nacionais”, mas que insistia em garantir, ampliando e fortalecendo, a inserção de entidades e corporações empresariais para dentro do aparato estatal, portadoras de recursos organizativos e econômicos riquíssimos, algumas com larga trajetória e traquejo no trato com o aparato estatal no Brasil.</w:t>
      </w:r>
    </w:p>
    <w:p w:rsidR="007D1D9B" w:rsidRDefault="00582426" w:rsidP="007D1D9B">
      <w:pPr>
        <w:spacing w:after="0" w:line="360" w:lineRule="auto"/>
        <w:ind w:firstLine="708"/>
        <w:jc w:val="both"/>
        <w:rPr>
          <w:rFonts w:ascii="Times New Roman" w:hAnsi="Times New Roman"/>
          <w:sz w:val="24"/>
          <w:szCs w:val="24"/>
        </w:rPr>
      </w:pPr>
      <w:r>
        <w:rPr>
          <w:rFonts w:ascii="Times New Roman" w:hAnsi="Times New Roman"/>
          <w:sz w:val="24"/>
          <w:szCs w:val="24"/>
        </w:rPr>
        <w:t xml:space="preserve">Contudo, a convocação de entidades teoricamente fora do alcance empresarial </w:t>
      </w:r>
      <w:r>
        <w:rPr>
          <w:rFonts w:ascii="Times New Roman" w:hAnsi="Times New Roman"/>
          <w:i/>
          <w:sz w:val="24"/>
          <w:szCs w:val="24"/>
        </w:rPr>
        <w:t>direto</w:t>
      </w:r>
      <w:r>
        <w:rPr>
          <w:rFonts w:ascii="Times New Roman" w:hAnsi="Times New Roman"/>
          <w:sz w:val="24"/>
          <w:szCs w:val="24"/>
        </w:rPr>
        <w:t xml:space="preserve">, parecia inverter a lógica da “legitimação” da criação do CDES defendida por alguns autores: os empresários já contavam com esta experiência na administração petista em São Paulo e, </w:t>
      </w:r>
      <w:r>
        <w:rPr>
          <w:rFonts w:ascii="Times New Roman" w:hAnsi="Times New Roman"/>
          <w:i/>
          <w:sz w:val="24"/>
          <w:szCs w:val="24"/>
        </w:rPr>
        <w:t>eles próprios</w:t>
      </w:r>
      <w:r>
        <w:rPr>
          <w:rFonts w:ascii="Times New Roman" w:hAnsi="Times New Roman"/>
          <w:sz w:val="24"/>
          <w:szCs w:val="24"/>
        </w:rPr>
        <w:t xml:space="preserve">, anunciavam a importância de atrair outros setores como forma de “democratização das decisões” e desde que envolvessem “setores sociais importantes para a economia”. Este pareceu ser um outro lado da “legitimidade” desde o ponto de vista petista-empresarial, ainda que não possamos desprezar, de forma alguma, a trajetória do partido com os movimentos sociais e o esforço em atrair setores dominantes historicamente arredios ou desconfiantes da </w:t>
      </w:r>
      <w:r>
        <w:rPr>
          <w:rFonts w:ascii="Times New Roman" w:hAnsi="Times New Roman"/>
          <w:i/>
          <w:sz w:val="24"/>
          <w:szCs w:val="24"/>
        </w:rPr>
        <w:t>origem social</w:t>
      </w:r>
      <w:r>
        <w:rPr>
          <w:rFonts w:ascii="Times New Roman" w:hAnsi="Times New Roman"/>
          <w:sz w:val="24"/>
          <w:szCs w:val="24"/>
        </w:rPr>
        <w:t xml:space="preserve"> do novo governo que então se formara.</w:t>
      </w:r>
    </w:p>
    <w:p w:rsidR="007D1D9B" w:rsidRPr="00791543" w:rsidRDefault="007D1D9B" w:rsidP="00582426">
      <w:pPr>
        <w:spacing w:line="360" w:lineRule="auto"/>
        <w:ind w:firstLine="708"/>
        <w:jc w:val="both"/>
        <w:rPr>
          <w:rFonts w:ascii="Times New Roman" w:hAnsi="Times New Roman"/>
          <w:i/>
          <w:sz w:val="24"/>
          <w:szCs w:val="24"/>
        </w:rPr>
      </w:pPr>
      <w:r w:rsidRPr="00791543">
        <w:rPr>
          <w:rFonts w:ascii="Times New Roman" w:hAnsi="Times New Roman"/>
          <w:i/>
          <w:sz w:val="24"/>
          <w:szCs w:val="24"/>
        </w:rPr>
        <w:t>É evident</w:t>
      </w:r>
      <w:r w:rsidR="00364F88" w:rsidRPr="00791543">
        <w:rPr>
          <w:rFonts w:ascii="Times New Roman" w:hAnsi="Times New Roman"/>
          <w:i/>
          <w:sz w:val="24"/>
          <w:szCs w:val="24"/>
        </w:rPr>
        <w:t>e que o argumento de defesa dess</w:t>
      </w:r>
      <w:r w:rsidRPr="00791543">
        <w:rPr>
          <w:rFonts w:ascii="Times New Roman" w:hAnsi="Times New Roman"/>
          <w:i/>
          <w:sz w:val="24"/>
          <w:szCs w:val="24"/>
        </w:rPr>
        <w:t>e Conselho é a questão do aprimoramento da democracia</w:t>
      </w:r>
      <w:r w:rsidR="00364F88" w:rsidRPr="00791543">
        <w:rPr>
          <w:rFonts w:ascii="Times New Roman" w:hAnsi="Times New Roman"/>
          <w:i/>
          <w:sz w:val="24"/>
          <w:szCs w:val="24"/>
        </w:rPr>
        <w:t xml:space="preserve"> no Brasil sob os governos Lula da Silva</w:t>
      </w:r>
      <w:r w:rsidRPr="00791543">
        <w:rPr>
          <w:rFonts w:ascii="Times New Roman" w:hAnsi="Times New Roman"/>
          <w:i/>
          <w:sz w:val="24"/>
          <w:szCs w:val="24"/>
        </w:rPr>
        <w:t xml:space="preserve">. Tal defesa </w:t>
      </w:r>
      <w:r w:rsidR="00364F88" w:rsidRPr="00791543">
        <w:rPr>
          <w:rFonts w:ascii="Times New Roman" w:hAnsi="Times New Roman"/>
          <w:i/>
          <w:sz w:val="24"/>
          <w:szCs w:val="24"/>
        </w:rPr>
        <w:t>era um dos fios vermelhos– ao lado d</w:t>
      </w:r>
      <w:r w:rsidR="00D82E15" w:rsidRPr="00791543">
        <w:rPr>
          <w:rFonts w:ascii="Times New Roman" w:hAnsi="Times New Roman"/>
          <w:i/>
          <w:sz w:val="24"/>
          <w:szCs w:val="24"/>
        </w:rPr>
        <w:t xml:space="preserve">e outros como </w:t>
      </w:r>
      <w:r w:rsidR="00364F88" w:rsidRPr="00791543">
        <w:rPr>
          <w:rFonts w:ascii="Times New Roman" w:hAnsi="Times New Roman"/>
          <w:i/>
          <w:sz w:val="24"/>
          <w:szCs w:val="24"/>
        </w:rPr>
        <w:t xml:space="preserve">o </w:t>
      </w:r>
      <w:r w:rsidR="00D82E15" w:rsidRPr="00791543">
        <w:rPr>
          <w:rFonts w:ascii="Times New Roman" w:hAnsi="Times New Roman"/>
          <w:i/>
          <w:sz w:val="24"/>
          <w:szCs w:val="24"/>
        </w:rPr>
        <w:t xml:space="preserve">desenvolvimento do país com </w:t>
      </w:r>
      <w:r w:rsidR="00364F88" w:rsidRPr="00791543">
        <w:rPr>
          <w:rFonts w:ascii="Times New Roman" w:hAnsi="Times New Roman"/>
          <w:i/>
          <w:sz w:val="24"/>
          <w:szCs w:val="24"/>
        </w:rPr>
        <w:t xml:space="preserve">combate à desigualdade - que sustentava a razão de ser do CDES, </w:t>
      </w:r>
      <w:r w:rsidR="00D82E15" w:rsidRPr="00791543">
        <w:rPr>
          <w:rFonts w:ascii="Times New Roman" w:hAnsi="Times New Roman"/>
          <w:i/>
          <w:sz w:val="24"/>
          <w:szCs w:val="24"/>
        </w:rPr>
        <w:t xml:space="preserve">segundo </w:t>
      </w:r>
      <w:r w:rsidRPr="00791543">
        <w:rPr>
          <w:rFonts w:ascii="Times New Roman" w:hAnsi="Times New Roman"/>
          <w:i/>
          <w:sz w:val="24"/>
          <w:szCs w:val="24"/>
        </w:rPr>
        <w:t>os autores aqui expostos, a maioria dos conselheiros e, claro, o próprio governo. Ao longo desta tese debateremos no</w:t>
      </w:r>
      <w:r w:rsidR="00D82E15" w:rsidRPr="00791543">
        <w:rPr>
          <w:rFonts w:ascii="Times New Roman" w:hAnsi="Times New Roman"/>
          <w:i/>
          <w:sz w:val="24"/>
          <w:szCs w:val="24"/>
        </w:rPr>
        <w:t xml:space="preserve"> que consistiu</w:t>
      </w:r>
      <w:r w:rsidRPr="00791543">
        <w:rPr>
          <w:rFonts w:ascii="Times New Roman" w:hAnsi="Times New Roman"/>
          <w:i/>
          <w:sz w:val="24"/>
          <w:szCs w:val="24"/>
        </w:rPr>
        <w:t xml:space="preserve"> tal democracia</w:t>
      </w:r>
      <w:r w:rsidR="00D82E15" w:rsidRPr="00791543">
        <w:rPr>
          <w:rFonts w:ascii="Times New Roman" w:hAnsi="Times New Roman"/>
          <w:i/>
          <w:sz w:val="24"/>
          <w:szCs w:val="24"/>
        </w:rPr>
        <w:t xml:space="preserve"> e em que medida ela compunha um projeto de sociabilidade que visava o disten</w:t>
      </w:r>
      <w:r w:rsidR="008372FA" w:rsidRPr="00791543">
        <w:rPr>
          <w:rFonts w:ascii="Times New Roman" w:hAnsi="Times New Roman"/>
          <w:i/>
          <w:sz w:val="24"/>
          <w:szCs w:val="24"/>
        </w:rPr>
        <w:t>s</w:t>
      </w:r>
      <w:r w:rsidR="00D82E15" w:rsidRPr="00791543">
        <w:rPr>
          <w:rFonts w:ascii="Times New Roman" w:hAnsi="Times New Roman"/>
          <w:i/>
          <w:sz w:val="24"/>
          <w:szCs w:val="24"/>
        </w:rPr>
        <w:t>ionamento da luta de classes no Brasil.</w:t>
      </w:r>
    </w:p>
    <w:p w:rsidR="00582426" w:rsidRPr="00135680" w:rsidRDefault="00582426" w:rsidP="00582426">
      <w:pPr>
        <w:spacing w:after="0" w:line="360" w:lineRule="auto"/>
        <w:jc w:val="both"/>
        <w:rPr>
          <w:rFonts w:ascii="Times New Roman" w:hAnsi="Times New Roman"/>
          <w:b/>
          <w:sz w:val="24"/>
          <w:szCs w:val="24"/>
        </w:rPr>
      </w:pPr>
      <w:r w:rsidRPr="00135680">
        <w:rPr>
          <w:rFonts w:ascii="Times New Roman" w:hAnsi="Times New Roman"/>
          <w:b/>
          <w:sz w:val="24"/>
          <w:szCs w:val="24"/>
        </w:rPr>
        <w:t>Considerações sobre o estado das artes</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Os autores que analisam o CDES tratam esta complexa e conflituosa etapa de renovação da hegemonia burguesa como sendo “desafios à governabilidade”, “estratégias de legitimação”, “democratização do Estado”, “ampliação e radicalização da democracia”, “</w:t>
      </w:r>
      <w:r w:rsidRPr="00EF41A5">
        <w:rPr>
          <w:rFonts w:ascii="Times New Roman" w:hAnsi="Times New Roman"/>
          <w:i/>
          <w:sz w:val="24"/>
          <w:szCs w:val="24"/>
        </w:rPr>
        <w:t>complemento</w:t>
      </w:r>
      <w:r>
        <w:rPr>
          <w:rFonts w:ascii="Times New Roman" w:hAnsi="Times New Roman"/>
          <w:sz w:val="24"/>
          <w:szCs w:val="24"/>
        </w:rPr>
        <w:t xml:space="preserve"> às instituições clássicas da democracia representativa liberal”, “concertação social”, “soluções de compromisso”, “regulação coordenada”, dentre outros termos e conceitos diversos, em geral muito vigentes no </w:t>
      </w:r>
      <w:r>
        <w:rPr>
          <w:rFonts w:ascii="Times New Roman" w:hAnsi="Times New Roman"/>
          <w:i/>
          <w:sz w:val="24"/>
          <w:szCs w:val="24"/>
        </w:rPr>
        <w:t xml:space="preserve">mainstream </w:t>
      </w:r>
      <w:r>
        <w:rPr>
          <w:rFonts w:ascii="Times New Roman" w:hAnsi="Times New Roman"/>
          <w:sz w:val="24"/>
          <w:szCs w:val="24"/>
        </w:rPr>
        <w:t xml:space="preserve">das Ciências Sociais acerca das formas e papéis assumidos pela democracia, pelo Estado e pela sociedade civil. </w:t>
      </w:r>
    </w:p>
    <w:p w:rsidR="00582426" w:rsidRDefault="00582426" w:rsidP="00582426">
      <w:pPr>
        <w:autoSpaceDE w:val="0"/>
        <w:autoSpaceDN w:val="0"/>
        <w:adjustRightInd w:val="0"/>
        <w:spacing w:after="0" w:line="360" w:lineRule="auto"/>
        <w:ind w:firstLine="708"/>
        <w:jc w:val="both"/>
        <w:rPr>
          <w:rFonts w:ascii="Times New Roman" w:hAnsi="Times New Roman"/>
          <w:i/>
          <w:sz w:val="24"/>
          <w:szCs w:val="24"/>
        </w:rPr>
      </w:pPr>
      <w:r>
        <w:rPr>
          <w:rFonts w:ascii="Times New Roman" w:hAnsi="Times New Roman"/>
          <w:sz w:val="24"/>
          <w:szCs w:val="24"/>
        </w:rPr>
        <w:t xml:space="preserve">Uma crítica legítima a estes autores deve enfatizar a comunhão, o compromisso e a lealdade que assumem ao projeto de hegemonia do bloco dirigente em presença.  Para dar loas às formas de sociabilidades burguesas gestadas, tanto privilegiam abordagens político-institucionais – enaltecendo as experiências participativas nas administrações petistas e a premente exigência de seus dirigentes em legitimar o governo </w:t>
      </w:r>
      <w:r w:rsidR="00BF61AD">
        <w:rPr>
          <w:rFonts w:ascii="Times New Roman" w:hAnsi="Times New Roman"/>
          <w:sz w:val="24"/>
          <w:szCs w:val="24"/>
        </w:rPr>
        <w:t>ante</w:t>
      </w:r>
      <w:r>
        <w:rPr>
          <w:rFonts w:ascii="Times New Roman" w:hAnsi="Times New Roman"/>
          <w:sz w:val="24"/>
          <w:szCs w:val="24"/>
        </w:rPr>
        <w:t xml:space="preserve"> ao empresariado – quanto abordagens socioculturais, ao ressaltar, por exemplo, a renovação que assume a democracia deliberativa frente à herança patrimonialista brasileira e, fundamentalmente, a suposta força coesiva, dialógica, pactuadora inerente ao Conselho, </w:t>
      </w:r>
      <w:r w:rsidRPr="00A82C23">
        <w:rPr>
          <w:rFonts w:ascii="Times New Roman" w:hAnsi="Times New Roman"/>
          <w:i/>
          <w:sz w:val="24"/>
          <w:szCs w:val="24"/>
        </w:rPr>
        <w:t xml:space="preserve">tomando as falas ou propostas do governo como elementos analíticos definidores do CDES, </w:t>
      </w:r>
      <w:r w:rsidRPr="002728EA">
        <w:rPr>
          <w:rFonts w:ascii="Times New Roman" w:hAnsi="Times New Roman"/>
          <w:sz w:val="24"/>
          <w:szCs w:val="24"/>
        </w:rPr>
        <w:t>ou melhor</w:t>
      </w:r>
      <w:r>
        <w:rPr>
          <w:rFonts w:ascii="Times New Roman" w:hAnsi="Times New Roman"/>
          <w:i/>
          <w:sz w:val="24"/>
          <w:szCs w:val="24"/>
        </w:rPr>
        <w:t xml:space="preserve">, </w:t>
      </w:r>
      <w:r w:rsidRPr="00A82C23">
        <w:rPr>
          <w:rFonts w:ascii="Times New Roman" w:hAnsi="Times New Roman"/>
          <w:i/>
          <w:sz w:val="24"/>
          <w:szCs w:val="24"/>
        </w:rPr>
        <w:t xml:space="preserve">confundindo o que ele diz ser </w:t>
      </w:r>
      <w:r>
        <w:rPr>
          <w:rFonts w:ascii="Times New Roman" w:hAnsi="Times New Roman"/>
          <w:i/>
          <w:sz w:val="24"/>
          <w:szCs w:val="24"/>
        </w:rPr>
        <w:t>com o que</w:t>
      </w:r>
      <w:r w:rsidRPr="00A82C23">
        <w:rPr>
          <w:rFonts w:ascii="Times New Roman" w:hAnsi="Times New Roman"/>
          <w:i/>
          <w:sz w:val="24"/>
          <w:szCs w:val="24"/>
        </w:rPr>
        <w:t xml:space="preserve"> ele é de fato, em açã</w:t>
      </w:r>
      <w:r>
        <w:rPr>
          <w:rFonts w:ascii="Times New Roman" w:hAnsi="Times New Roman"/>
          <w:i/>
          <w:sz w:val="24"/>
          <w:szCs w:val="24"/>
        </w:rPr>
        <w:t xml:space="preserve">o. </w:t>
      </w:r>
    </w:p>
    <w:p w:rsidR="00582426" w:rsidRPr="00B56263" w:rsidRDefault="00582426" w:rsidP="00582426">
      <w:pPr>
        <w:autoSpaceDE w:val="0"/>
        <w:autoSpaceDN w:val="0"/>
        <w:adjustRightInd w:val="0"/>
        <w:spacing w:after="0" w:line="360" w:lineRule="auto"/>
        <w:ind w:firstLine="708"/>
        <w:jc w:val="both"/>
        <w:rPr>
          <w:rFonts w:ascii="Times New Roman" w:hAnsi="Times New Roman"/>
          <w:sz w:val="20"/>
          <w:szCs w:val="20"/>
        </w:rPr>
      </w:pPr>
      <w:r>
        <w:rPr>
          <w:rFonts w:ascii="Times New Roman" w:hAnsi="Times New Roman"/>
          <w:sz w:val="24"/>
          <w:szCs w:val="24"/>
        </w:rPr>
        <w:t>Muito embora seja passível de consideração, não é incomum o emaranhado de motivações político-conjunturais (circunstanciais) em lugar de um estudo em que considere as inflexões profundas por que atravessou a soc</w:t>
      </w:r>
      <w:r w:rsidR="00CA0999">
        <w:rPr>
          <w:rFonts w:ascii="Times New Roman" w:hAnsi="Times New Roman"/>
          <w:sz w:val="24"/>
          <w:szCs w:val="24"/>
        </w:rPr>
        <w:t>iedade, a economia e as forças so</w:t>
      </w:r>
      <w:r>
        <w:rPr>
          <w:rFonts w:ascii="Times New Roman" w:hAnsi="Times New Roman"/>
          <w:sz w:val="24"/>
          <w:szCs w:val="24"/>
        </w:rPr>
        <w:t xml:space="preserve">ciopolíticas no Brasil nas duas últimas décadas. </w:t>
      </w:r>
    </w:p>
    <w:p w:rsidR="00582426" w:rsidRDefault="00582426" w:rsidP="00582426">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Num olhar mais detido, contudo, percebemos que os autores acima arrolados</w:t>
      </w:r>
      <w:r w:rsidRPr="00F81231">
        <w:rPr>
          <w:rFonts w:ascii="Times New Roman" w:hAnsi="Times New Roman"/>
          <w:sz w:val="24"/>
          <w:szCs w:val="24"/>
        </w:rPr>
        <w:t>passam ao largo do entendimento do Estado num sentido “amplo”</w:t>
      </w:r>
      <w:r>
        <w:rPr>
          <w:rFonts w:ascii="Times New Roman" w:hAnsi="Times New Roman"/>
          <w:sz w:val="24"/>
          <w:szCs w:val="24"/>
        </w:rPr>
        <w:t>, como vimos. Ancorados na matriz liberal de Estado, preferem concebê-lo como um ente que “paira” sobre a sociedade onde esta consegue, finalmente, participar da vida estatal, de sua gestão.</w:t>
      </w:r>
    </w:p>
    <w:p w:rsidR="00582426" w:rsidRDefault="001A6CA2" w:rsidP="00582426">
      <w:pPr>
        <w:spacing w:after="0" w:line="360" w:lineRule="auto"/>
        <w:ind w:firstLine="708"/>
        <w:jc w:val="both"/>
        <w:rPr>
          <w:rFonts w:ascii="Times New Roman" w:hAnsi="Times New Roman"/>
          <w:sz w:val="24"/>
          <w:szCs w:val="24"/>
        </w:rPr>
      </w:pPr>
      <w:r>
        <w:rPr>
          <w:rFonts w:ascii="Times New Roman" w:hAnsi="Times New Roman"/>
          <w:sz w:val="24"/>
          <w:szCs w:val="24"/>
        </w:rPr>
        <w:t>Tributário</w:t>
      </w:r>
      <w:r w:rsidR="00582426">
        <w:rPr>
          <w:rFonts w:ascii="Times New Roman" w:hAnsi="Times New Roman"/>
          <w:sz w:val="24"/>
          <w:szCs w:val="24"/>
        </w:rPr>
        <w:t xml:space="preserve"> da matriz liberal, mas incorporada pela social-democracia europeia, o Estado encarado como </w:t>
      </w:r>
      <w:r w:rsidR="00582426" w:rsidRPr="00E31985">
        <w:rPr>
          <w:rFonts w:ascii="Times New Roman" w:hAnsi="Times New Roman"/>
          <w:i/>
          <w:sz w:val="24"/>
          <w:szCs w:val="24"/>
        </w:rPr>
        <w:t>Sujeito</w:t>
      </w:r>
      <w:r w:rsidR="00582426">
        <w:rPr>
          <w:rFonts w:ascii="Times New Roman" w:hAnsi="Times New Roman"/>
          <w:sz w:val="24"/>
          <w:szCs w:val="24"/>
        </w:rPr>
        <w:t xml:space="preserve"> aparece como árbitro que se eleva sobre as classes sociais, configurando um “bloco monolítico sem fissuras”,</w:t>
      </w:r>
      <w:r w:rsidR="00582426">
        <w:rPr>
          <w:rStyle w:val="Refdenotaderodap"/>
          <w:rFonts w:ascii="Times New Roman" w:hAnsi="Times New Roman"/>
          <w:sz w:val="24"/>
          <w:szCs w:val="24"/>
        </w:rPr>
        <w:footnoteReference w:id="83"/>
      </w:r>
      <w:r w:rsidR="00582426">
        <w:rPr>
          <w:rFonts w:ascii="Times New Roman" w:hAnsi="Times New Roman"/>
          <w:sz w:val="24"/>
          <w:szCs w:val="24"/>
        </w:rPr>
        <w:t xml:space="preserve"> imune e infenso às permeabilidades e conexões de classes e frações de classes no interior de seu aparato e expressando uma vontade racionalizante própria. Trata-se do Estado-fortaleza, o todo-poderoso Leviatã do qual emanam normas e diretrizes que afetam a todos, impregnado de vícios (corrupção, clientelismo, patrimonialismo, cartorialismo, burocratismo, etc). </w:t>
      </w:r>
    </w:p>
    <w:p w:rsidR="00582426" w:rsidRDefault="00582426" w:rsidP="00582426">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Nesta acepção, a separação entre Estado e Sociedade Civil não só é evidente como expressa um (histórico) antagonismo. O Estado no Brasil é interpretado por estudiosos expoentes das ciências sociais como um </w:t>
      </w:r>
      <w:r w:rsidRPr="00B83E46">
        <w:rPr>
          <w:rFonts w:ascii="Times New Roman" w:hAnsi="Times New Roman"/>
          <w:i/>
          <w:sz w:val="24"/>
          <w:szCs w:val="24"/>
        </w:rPr>
        <w:t>Sujeito</w:t>
      </w:r>
      <w:r>
        <w:rPr>
          <w:rFonts w:ascii="Times New Roman" w:hAnsi="Times New Roman"/>
          <w:sz w:val="24"/>
          <w:szCs w:val="24"/>
        </w:rPr>
        <w:t xml:space="preserve">, um protagonista do atraso, da ineficiência e da coerção. Do outro lado, encontramos a Sociedade Civil, também entificada e reificada porque desprovida de lutas e de contradições, de opressão, de dominação ou de exploração. Nela imperaria a “solidariedade”, a busca pelo “bem comum” através da participação “voluntarista”, “desinteressada”, “cosmopolita” e, em termos atualizados, “responsável”. </w:t>
      </w:r>
    </w:p>
    <w:p w:rsidR="00582426" w:rsidRDefault="00582426" w:rsidP="00582426">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 noção de Sociedade Civil corrente carrega subjetividades “humanísticas”, “angelicais”, suscetíveis ao “diálogo”, ao “consenso” (não à coerção) e à “democracia”. Não raras vezes, ela é dotada de caráter “civilizador”. Estes atributos não estão presentes somente na literatura que trata da relação entre Estado e Sociedade Civil no Brasil, mas também no próprio Conselho e seus ideólogos. Assim, por exemplo, o chamamento à participação da sociedade civil no CDES </w:t>
      </w:r>
      <w:r w:rsidR="001A6CA2">
        <w:rPr>
          <w:rFonts w:ascii="Times New Roman" w:hAnsi="Times New Roman"/>
          <w:sz w:val="24"/>
          <w:szCs w:val="24"/>
        </w:rPr>
        <w:t>era</w:t>
      </w:r>
      <w:r>
        <w:rPr>
          <w:rFonts w:ascii="Times New Roman" w:hAnsi="Times New Roman"/>
          <w:sz w:val="24"/>
          <w:szCs w:val="24"/>
        </w:rPr>
        <w:t xml:space="preserve"> visto como algo “civilizador” das instâncias estatais. Nas palavras de seu primeir</w:t>
      </w:r>
      <w:r w:rsidR="001A6CA2">
        <w:rPr>
          <w:rFonts w:ascii="Times New Roman" w:hAnsi="Times New Roman"/>
          <w:sz w:val="24"/>
          <w:szCs w:val="24"/>
        </w:rPr>
        <w:t>o Secretário, Tarso Genro afirmou</w:t>
      </w:r>
      <w:r>
        <w:rPr>
          <w:rFonts w:ascii="Times New Roman" w:hAnsi="Times New Roman"/>
          <w:sz w:val="24"/>
          <w:szCs w:val="24"/>
        </w:rPr>
        <w:t xml:space="preserve"> que,</w:t>
      </w:r>
    </w:p>
    <w:p w:rsidR="00582426" w:rsidRPr="00B0163E" w:rsidRDefault="00582426" w:rsidP="00582426">
      <w:pPr>
        <w:autoSpaceDE w:val="0"/>
        <w:autoSpaceDN w:val="0"/>
        <w:adjustRightInd w:val="0"/>
        <w:spacing w:line="240" w:lineRule="auto"/>
        <w:ind w:left="2268"/>
        <w:jc w:val="both"/>
        <w:rPr>
          <w:rFonts w:ascii="Times New Roman" w:hAnsi="Times New Roman"/>
          <w:sz w:val="24"/>
          <w:szCs w:val="24"/>
        </w:rPr>
      </w:pPr>
      <w:r w:rsidRPr="00B0163E">
        <w:rPr>
          <w:rFonts w:ascii="Times New Roman" w:hAnsi="Times New Roman"/>
          <w:sz w:val="20"/>
          <w:szCs w:val="20"/>
        </w:rPr>
        <w:t>Em última instância estabelece-se uma relação entre o Estado e a Sociedade na qual a sociedade civil se “estatiza”, n</w:t>
      </w:r>
      <w:r>
        <w:rPr>
          <w:rFonts w:ascii="Times New Roman" w:hAnsi="Times New Roman"/>
          <w:sz w:val="20"/>
          <w:szCs w:val="20"/>
        </w:rPr>
        <w:t>o</w:t>
      </w:r>
      <w:r w:rsidRPr="00B0163E">
        <w:rPr>
          <w:rFonts w:ascii="Times New Roman" w:hAnsi="Times New Roman"/>
          <w:sz w:val="20"/>
          <w:szCs w:val="20"/>
        </w:rPr>
        <w:t xml:space="preserve"> sentido de que participa do Estado, não no de que é controlada pelo Estado. E </w:t>
      </w:r>
      <w:r w:rsidRPr="00B0163E">
        <w:rPr>
          <w:rFonts w:ascii="Times New Roman" w:hAnsi="Times New Roman"/>
          <w:b/>
          <w:sz w:val="20"/>
          <w:szCs w:val="20"/>
        </w:rPr>
        <w:t>o Estado se “civiliza”</w:t>
      </w:r>
      <w:r w:rsidRPr="00B0163E">
        <w:rPr>
          <w:rFonts w:ascii="Times New Roman" w:hAnsi="Times New Roman"/>
          <w:sz w:val="20"/>
          <w:szCs w:val="20"/>
        </w:rPr>
        <w:t xml:space="preserve">, no sentido de que é permeado pelos movimentos da sociedade civil, pelas suas tensões, pelo cruzamento de opiniões, e pela presença do movimento social organizado </w:t>
      </w:r>
      <w:r w:rsidRPr="00B0163E">
        <w:rPr>
          <w:rFonts w:ascii="Times New Roman" w:hAnsi="Times New Roman"/>
          <w:b/>
          <w:sz w:val="20"/>
          <w:szCs w:val="20"/>
        </w:rPr>
        <w:t>pressionando democraticamente o Estado e o governo</w:t>
      </w:r>
      <w:r>
        <w:rPr>
          <w:rFonts w:ascii="Times New Roman" w:hAnsi="Times New Roman"/>
          <w:b/>
          <w:sz w:val="20"/>
          <w:szCs w:val="20"/>
        </w:rPr>
        <w:t>.</w:t>
      </w:r>
      <w:r w:rsidRPr="00C76C4A">
        <w:rPr>
          <w:rStyle w:val="Refdenotaderodap"/>
          <w:rFonts w:ascii="Times New Roman" w:hAnsi="Times New Roman"/>
          <w:sz w:val="20"/>
          <w:szCs w:val="20"/>
        </w:rPr>
        <w:footnoteReference w:id="84"/>
      </w:r>
    </w:p>
    <w:p w:rsidR="00582426" w:rsidRDefault="00582426" w:rsidP="007D1D9B">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 O “culto” à sociedade civil só é possível porque tais análises a apresentam como descurada de qualquer conteúdo de classe, ou melhor, como apta a assumir </w:t>
      </w:r>
      <w:r>
        <w:rPr>
          <w:rFonts w:ascii="Times New Roman" w:hAnsi="Times New Roman"/>
          <w:i/>
          <w:sz w:val="24"/>
          <w:szCs w:val="24"/>
        </w:rPr>
        <w:t>o papel de novo agente histórico da transformação em lugar das classes sociais</w:t>
      </w:r>
      <w:r>
        <w:rPr>
          <w:rFonts w:ascii="Times New Roman" w:hAnsi="Times New Roman"/>
          <w:sz w:val="24"/>
          <w:szCs w:val="24"/>
        </w:rPr>
        <w:t>. É Antônio Gramsci que nos dá o suporte teórico, no marxismo, para escapar desta camisa-de-força dos intérpretes social-liberais através de um entendimento rico, dialético, histórico das relações orgânicas entre Estado e da Sociedade Civil, em suma, do Estado integral.</w:t>
      </w:r>
    </w:p>
    <w:p w:rsidR="007D1D9B" w:rsidRDefault="007D1D9B" w:rsidP="007D1D9B">
      <w:pPr>
        <w:autoSpaceDE w:val="0"/>
        <w:autoSpaceDN w:val="0"/>
        <w:adjustRightInd w:val="0"/>
        <w:spacing w:after="0" w:line="360" w:lineRule="auto"/>
        <w:ind w:firstLine="708"/>
        <w:jc w:val="both"/>
        <w:rPr>
          <w:rFonts w:ascii="Times New Roman" w:hAnsi="Times New Roman"/>
          <w:sz w:val="24"/>
          <w:szCs w:val="24"/>
        </w:rPr>
      </w:pPr>
    </w:p>
    <w:p w:rsidR="00582426" w:rsidRDefault="00582426" w:rsidP="00582426">
      <w:pPr>
        <w:autoSpaceDE w:val="0"/>
        <w:autoSpaceDN w:val="0"/>
        <w:adjustRightInd w:val="0"/>
        <w:spacing w:after="0" w:line="240" w:lineRule="auto"/>
        <w:rPr>
          <w:rFonts w:ascii="Times New Roman" w:hAnsi="Times New Roman"/>
          <w:sz w:val="24"/>
          <w:szCs w:val="24"/>
        </w:rPr>
      </w:pPr>
    </w:p>
    <w:p w:rsidR="00582426" w:rsidRPr="00582426" w:rsidRDefault="00582426" w:rsidP="00582426">
      <w:pPr>
        <w:autoSpaceDE w:val="0"/>
        <w:autoSpaceDN w:val="0"/>
        <w:adjustRightInd w:val="0"/>
        <w:spacing w:after="0" w:line="360" w:lineRule="auto"/>
        <w:jc w:val="both"/>
        <w:rPr>
          <w:rFonts w:ascii="Times New Roman" w:hAnsi="Times New Roman"/>
          <w:sz w:val="24"/>
          <w:szCs w:val="24"/>
        </w:rPr>
      </w:pPr>
    </w:p>
    <w:p w:rsidR="00582426" w:rsidRPr="00582426" w:rsidRDefault="00582426" w:rsidP="00582426">
      <w:pPr>
        <w:spacing w:line="360" w:lineRule="auto"/>
        <w:ind w:firstLine="708"/>
        <w:jc w:val="both"/>
        <w:rPr>
          <w:rFonts w:ascii="Times New Roman" w:hAnsi="Times New Roman"/>
          <w:sz w:val="24"/>
          <w:szCs w:val="24"/>
        </w:rPr>
      </w:pPr>
    </w:p>
    <w:p w:rsidR="00582426" w:rsidRPr="00582426" w:rsidRDefault="00582426" w:rsidP="00582426">
      <w:pPr>
        <w:spacing w:line="360" w:lineRule="auto"/>
        <w:ind w:firstLine="708"/>
        <w:jc w:val="both"/>
        <w:rPr>
          <w:rFonts w:ascii="Times New Roman" w:hAnsi="Times New Roman"/>
          <w:sz w:val="24"/>
          <w:szCs w:val="24"/>
        </w:rPr>
      </w:pPr>
    </w:p>
    <w:p w:rsidR="00582426" w:rsidRPr="00582426" w:rsidRDefault="00582426" w:rsidP="00582426">
      <w:pPr>
        <w:spacing w:line="360" w:lineRule="auto"/>
        <w:ind w:firstLine="708"/>
        <w:jc w:val="both"/>
        <w:rPr>
          <w:rFonts w:ascii="Times New Roman" w:hAnsi="Times New Roman"/>
          <w:sz w:val="24"/>
          <w:szCs w:val="24"/>
        </w:rPr>
      </w:pPr>
    </w:p>
    <w:p w:rsidR="00582426" w:rsidRDefault="00582426" w:rsidP="00582426">
      <w:pPr>
        <w:spacing w:line="360" w:lineRule="auto"/>
        <w:ind w:firstLine="708"/>
        <w:jc w:val="both"/>
        <w:rPr>
          <w:rFonts w:ascii="Times New Roman" w:hAnsi="Times New Roman"/>
          <w:sz w:val="24"/>
          <w:szCs w:val="24"/>
        </w:rPr>
      </w:pPr>
    </w:p>
    <w:p w:rsidR="00F64C4B" w:rsidRDefault="00F64C4B" w:rsidP="00582426">
      <w:pPr>
        <w:spacing w:line="360" w:lineRule="auto"/>
        <w:ind w:firstLine="708"/>
        <w:jc w:val="both"/>
        <w:rPr>
          <w:rFonts w:ascii="Times New Roman" w:hAnsi="Times New Roman"/>
          <w:sz w:val="24"/>
          <w:szCs w:val="24"/>
        </w:rPr>
      </w:pPr>
    </w:p>
    <w:p w:rsidR="002E6389" w:rsidRDefault="002E6389" w:rsidP="00582426">
      <w:pPr>
        <w:spacing w:line="360" w:lineRule="auto"/>
        <w:ind w:firstLine="708"/>
        <w:jc w:val="both"/>
        <w:rPr>
          <w:rFonts w:ascii="Times New Roman" w:hAnsi="Times New Roman"/>
          <w:sz w:val="24"/>
          <w:szCs w:val="24"/>
        </w:rPr>
      </w:pPr>
    </w:p>
    <w:p w:rsidR="002E6389" w:rsidRDefault="002E6389" w:rsidP="00582426">
      <w:pPr>
        <w:spacing w:line="360" w:lineRule="auto"/>
        <w:ind w:firstLine="708"/>
        <w:jc w:val="both"/>
        <w:rPr>
          <w:rFonts w:ascii="Times New Roman" w:hAnsi="Times New Roman"/>
          <w:sz w:val="24"/>
          <w:szCs w:val="24"/>
        </w:rPr>
      </w:pPr>
    </w:p>
    <w:p w:rsidR="002E6389" w:rsidRDefault="002E6389" w:rsidP="00582426">
      <w:pPr>
        <w:spacing w:line="360" w:lineRule="auto"/>
        <w:ind w:firstLine="708"/>
        <w:jc w:val="both"/>
        <w:rPr>
          <w:rFonts w:ascii="Times New Roman" w:hAnsi="Times New Roman"/>
          <w:sz w:val="24"/>
          <w:szCs w:val="24"/>
        </w:rPr>
      </w:pPr>
    </w:p>
    <w:p w:rsidR="002E6389" w:rsidRDefault="002E6389" w:rsidP="00582426">
      <w:pPr>
        <w:spacing w:line="360" w:lineRule="auto"/>
        <w:ind w:firstLine="708"/>
        <w:jc w:val="both"/>
        <w:rPr>
          <w:rFonts w:ascii="Times New Roman" w:hAnsi="Times New Roman"/>
          <w:sz w:val="24"/>
          <w:szCs w:val="24"/>
        </w:rPr>
      </w:pPr>
    </w:p>
    <w:p w:rsidR="002E6389" w:rsidRDefault="002E6389" w:rsidP="00582426">
      <w:pPr>
        <w:spacing w:line="360" w:lineRule="auto"/>
        <w:ind w:firstLine="708"/>
        <w:jc w:val="both"/>
        <w:rPr>
          <w:rFonts w:ascii="Times New Roman" w:hAnsi="Times New Roman"/>
          <w:sz w:val="24"/>
          <w:szCs w:val="24"/>
        </w:rPr>
      </w:pPr>
    </w:p>
    <w:p w:rsidR="002E6389" w:rsidRDefault="002E6389" w:rsidP="00582426">
      <w:pPr>
        <w:spacing w:line="360" w:lineRule="auto"/>
        <w:ind w:firstLine="708"/>
        <w:jc w:val="both"/>
        <w:rPr>
          <w:rFonts w:ascii="Times New Roman" w:hAnsi="Times New Roman"/>
          <w:sz w:val="24"/>
          <w:szCs w:val="24"/>
        </w:rPr>
      </w:pPr>
    </w:p>
    <w:p w:rsidR="002E6389" w:rsidRDefault="002E6389" w:rsidP="00582426">
      <w:pPr>
        <w:spacing w:line="360" w:lineRule="auto"/>
        <w:ind w:firstLine="708"/>
        <w:jc w:val="both"/>
        <w:rPr>
          <w:rFonts w:ascii="Times New Roman" w:hAnsi="Times New Roman"/>
          <w:sz w:val="24"/>
          <w:szCs w:val="24"/>
        </w:rPr>
      </w:pPr>
    </w:p>
    <w:p w:rsidR="002E6389" w:rsidRDefault="002E6389" w:rsidP="00582426">
      <w:pPr>
        <w:spacing w:line="360" w:lineRule="auto"/>
        <w:ind w:firstLine="708"/>
        <w:jc w:val="both"/>
        <w:rPr>
          <w:rFonts w:ascii="Times New Roman" w:hAnsi="Times New Roman"/>
          <w:sz w:val="24"/>
          <w:szCs w:val="24"/>
        </w:rPr>
      </w:pPr>
    </w:p>
    <w:p w:rsidR="002E6389" w:rsidRDefault="002E6389" w:rsidP="00582426">
      <w:pPr>
        <w:spacing w:line="360" w:lineRule="auto"/>
        <w:ind w:firstLine="708"/>
        <w:jc w:val="both"/>
        <w:rPr>
          <w:rFonts w:ascii="Times New Roman" w:hAnsi="Times New Roman"/>
          <w:sz w:val="24"/>
          <w:szCs w:val="24"/>
        </w:rPr>
      </w:pPr>
    </w:p>
    <w:p w:rsidR="002E6389" w:rsidRDefault="002E6389" w:rsidP="00582426">
      <w:pPr>
        <w:spacing w:line="360" w:lineRule="auto"/>
        <w:ind w:firstLine="708"/>
        <w:jc w:val="both"/>
        <w:rPr>
          <w:rFonts w:ascii="Times New Roman" w:hAnsi="Times New Roman"/>
          <w:sz w:val="24"/>
          <w:szCs w:val="24"/>
        </w:rPr>
      </w:pPr>
    </w:p>
    <w:p w:rsidR="002E6389" w:rsidRDefault="002E6389" w:rsidP="00582426">
      <w:pPr>
        <w:spacing w:line="360" w:lineRule="auto"/>
        <w:ind w:firstLine="708"/>
        <w:jc w:val="both"/>
        <w:rPr>
          <w:rFonts w:ascii="Times New Roman" w:hAnsi="Times New Roman"/>
          <w:sz w:val="24"/>
          <w:szCs w:val="24"/>
        </w:rPr>
      </w:pPr>
    </w:p>
    <w:p w:rsidR="002E6389" w:rsidRDefault="002E6389" w:rsidP="00582426">
      <w:pPr>
        <w:spacing w:line="360" w:lineRule="auto"/>
        <w:ind w:firstLine="708"/>
        <w:jc w:val="both"/>
        <w:rPr>
          <w:rFonts w:ascii="Times New Roman" w:hAnsi="Times New Roman"/>
          <w:sz w:val="24"/>
          <w:szCs w:val="24"/>
        </w:rPr>
      </w:pPr>
    </w:p>
    <w:p w:rsidR="002E6389" w:rsidRDefault="002E6389" w:rsidP="00582426">
      <w:pPr>
        <w:spacing w:line="360" w:lineRule="auto"/>
        <w:ind w:firstLine="708"/>
        <w:jc w:val="both"/>
        <w:rPr>
          <w:rFonts w:ascii="Times New Roman" w:hAnsi="Times New Roman"/>
          <w:sz w:val="24"/>
          <w:szCs w:val="24"/>
        </w:rPr>
      </w:pPr>
    </w:p>
    <w:p w:rsidR="002E6389" w:rsidRDefault="002E6389" w:rsidP="00582426">
      <w:pPr>
        <w:spacing w:line="360" w:lineRule="auto"/>
        <w:ind w:firstLine="708"/>
        <w:jc w:val="both"/>
        <w:rPr>
          <w:rFonts w:ascii="Times New Roman" w:hAnsi="Times New Roman"/>
          <w:sz w:val="24"/>
          <w:szCs w:val="24"/>
        </w:rPr>
      </w:pPr>
    </w:p>
    <w:p w:rsidR="002E6389" w:rsidRDefault="002E6389" w:rsidP="00582426">
      <w:pPr>
        <w:spacing w:line="360" w:lineRule="auto"/>
        <w:ind w:firstLine="708"/>
        <w:jc w:val="both"/>
        <w:rPr>
          <w:rFonts w:ascii="Times New Roman" w:hAnsi="Times New Roman"/>
          <w:sz w:val="24"/>
          <w:szCs w:val="24"/>
        </w:rPr>
      </w:pPr>
    </w:p>
    <w:p w:rsidR="00CE3680" w:rsidRPr="004D4B7C" w:rsidRDefault="004D75C6" w:rsidP="002E6389">
      <w:pPr>
        <w:pStyle w:val="Ttulo1"/>
        <w:spacing w:line="360" w:lineRule="auto"/>
        <w:jc w:val="center"/>
        <w:rPr>
          <w:sz w:val="24"/>
          <w:szCs w:val="24"/>
        </w:rPr>
      </w:pPr>
      <w:r>
        <w:rPr>
          <w:sz w:val="24"/>
          <w:szCs w:val="24"/>
        </w:rPr>
        <w:t>CAPÍTULO</w:t>
      </w:r>
      <w:r w:rsidR="00CE3680" w:rsidRPr="004D4B7C">
        <w:rPr>
          <w:sz w:val="24"/>
          <w:szCs w:val="24"/>
        </w:rPr>
        <w:t xml:space="preserve"> 1 – E</w:t>
      </w:r>
      <w:r>
        <w:rPr>
          <w:sz w:val="24"/>
          <w:szCs w:val="24"/>
        </w:rPr>
        <w:t>STRUTURA NORMATIVA, MODO DE FUNCIONAMENTO E INSTÂNCIAS INTERNAS DO CDES</w:t>
      </w:r>
    </w:p>
    <w:p w:rsidR="00CE3680" w:rsidRDefault="00CE3680" w:rsidP="00CE3680">
      <w:pPr>
        <w:spacing w:after="0" w:line="360" w:lineRule="auto"/>
        <w:jc w:val="both"/>
        <w:rPr>
          <w:rFonts w:ascii="Times New Roman" w:hAnsi="Times New Roman"/>
          <w:b/>
          <w:sz w:val="24"/>
          <w:szCs w:val="24"/>
        </w:rPr>
      </w:pPr>
    </w:p>
    <w:p w:rsidR="00CE3680" w:rsidRPr="008812D0" w:rsidRDefault="00CE3680" w:rsidP="004D4B7C">
      <w:pPr>
        <w:pStyle w:val="PargrafodaLista"/>
        <w:numPr>
          <w:ilvl w:val="1"/>
          <w:numId w:val="5"/>
        </w:numPr>
        <w:spacing w:after="0" w:line="360" w:lineRule="auto"/>
        <w:jc w:val="both"/>
        <w:outlineLvl w:val="0"/>
        <w:rPr>
          <w:rFonts w:ascii="Times New Roman" w:hAnsi="Times New Roman"/>
          <w:b/>
          <w:sz w:val="24"/>
          <w:szCs w:val="24"/>
        </w:rPr>
      </w:pPr>
      <w:r>
        <w:rPr>
          <w:rFonts w:ascii="Times New Roman" w:hAnsi="Times New Roman"/>
          <w:b/>
          <w:sz w:val="24"/>
          <w:szCs w:val="24"/>
        </w:rPr>
        <w:t>–</w:t>
      </w:r>
      <w:r w:rsidRPr="008812D0">
        <w:rPr>
          <w:rFonts w:ascii="Times New Roman" w:hAnsi="Times New Roman"/>
          <w:b/>
          <w:sz w:val="24"/>
          <w:szCs w:val="24"/>
        </w:rPr>
        <w:t xml:space="preserve"> Introdução</w:t>
      </w:r>
    </w:p>
    <w:p w:rsidR="00CE3680" w:rsidRPr="008812D0" w:rsidRDefault="00CE3680" w:rsidP="00CE3680">
      <w:pPr>
        <w:spacing w:after="0" w:line="360" w:lineRule="auto"/>
        <w:jc w:val="both"/>
        <w:rPr>
          <w:rFonts w:ascii="Times New Roman" w:hAnsi="Times New Roman"/>
          <w:sz w:val="24"/>
          <w:szCs w:val="24"/>
        </w:rPr>
      </w:pPr>
    </w:p>
    <w:p w:rsidR="00CE3680" w:rsidRPr="00A245A3" w:rsidRDefault="00CE3680" w:rsidP="00CE3680">
      <w:pPr>
        <w:spacing w:after="0" w:line="360" w:lineRule="auto"/>
        <w:ind w:firstLine="708"/>
        <w:jc w:val="both"/>
        <w:rPr>
          <w:rFonts w:ascii="Times New Roman" w:hAnsi="Times New Roman"/>
          <w:sz w:val="24"/>
          <w:szCs w:val="24"/>
        </w:rPr>
      </w:pPr>
      <w:r w:rsidRPr="00A245A3">
        <w:rPr>
          <w:rFonts w:ascii="Times New Roman" w:hAnsi="Times New Roman"/>
          <w:sz w:val="24"/>
          <w:szCs w:val="24"/>
        </w:rPr>
        <w:t>Estudar um órgão do aparato estatal, em qualquer ente federativo (estados, municípios ou União), no que tange a sua estruturação interna organizacional, finalidades e competências, atribuições, modo de funcionamento, instâncias internas etc., requer o trato com fontes oficiais (medidas provisórias, legislação ordinária, decretos, regimento interno, dentre outros) emanadas do Executivo na sua função legislativa. Além disso, o estudo sobre a sua normatização não se completa e nem se esmiúça apenas por meio de conjunto de normas legislativas. É preciso uma documentação interna razoavelmente detalhada do e sobre o órgão em estudo que autorize e auxilie o pesquisador a trabalhar com maior profundidade e que consiga encontrar nuances não explícitas ou mesmo ausentes do corpo legal.</w:t>
      </w:r>
    </w:p>
    <w:p w:rsidR="00CE3680" w:rsidRPr="00A245A3" w:rsidRDefault="00CE3680" w:rsidP="00CE3680">
      <w:pPr>
        <w:spacing w:line="360" w:lineRule="auto"/>
        <w:ind w:firstLine="708"/>
        <w:jc w:val="both"/>
        <w:rPr>
          <w:rFonts w:ascii="Times New Roman" w:hAnsi="Times New Roman"/>
          <w:sz w:val="24"/>
          <w:szCs w:val="24"/>
        </w:rPr>
      </w:pPr>
      <w:r w:rsidRPr="00A245A3">
        <w:rPr>
          <w:rFonts w:ascii="Times New Roman" w:hAnsi="Times New Roman"/>
          <w:sz w:val="24"/>
          <w:szCs w:val="24"/>
        </w:rPr>
        <w:t xml:space="preserve">O corpo legislativo, como sabemos, manifesta e deriva da dinâmica social e, portanto, abarca alterações conflituosas dela resultantes. </w:t>
      </w:r>
      <w:r>
        <w:rPr>
          <w:rFonts w:ascii="Times New Roman" w:hAnsi="Times New Roman"/>
          <w:sz w:val="24"/>
          <w:szCs w:val="24"/>
        </w:rPr>
        <w:t>São as</w:t>
      </w:r>
      <w:r w:rsidRPr="00A245A3">
        <w:rPr>
          <w:rFonts w:ascii="Times New Roman" w:hAnsi="Times New Roman"/>
          <w:sz w:val="24"/>
          <w:szCs w:val="24"/>
        </w:rPr>
        <w:t xml:space="preserve"> relações sociais a base </w:t>
      </w:r>
      <w:r>
        <w:rPr>
          <w:rFonts w:ascii="Times New Roman" w:hAnsi="Times New Roman"/>
          <w:sz w:val="24"/>
          <w:szCs w:val="24"/>
        </w:rPr>
        <w:t xml:space="preserve">do arcabouço jurídico e não o contrário. Tomar o conjunto das normas legais como tão-somente organizador e estruturador de dado órgão como forma de tentar dar conta da totalidade organizativa que o envolve é tornar unilateral e estático aquilo que é atravessado por relações sociais e, portanto, dinâmico </w:t>
      </w:r>
      <w:r w:rsidR="00BF61AD">
        <w:rPr>
          <w:rFonts w:ascii="Times New Roman" w:hAnsi="Times New Roman"/>
          <w:sz w:val="24"/>
          <w:szCs w:val="24"/>
        </w:rPr>
        <w:t>perante</w:t>
      </w:r>
      <w:r>
        <w:rPr>
          <w:rFonts w:ascii="Times New Roman" w:hAnsi="Times New Roman"/>
          <w:sz w:val="24"/>
          <w:szCs w:val="24"/>
        </w:rPr>
        <w:t xml:space="preserve"> aos embates, disputas e acomodações que lhe constitui. A dinâmica interna do CDES não responde apenas ao que foi dado normativamente, mas também a partir do seu ambiente externo – o que envolve, claramente, a atuação e o </w:t>
      </w:r>
      <w:r>
        <w:rPr>
          <w:rFonts w:ascii="Times New Roman" w:hAnsi="Times New Roman"/>
          <w:i/>
          <w:sz w:val="24"/>
          <w:szCs w:val="24"/>
        </w:rPr>
        <w:t xml:space="preserve">modus operandi </w:t>
      </w:r>
      <w:r>
        <w:rPr>
          <w:rFonts w:ascii="Times New Roman" w:hAnsi="Times New Roman"/>
          <w:sz w:val="24"/>
          <w:szCs w:val="24"/>
        </w:rPr>
        <w:t>dos sujeitos sociais que o envolve</w:t>
      </w:r>
      <w:r w:rsidR="001A6CA2">
        <w:rPr>
          <w:rFonts w:ascii="Times New Roman" w:hAnsi="Times New Roman"/>
          <w:sz w:val="24"/>
          <w:szCs w:val="24"/>
        </w:rPr>
        <w:t>m</w:t>
      </w:r>
      <w:r>
        <w:rPr>
          <w:rFonts w:ascii="Times New Roman" w:hAnsi="Times New Roman"/>
          <w:sz w:val="24"/>
          <w:szCs w:val="24"/>
        </w:rPr>
        <w:t>. Foi com esta perspectiva metodológica que pesquisamos a estrutura, a organização e o modo de funcionamento do CDES.</w:t>
      </w:r>
    </w:p>
    <w:p w:rsidR="00CE3680" w:rsidRPr="00C445DE" w:rsidRDefault="00CE3680" w:rsidP="00C445DE">
      <w:pPr>
        <w:pStyle w:val="Ttulo1"/>
        <w:rPr>
          <w:sz w:val="24"/>
          <w:szCs w:val="24"/>
        </w:rPr>
      </w:pPr>
      <w:r w:rsidRPr="00C445DE">
        <w:rPr>
          <w:sz w:val="24"/>
          <w:szCs w:val="24"/>
        </w:rPr>
        <w:t>1.2 - A Plenária do CDES</w:t>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 xml:space="preserve">O Conselho de Desenvolvimento Econômico e Social (CDES) é um órgão da administração pública federal criado em 1º de janeiro de 2003 pela Medida Provisória nº 103, na ocasião da posse de Lula da Silva à Presidência da República. A lei 10.683 de 28 de maio de 2003 regulamentou a criação do Conselho e o definiu como órgão de </w:t>
      </w:r>
      <w:r w:rsidRPr="00DE2F1C">
        <w:rPr>
          <w:rFonts w:ascii="Times New Roman" w:hAnsi="Times New Roman"/>
          <w:i/>
          <w:sz w:val="24"/>
          <w:szCs w:val="24"/>
        </w:rPr>
        <w:t>assessoramento</w:t>
      </w:r>
      <w:r>
        <w:rPr>
          <w:rFonts w:ascii="Times New Roman" w:hAnsi="Times New Roman"/>
          <w:sz w:val="24"/>
          <w:szCs w:val="24"/>
        </w:rPr>
        <w:t xml:space="preserve"> imediato do Presidente da República, sendo sua Secretaria – à época denominada Secretaria Especial do Conselho de Desenvolvimento Econômico e Social (SEDES) -, órgão de </w:t>
      </w:r>
      <w:r w:rsidRPr="00DE2F1C">
        <w:rPr>
          <w:rFonts w:ascii="Times New Roman" w:hAnsi="Times New Roman"/>
          <w:i/>
          <w:sz w:val="24"/>
          <w:szCs w:val="24"/>
        </w:rPr>
        <w:t>consulta</w:t>
      </w:r>
      <w:r>
        <w:rPr>
          <w:rFonts w:ascii="Times New Roman" w:hAnsi="Times New Roman"/>
          <w:sz w:val="24"/>
          <w:szCs w:val="24"/>
        </w:rPr>
        <w:t xml:space="preserve"> do chefe do executivo federal.</w:t>
      </w:r>
      <w:r>
        <w:rPr>
          <w:rStyle w:val="Refdenotaderodap"/>
          <w:rFonts w:ascii="Times New Roman" w:hAnsi="Times New Roman"/>
          <w:sz w:val="24"/>
          <w:szCs w:val="24"/>
        </w:rPr>
        <w:footnoteReference w:id="85"/>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 xml:space="preserve">O inciso IV do §1º do artigo 8º da lei 10.683/03 afirma que o Conselho será integrado por </w:t>
      </w:r>
      <w:r w:rsidRPr="00A34F84">
        <w:rPr>
          <w:rFonts w:ascii="Times New Roman" w:hAnsi="Times New Roman"/>
          <w:sz w:val="24"/>
          <w:szCs w:val="24"/>
        </w:rPr>
        <w:t>“por noventa cidadãos brasileiros, e respectivos suplentes, maiores de idade, de ilibada conduta e reconhecida liderança e representatividade, todos designados pelo Presidente da República para mandatos de dois anos, facultada a recondução</w:t>
      </w:r>
      <w:r>
        <w:rPr>
          <w:rFonts w:ascii="Times New Roman" w:hAnsi="Times New Roman"/>
          <w:sz w:val="24"/>
          <w:szCs w:val="24"/>
        </w:rPr>
        <w:t xml:space="preserve">”. </w:t>
      </w:r>
      <w:r w:rsidRPr="00B3443F">
        <w:rPr>
          <w:rFonts w:ascii="Times New Roman" w:hAnsi="Times New Roman"/>
          <w:sz w:val="24"/>
          <w:szCs w:val="24"/>
        </w:rPr>
        <w:t>O § 7</w:t>
      </w:r>
      <w:r w:rsidRPr="00B3443F">
        <w:rPr>
          <w:rFonts w:ascii="Times New Roman" w:hAnsi="Times New Roman"/>
          <w:sz w:val="24"/>
          <w:szCs w:val="24"/>
          <w:u w:val="single"/>
          <w:vertAlign w:val="superscript"/>
        </w:rPr>
        <w:t>o</w:t>
      </w:r>
      <w:r w:rsidRPr="00B3443F">
        <w:rPr>
          <w:rFonts w:ascii="Times New Roman" w:hAnsi="Times New Roman"/>
          <w:sz w:val="24"/>
          <w:szCs w:val="24"/>
        </w:rPr>
        <w:t xml:space="preserve"> do mesmo artigo afirma ainda que a participação no Conselho </w:t>
      </w:r>
      <w:r>
        <w:rPr>
          <w:rFonts w:ascii="Times New Roman" w:hAnsi="Times New Roman"/>
          <w:sz w:val="24"/>
          <w:szCs w:val="24"/>
        </w:rPr>
        <w:t>“</w:t>
      </w:r>
      <w:r w:rsidRPr="00B3443F">
        <w:rPr>
          <w:rFonts w:ascii="Times New Roman" w:hAnsi="Times New Roman"/>
          <w:sz w:val="24"/>
          <w:szCs w:val="24"/>
        </w:rPr>
        <w:t>será considerada função relevante e não será remunerada</w:t>
      </w:r>
      <w:r>
        <w:rPr>
          <w:rFonts w:ascii="Times New Roman" w:hAnsi="Times New Roman"/>
          <w:sz w:val="24"/>
          <w:szCs w:val="24"/>
        </w:rPr>
        <w:t>”</w:t>
      </w:r>
      <w:r w:rsidRPr="00B3443F">
        <w:rPr>
          <w:rFonts w:ascii="Times New Roman" w:hAnsi="Times New Roman"/>
          <w:sz w:val="24"/>
          <w:szCs w:val="24"/>
        </w:rPr>
        <w:t>.</w:t>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Interessante observar que o Regimento Interno do CDES, anterior à lei 10683/03, dispunha, no seu artigo 2º, inciso IV, o quantitativo de 82 conselheiros integrantes da plenária. A ampliação da composição do CDES, com o ingresso de mais 8 conselheiros, devia-se, segundo Garcia, à</w:t>
      </w:r>
    </w:p>
    <w:p w:rsidR="00CE3680" w:rsidRPr="00A723A1" w:rsidRDefault="00CE3680" w:rsidP="00CE3680">
      <w:pPr>
        <w:spacing w:line="240" w:lineRule="auto"/>
        <w:ind w:left="2268"/>
        <w:jc w:val="both"/>
        <w:rPr>
          <w:rFonts w:ascii="Times New Roman" w:hAnsi="Times New Roman"/>
          <w:sz w:val="20"/>
          <w:szCs w:val="20"/>
        </w:rPr>
      </w:pPr>
      <w:r w:rsidRPr="00A723A1">
        <w:rPr>
          <w:rFonts w:ascii="Times New Roman" w:hAnsi="Times New Roman"/>
          <w:sz w:val="20"/>
          <w:szCs w:val="20"/>
        </w:rPr>
        <w:t>tentativa de minimizar o desequilíbrio de composição (...). Desta vez, foram incorporados cinco conselheiros da região Norte, um do Nordeste e dois pastores evangélicos, na intenção de obter um equilíbrio maior também entre os segmentos religiosos</w:t>
      </w:r>
      <w:r>
        <w:rPr>
          <w:rFonts w:ascii="Times New Roman" w:hAnsi="Times New Roman"/>
          <w:sz w:val="20"/>
          <w:szCs w:val="20"/>
        </w:rPr>
        <w:t>.</w:t>
      </w:r>
      <w:r>
        <w:rPr>
          <w:rStyle w:val="Refdenotaderodap"/>
          <w:rFonts w:ascii="Times New Roman" w:hAnsi="Times New Roman"/>
          <w:sz w:val="20"/>
          <w:szCs w:val="20"/>
        </w:rPr>
        <w:footnoteReference w:id="86"/>
      </w:r>
    </w:p>
    <w:p w:rsidR="00CE3680" w:rsidRDefault="00CE3680" w:rsidP="00CE3680">
      <w:pPr>
        <w:spacing w:line="360" w:lineRule="auto"/>
        <w:ind w:firstLine="708"/>
        <w:jc w:val="both"/>
        <w:rPr>
          <w:rFonts w:ascii="Times New Roman" w:hAnsi="Times New Roman"/>
          <w:sz w:val="24"/>
          <w:szCs w:val="24"/>
        </w:rPr>
      </w:pPr>
      <w:r>
        <w:rPr>
          <w:rFonts w:ascii="Times New Roman" w:hAnsi="Times New Roman"/>
          <w:sz w:val="24"/>
          <w:szCs w:val="24"/>
        </w:rPr>
        <w:t>Lúcio Kowarick (2003: 9) acrescenta ainda que, dos 8 integrados, “5 estão ligados ao PMDB”, apontando que “nesta segunda leva, além do balanceamento regional, contou, por conseguinte, também critérios políticos partidários”.</w:t>
      </w:r>
      <w:r>
        <w:rPr>
          <w:rStyle w:val="Refdenotaderodap"/>
          <w:rFonts w:ascii="Times New Roman" w:hAnsi="Times New Roman"/>
          <w:sz w:val="24"/>
          <w:szCs w:val="24"/>
        </w:rPr>
        <w:footnoteReference w:id="87"/>
      </w:r>
      <w:r>
        <w:rPr>
          <w:rFonts w:ascii="Times New Roman" w:hAnsi="Times New Roman"/>
          <w:sz w:val="24"/>
          <w:szCs w:val="24"/>
        </w:rPr>
        <w:t xml:space="preserve"> As readequações foram, contudo, bastante tímidas, persistindo a extrema concentração numérica empresarial nas plenárias (entre 50% a 60% entre 2003 e 2010, segundo levantamento feito por nossa pesquisa) e centralização regional de 61% dos conselheiros na região Sudeste, enquanto 18% originava-se das regiões Norte e Nordeste.</w:t>
      </w:r>
      <w:r>
        <w:rPr>
          <w:rStyle w:val="Refdenotaderodap"/>
          <w:rFonts w:ascii="Times New Roman" w:hAnsi="Times New Roman"/>
          <w:sz w:val="24"/>
          <w:szCs w:val="24"/>
        </w:rPr>
        <w:footnoteReference w:id="88"/>
      </w:r>
      <w:r>
        <w:rPr>
          <w:rFonts w:ascii="Times New Roman" w:hAnsi="Times New Roman"/>
          <w:sz w:val="24"/>
          <w:szCs w:val="24"/>
        </w:rPr>
        <w:t xml:space="preserve"> Tendo como foco apenas o setor empresarial, nossa pesquisa mostrou que 79% deste se localizava na região Sudeste. Destes, São Paulo respondia por 62%, tomando por base as sedes de suas empresas e/ou associações de que representavam. Segue abaixo tabela produzida por Garcia a qual revela a distribuição regional dos conselheiros em 2003, ano de implementação do CDES.</w:t>
      </w:r>
    </w:p>
    <w:p w:rsidR="00CE3680" w:rsidRPr="00BE3A52" w:rsidRDefault="00CE3680" w:rsidP="00CE3680">
      <w:pPr>
        <w:spacing w:line="240" w:lineRule="auto"/>
        <w:jc w:val="center"/>
        <w:rPr>
          <w:rFonts w:ascii="Times New Roman" w:hAnsi="Times New Roman"/>
          <w:b/>
          <w:sz w:val="24"/>
          <w:szCs w:val="24"/>
        </w:rPr>
      </w:pPr>
      <w:r>
        <w:rPr>
          <w:rFonts w:ascii="Times New Roman" w:hAnsi="Times New Roman"/>
          <w:b/>
          <w:sz w:val="24"/>
          <w:szCs w:val="24"/>
        </w:rPr>
        <w:t>Tabela 1.1 - Distribuição dos Conselheiros segundo Regiões e Estados (composição em 2003)</w:t>
      </w:r>
    </w:p>
    <w:tbl>
      <w:tblPr>
        <w:tblW w:w="4893" w:type="pct"/>
        <w:tblInd w:w="108" w:type="dxa"/>
        <w:tblBorders>
          <w:top w:val="single" w:sz="8" w:space="0" w:color="4F81BD"/>
          <w:bottom w:val="single" w:sz="8" w:space="0" w:color="4F81BD"/>
        </w:tblBorders>
        <w:tblLook w:val="04A0"/>
      </w:tblPr>
      <w:tblGrid>
        <w:gridCol w:w="1813"/>
        <w:gridCol w:w="1863"/>
        <w:gridCol w:w="1979"/>
        <w:gridCol w:w="1863"/>
        <w:gridCol w:w="1570"/>
      </w:tblGrid>
      <w:tr w:rsidR="00CE3680" w:rsidRPr="008211FD" w:rsidTr="008211FD">
        <w:trPr>
          <w:trHeight w:val="278"/>
        </w:trPr>
        <w:tc>
          <w:tcPr>
            <w:tcW w:w="997" w:type="pct"/>
            <w:tcBorders>
              <w:top w:val="single" w:sz="8" w:space="0" w:color="4F81BD"/>
              <w:left w:val="nil"/>
              <w:bottom w:val="single" w:sz="8" w:space="0" w:color="4F81BD"/>
              <w:right w:val="nil"/>
            </w:tcBorders>
          </w:tcPr>
          <w:p w:rsidR="00CE3680" w:rsidRPr="008211FD" w:rsidRDefault="00CE3680" w:rsidP="008211FD">
            <w:pPr>
              <w:spacing w:after="0" w:line="240" w:lineRule="auto"/>
              <w:jc w:val="center"/>
              <w:rPr>
                <w:rFonts w:ascii="Times New Roman" w:eastAsia="Times New Roman" w:hAnsi="Times New Roman"/>
                <w:b/>
                <w:bCs/>
              </w:rPr>
            </w:pPr>
            <w:r w:rsidRPr="008211FD">
              <w:rPr>
                <w:rFonts w:ascii="Times New Roman" w:eastAsia="Times New Roman" w:hAnsi="Times New Roman"/>
                <w:b/>
                <w:bCs/>
              </w:rPr>
              <w:t>Norte – 8</w:t>
            </w:r>
          </w:p>
        </w:tc>
        <w:tc>
          <w:tcPr>
            <w:tcW w:w="1025" w:type="pct"/>
            <w:tcBorders>
              <w:top w:val="single" w:sz="8" w:space="0" w:color="4F81BD"/>
              <w:left w:val="nil"/>
              <w:bottom w:val="single" w:sz="8" w:space="0" w:color="4F81BD"/>
              <w:right w:val="nil"/>
            </w:tcBorders>
          </w:tcPr>
          <w:p w:rsidR="00CE3680" w:rsidRPr="008211FD" w:rsidRDefault="00CE3680" w:rsidP="008211FD">
            <w:pPr>
              <w:spacing w:after="0" w:line="240" w:lineRule="auto"/>
              <w:jc w:val="center"/>
              <w:rPr>
                <w:rFonts w:ascii="Times New Roman" w:eastAsia="Times New Roman" w:hAnsi="Times New Roman"/>
                <w:b/>
                <w:bCs/>
              </w:rPr>
            </w:pPr>
            <w:r w:rsidRPr="008211FD">
              <w:rPr>
                <w:rFonts w:ascii="Times New Roman" w:eastAsia="Times New Roman" w:hAnsi="Times New Roman"/>
                <w:b/>
                <w:bCs/>
              </w:rPr>
              <w:t>Nordeste – 8</w:t>
            </w:r>
          </w:p>
        </w:tc>
        <w:tc>
          <w:tcPr>
            <w:tcW w:w="1089" w:type="pct"/>
            <w:tcBorders>
              <w:top w:val="single" w:sz="8" w:space="0" w:color="4F81BD"/>
              <w:left w:val="nil"/>
              <w:bottom w:val="single" w:sz="8" w:space="0" w:color="4F81BD"/>
              <w:right w:val="nil"/>
            </w:tcBorders>
          </w:tcPr>
          <w:p w:rsidR="00CE3680" w:rsidRPr="008211FD" w:rsidRDefault="00CE3680" w:rsidP="008211FD">
            <w:pPr>
              <w:spacing w:after="0" w:line="240" w:lineRule="auto"/>
              <w:jc w:val="center"/>
              <w:rPr>
                <w:rFonts w:ascii="Times New Roman" w:eastAsia="Times New Roman" w:hAnsi="Times New Roman"/>
                <w:b/>
                <w:bCs/>
              </w:rPr>
            </w:pPr>
            <w:r w:rsidRPr="008211FD">
              <w:rPr>
                <w:rFonts w:ascii="Times New Roman" w:eastAsia="Times New Roman" w:hAnsi="Times New Roman"/>
                <w:b/>
                <w:bCs/>
              </w:rPr>
              <w:t>Centro-Oeste – 9</w:t>
            </w:r>
          </w:p>
        </w:tc>
        <w:tc>
          <w:tcPr>
            <w:tcW w:w="1025" w:type="pct"/>
            <w:tcBorders>
              <w:top w:val="single" w:sz="8" w:space="0" w:color="4F81BD"/>
              <w:left w:val="nil"/>
              <w:bottom w:val="single" w:sz="8" w:space="0" w:color="4F81BD"/>
              <w:right w:val="nil"/>
            </w:tcBorders>
          </w:tcPr>
          <w:p w:rsidR="00CE3680" w:rsidRPr="008211FD" w:rsidRDefault="00CE3680" w:rsidP="008211FD">
            <w:pPr>
              <w:spacing w:after="0" w:line="240" w:lineRule="auto"/>
              <w:jc w:val="center"/>
              <w:rPr>
                <w:rFonts w:ascii="Times New Roman" w:eastAsia="Times New Roman" w:hAnsi="Times New Roman"/>
                <w:b/>
                <w:bCs/>
              </w:rPr>
            </w:pPr>
            <w:r w:rsidRPr="008211FD">
              <w:rPr>
                <w:rFonts w:ascii="Times New Roman" w:eastAsia="Times New Roman" w:hAnsi="Times New Roman"/>
                <w:b/>
                <w:bCs/>
              </w:rPr>
              <w:t>Sudeste – 55</w:t>
            </w:r>
          </w:p>
        </w:tc>
        <w:tc>
          <w:tcPr>
            <w:tcW w:w="865" w:type="pct"/>
            <w:tcBorders>
              <w:top w:val="single" w:sz="8" w:space="0" w:color="4F81BD"/>
              <w:left w:val="nil"/>
              <w:bottom w:val="single" w:sz="8" w:space="0" w:color="4F81BD"/>
              <w:right w:val="nil"/>
            </w:tcBorders>
          </w:tcPr>
          <w:p w:rsidR="00CE3680" w:rsidRPr="008211FD" w:rsidRDefault="00CE3680" w:rsidP="008211FD">
            <w:pPr>
              <w:spacing w:after="0" w:line="240" w:lineRule="auto"/>
              <w:jc w:val="center"/>
              <w:rPr>
                <w:rFonts w:ascii="Times New Roman" w:eastAsia="Times New Roman" w:hAnsi="Times New Roman"/>
                <w:b/>
                <w:bCs/>
              </w:rPr>
            </w:pPr>
            <w:r w:rsidRPr="008211FD">
              <w:rPr>
                <w:rFonts w:ascii="Times New Roman" w:eastAsia="Times New Roman" w:hAnsi="Times New Roman"/>
                <w:b/>
                <w:bCs/>
              </w:rPr>
              <w:t>Sul - 10</w:t>
            </w:r>
          </w:p>
        </w:tc>
      </w:tr>
      <w:tr w:rsidR="00CE3680" w:rsidRPr="008211FD" w:rsidTr="008211FD">
        <w:trPr>
          <w:trHeight w:val="278"/>
        </w:trPr>
        <w:tc>
          <w:tcPr>
            <w:tcW w:w="997"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b/>
                <w:bCs/>
              </w:rPr>
            </w:pPr>
            <w:r w:rsidRPr="008211FD">
              <w:rPr>
                <w:rFonts w:ascii="Times New Roman" w:eastAsia="Times New Roman" w:hAnsi="Times New Roman"/>
                <w:b/>
                <w:bCs/>
              </w:rPr>
              <w:t>AC – 1</w:t>
            </w:r>
          </w:p>
        </w:tc>
        <w:tc>
          <w:tcPr>
            <w:tcW w:w="1025"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rPr>
            </w:pPr>
            <w:r w:rsidRPr="008211FD">
              <w:rPr>
                <w:rFonts w:ascii="Times New Roman" w:eastAsia="Times New Roman" w:hAnsi="Times New Roman"/>
              </w:rPr>
              <w:t>AL – 1</w:t>
            </w:r>
          </w:p>
        </w:tc>
        <w:tc>
          <w:tcPr>
            <w:tcW w:w="1089"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rPr>
            </w:pPr>
            <w:r w:rsidRPr="008211FD">
              <w:rPr>
                <w:rFonts w:ascii="Times New Roman" w:eastAsia="Times New Roman" w:hAnsi="Times New Roman"/>
              </w:rPr>
              <w:t>DF – 7</w:t>
            </w:r>
          </w:p>
        </w:tc>
        <w:tc>
          <w:tcPr>
            <w:tcW w:w="1025"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rPr>
            </w:pPr>
            <w:r w:rsidRPr="008211FD">
              <w:rPr>
                <w:rFonts w:ascii="Times New Roman" w:eastAsia="Times New Roman" w:hAnsi="Times New Roman"/>
              </w:rPr>
              <w:t>MG – 4</w:t>
            </w:r>
          </w:p>
        </w:tc>
        <w:tc>
          <w:tcPr>
            <w:tcW w:w="865"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rPr>
            </w:pPr>
            <w:r w:rsidRPr="008211FD">
              <w:rPr>
                <w:rFonts w:ascii="Times New Roman" w:eastAsia="Times New Roman" w:hAnsi="Times New Roman"/>
              </w:rPr>
              <w:t>PR – 3</w:t>
            </w:r>
          </w:p>
        </w:tc>
      </w:tr>
      <w:tr w:rsidR="00CE3680" w:rsidRPr="008211FD" w:rsidTr="008211FD">
        <w:trPr>
          <w:trHeight w:val="278"/>
        </w:trPr>
        <w:tc>
          <w:tcPr>
            <w:tcW w:w="997" w:type="pct"/>
          </w:tcPr>
          <w:p w:rsidR="00CE3680" w:rsidRPr="008211FD" w:rsidRDefault="00CE3680" w:rsidP="008211FD">
            <w:pPr>
              <w:spacing w:after="0" w:line="240" w:lineRule="auto"/>
              <w:jc w:val="center"/>
              <w:rPr>
                <w:rFonts w:ascii="Times New Roman" w:eastAsia="Times New Roman" w:hAnsi="Times New Roman"/>
                <w:b/>
                <w:bCs/>
              </w:rPr>
            </w:pPr>
            <w:r w:rsidRPr="008211FD">
              <w:rPr>
                <w:rFonts w:ascii="Times New Roman" w:eastAsia="Times New Roman" w:hAnsi="Times New Roman"/>
                <w:b/>
                <w:bCs/>
              </w:rPr>
              <w:t>AM – 3</w:t>
            </w:r>
          </w:p>
        </w:tc>
        <w:tc>
          <w:tcPr>
            <w:tcW w:w="1025" w:type="pct"/>
          </w:tcPr>
          <w:p w:rsidR="00CE3680" w:rsidRPr="008211FD" w:rsidRDefault="00CE3680" w:rsidP="008211FD">
            <w:pPr>
              <w:spacing w:after="0" w:line="240" w:lineRule="auto"/>
              <w:jc w:val="center"/>
              <w:rPr>
                <w:rFonts w:ascii="Times New Roman" w:eastAsia="Times New Roman" w:hAnsi="Times New Roman"/>
              </w:rPr>
            </w:pPr>
            <w:r w:rsidRPr="008211FD">
              <w:rPr>
                <w:rFonts w:ascii="Times New Roman" w:eastAsia="Times New Roman" w:hAnsi="Times New Roman"/>
              </w:rPr>
              <w:t>BA – 1</w:t>
            </w:r>
          </w:p>
        </w:tc>
        <w:tc>
          <w:tcPr>
            <w:tcW w:w="1089" w:type="pct"/>
          </w:tcPr>
          <w:p w:rsidR="00CE3680" w:rsidRPr="008211FD" w:rsidRDefault="00CE3680" w:rsidP="008211FD">
            <w:pPr>
              <w:spacing w:after="0" w:line="240" w:lineRule="auto"/>
              <w:jc w:val="center"/>
              <w:rPr>
                <w:rFonts w:ascii="Times New Roman" w:eastAsia="Times New Roman" w:hAnsi="Times New Roman"/>
              </w:rPr>
            </w:pPr>
            <w:r w:rsidRPr="008211FD">
              <w:rPr>
                <w:rFonts w:ascii="Times New Roman" w:eastAsia="Times New Roman" w:hAnsi="Times New Roman"/>
              </w:rPr>
              <w:t>GO – 1</w:t>
            </w:r>
          </w:p>
        </w:tc>
        <w:tc>
          <w:tcPr>
            <w:tcW w:w="1025" w:type="pct"/>
          </w:tcPr>
          <w:p w:rsidR="00CE3680" w:rsidRPr="008211FD" w:rsidRDefault="00CE3680" w:rsidP="008211FD">
            <w:pPr>
              <w:spacing w:after="0" w:line="240" w:lineRule="auto"/>
              <w:jc w:val="center"/>
              <w:rPr>
                <w:rFonts w:ascii="Times New Roman" w:eastAsia="Times New Roman" w:hAnsi="Times New Roman"/>
              </w:rPr>
            </w:pPr>
            <w:r w:rsidRPr="008211FD">
              <w:rPr>
                <w:rFonts w:ascii="Times New Roman" w:eastAsia="Times New Roman" w:hAnsi="Times New Roman"/>
              </w:rPr>
              <w:t>RJ – 7</w:t>
            </w:r>
          </w:p>
        </w:tc>
        <w:tc>
          <w:tcPr>
            <w:tcW w:w="865" w:type="pct"/>
          </w:tcPr>
          <w:p w:rsidR="00CE3680" w:rsidRPr="008211FD" w:rsidRDefault="00CE3680" w:rsidP="008211FD">
            <w:pPr>
              <w:spacing w:after="0" w:line="240" w:lineRule="auto"/>
              <w:jc w:val="center"/>
              <w:rPr>
                <w:rFonts w:ascii="Times New Roman" w:eastAsia="Times New Roman" w:hAnsi="Times New Roman"/>
              </w:rPr>
            </w:pPr>
            <w:r w:rsidRPr="008211FD">
              <w:rPr>
                <w:rFonts w:ascii="Times New Roman" w:eastAsia="Times New Roman" w:hAnsi="Times New Roman"/>
              </w:rPr>
              <w:t>RS – 4</w:t>
            </w:r>
          </w:p>
        </w:tc>
      </w:tr>
      <w:tr w:rsidR="00CE3680" w:rsidRPr="008211FD" w:rsidTr="008211FD">
        <w:trPr>
          <w:trHeight w:val="278"/>
        </w:trPr>
        <w:tc>
          <w:tcPr>
            <w:tcW w:w="997"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b/>
                <w:bCs/>
              </w:rPr>
            </w:pPr>
            <w:r w:rsidRPr="008211FD">
              <w:rPr>
                <w:rFonts w:ascii="Times New Roman" w:eastAsia="Times New Roman" w:hAnsi="Times New Roman"/>
                <w:b/>
                <w:bCs/>
              </w:rPr>
              <w:t>PA – 2</w:t>
            </w:r>
          </w:p>
        </w:tc>
        <w:tc>
          <w:tcPr>
            <w:tcW w:w="1025"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rPr>
            </w:pPr>
            <w:r w:rsidRPr="008211FD">
              <w:rPr>
                <w:rFonts w:ascii="Times New Roman" w:eastAsia="Times New Roman" w:hAnsi="Times New Roman"/>
              </w:rPr>
              <w:t>CE – 3</w:t>
            </w:r>
          </w:p>
        </w:tc>
        <w:tc>
          <w:tcPr>
            <w:tcW w:w="1089"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rPr>
            </w:pPr>
            <w:r w:rsidRPr="008211FD">
              <w:rPr>
                <w:rFonts w:ascii="Times New Roman" w:eastAsia="Times New Roman" w:hAnsi="Times New Roman"/>
              </w:rPr>
              <w:t>MS – 1</w:t>
            </w:r>
          </w:p>
        </w:tc>
        <w:tc>
          <w:tcPr>
            <w:tcW w:w="1025"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rPr>
            </w:pPr>
            <w:r w:rsidRPr="008211FD">
              <w:rPr>
                <w:rFonts w:ascii="Times New Roman" w:eastAsia="Times New Roman" w:hAnsi="Times New Roman"/>
              </w:rPr>
              <w:t>SP – 44</w:t>
            </w:r>
          </w:p>
        </w:tc>
        <w:tc>
          <w:tcPr>
            <w:tcW w:w="865"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rPr>
            </w:pPr>
          </w:p>
        </w:tc>
      </w:tr>
      <w:tr w:rsidR="00CE3680" w:rsidRPr="008211FD" w:rsidTr="008211FD">
        <w:trPr>
          <w:trHeight w:val="278"/>
        </w:trPr>
        <w:tc>
          <w:tcPr>
            <w:tcW w:w="997" w:type="pct"/>
          </w:tcPr>
          <w:p w:rsidR="00CE3680" w:rsidRPr="008211FD" w:rsidRDefault="00CE3680" w:rsidP="008211FD">
            <w:pPr>
              <w:spacing w:after="0" w:line="240" w:lineRule="auto"/>
              <w:jc w:val="center"/>
              <w:rPr>
                <w:rFonts w:ascii="Times New Roman" w:eastAsia="Times New Roman" w:hAnsi="Times New Roman"/>
                <w:b/>
                <w:bCs/>
              </w:rPr>
            </w:pPr>
            <w:r w:rsidRPr="008211FD">
              <w:rPr>
                <w:rFonts w:ascii="Times New Roman" w:eastAsia="Times New Roman" w:hAnsi="Times New Roman"/>
                <w:b/>
                <w:bCs/>
              </w:rPr>
              <w:t>RR – 2</w:t>
            </w:r>
          </w:p>
        </w:tc>
        <w:tc>
          <w:tcPr>
            <w:tcW w:w="1025" w:type="pct"/>
          </w:tcPr>
          <w:p w:rsidR="00CE3680" w:rsidRPr="008211FD" w:rsidRDefault="00CE3680" w:rsidP="008211FD">
            <w:pPr>
              <w:spacing w:after="0" w:line="240" w:lineRule="auto"/>
              <w:jc w:val="center"/>
              <w:rPr>
                <w:rFonts w:ascii="Times New Roman" w:eastAsia="Times New Roman" w:hAnsi="Times New Roman"/>
              </w:rPr>
            </w:pPr>
            <w:r w:rsidRPr="008211FD">
              <w:rPr>
                <w:rFonts w:ascii="Times New Roman" w:eastAsia="Times New Roman" w:hAnsi="Times New Roman"/>
              </w:rPr>
              <w:t>PE - 3</w:t>
            </w:r>
          </w:p>
        </w:tc>
        <w:tc>
          <w:tcPr>
            <w:tcW w:w="1089" w:type="pct"/>
          </w:tcPr>
          <w:p w:rsidR="00CE3680" w:rsidRPr="008211FD" w:rsidRDefault="00CE3680" w:rsidP="008211FD">
            <w:pPr>
              <w:spacing w:after="0" w:line="240" w:lineRule="auto"/>
              <w:jc w:val="center"/>
              <w:rPr>
                <w:rFonts w:ascii="Times New Roman" w:eastAsia="Times New Roman" w:hAnsi="Times New Roman"/>
              </w:rPr>
            </w:pPr>
          </w:p>
        </w:tc>
        <w:tc>
          <w:tcPr>
            <w:tcW w:w="1025" w:type="pct"/>
          </w:tcPr>
          <w:p w:rsidR="00CE3680" w:rsidRPr="008211FD" w:rsidRDefault="00CE3680" w:rsidP="008211FD">
            <w:pPr>
              <w:spacing w:after="0" w:line="240" w:lineRule="auto"/>
              <w:jc w:val="center"/>
              <w:rPr>
                <w:rFonts w:ascii="Times New Roman" w:eastAsia="Times New Roman" w:hAnsi="Times New Roman"/>
              </w:rPr>
            </w:pPr>
          </w:p>
        </w:tc>
        <w:tc>
          <w:tcPr>
            <w:tcW w:w="865" w:type="pct"/>
          </w:tcPr>
          <w:p w:rsidR="00CE3680" w:rsidRPr="008211FD" w:rsidRDefault="00CE3680" w:rsidP="008211FD">
            <w:pPr>
              <w:spacing w:after="0" w:line="240" w:lineRule="auto"/>
              <w:jc w:val="center"/>
              <w:rPr>
                <w:rFonts w:ascii="Times New Roman" w:eastAsia="Times New Roman" w:hAnsi="Times New Roman"/>
              </w:rPr>
            </w:pPr>
          </w:p>
        </w:tc>
      </w:tr>
    </w:tbl>
    <w:p w:rsidR="00CE3680" w:rsidRPr="007A5CD0" w:rsidRDefault="00CE3680" w:rsidP="00CE3680">
      <w:pPr>
        <w:spacing w:line="240" w:lineRule="auto"/>
        <w:jc w:val="both"/>
        <w:rPr>
          <w:rFonts w:ascii="Times New Roman" w:hAnsi="Times New Roman"/>
          <w:sz w:val="18"/>
          <w:szCs w:val="18"/>
        </w:rPr>
      </w:pPr>
      <w:r w:rsidRPr="007A5CD0">
        <w:rPr>
          <w:rFonts w:ascii="Times New Roman" w:hAnsi="Times New Roman"/>
          <w:b/>
          <w:sz w:val="18"/>
          <w:szCs w:val="18"/>
        </w:rPr>
        <w:t xml:space="preserve">Fonte: </w:t>
      </w:r>
      <w:r w:rsidR="007A5CD0" w:rsidRPr="007A5CD0">
        <w:rPr>
          <w:rFonts w:ascii="Times New Roman" w:hAnsi="Times New Roman"/>
          <w:sz w:val="18"/>
          <w:szCs w:val="18"/>
        </w:rPr>
        <w:t xml:space="preserve">GARCIA, Ronaldo C. </w:t>
      </w:r>
      <w:r w:rsidRPr="007A5CD0">
        <w:rPr>
          <w:rFonts w:ascii="Times New Roman" w:hAnsi="Times New Roman"/>
          <w:sz w:val="18"/>
          <w:szCs w:val="18"/>
        </w:rPr>
        <w:t>O CDES e a construção da Agenda Nacional de Desenvolvimento: um relato particular. Op. cit., p. 45.</w:t>
      </w:r>
    </w:p>
    <w:p w:rsidR="006061A5" w:rsidRPr="00791543" w:rsidRDefault="00CF60F5" w:rsidP="00791543">
      <w:pPr>
        <w:spacing w:before="240" w:after="0" w:line="360" w:lineRule="auto"/>
        <w:ind w:firstLine="708"/>
        <w:jc w:val="both"/>
        <w:rPr>
          <w:rFonts w:ascii="Times New Roman" w:hAnsi="Times New Roman"/>
          <w:sz w:val="24"/>
          <w:szCs w:val="24"/>
        </w:rPr>
      </w:pPr>
      <w:r w:rsidRPr="00791543">
        <w:rPr>
          <w:rFonts w:ascii="Times New Roman" w:hAnsi="Times New Roman"/>
          <w:sz w:val="24"/>
          <w:szCs w:val="24"/>
        </w:rPr>
        <w:t xml:space="preserve">As </w:t>
      </w:r>
      <w:r w:rsidR="00EF2BE4" w:rsidRPr="00791543">
        <w:rPr>
          <w:rFonts w:ascii="Times New Roman" w:hAnsi="Times New Roman"/>
          <w:sz w:val="24"/>
          <w:szCs w:val="24"/>
        </w:rPr>
        <w:t xml:space="preserve">nossas </w:t>
      </w:r>
      <w:r w:rsidRPr="00791543">
        <w:rPr>
          <w:rFonts w:ascii="Times New Roman" w:hAnsi="Times New Roman"/>
          <w:sz w:val="24"/>
          <w:szCs w:val="24"/>
        </w:rPr>
        <w:t>considerações acerca da composição regional do Conselho estão contidas no capítulo 2 da tese (</w:t>
      </w:r>
      <w:r w:rsidR="00F177B4" w:rsidRPr="00791543">
        <w:rPr>
          <w:rFonts w:ascii="Times New Roman" w:hAnsi="Times New Roman"/>
          <w:sz w:val="24"/>
          <w:szCs w:val="24"/>
        </w:rPr>
        <w:t>item 2.3.3.3</w:t>
      </w:r>
      <w:r w:rsidRPr="00791543">
        <w:rPr>
          <w:rFonts w:ascii="Times New Roman" w:hAnsi="Times New Roman"/>
          <w:sz w:val="24"/>
          <w:szCs w:val="24"/>
        </w:rPr>
        <w:t>). A pesquisa, entretanto, se deteve à localização regional das sedes dos grupos econômicos, firmas e aparelhos privados de hegemonia empresariais representados pelos conselheiros-empresários</w:t>
      </w:r>
      <w:r w:rsidR="00EF2BE4" w:rsidRPr="00791543">
        <w:rPr>
          <w:rFonts w:ascii="Times New Roman" w:hAnsi="Times New Roman"/>
          <w:sz w:val="24"/>
          <w:szCs w:val="24"/>
        </w:rPr>
        <w:t xml:space="preserve"> e não da totalidade dos conselheiros, como no caso da tabela acima divulgada por Garcia</w:t>
      </w:r>
      <w:r w:rsidR="00E06430" w:rsidRPr="00791543">
        <w:rPr>
          <w:rFonts w:ascii="Times New Roman" w:hAnsi="Times New Roman"/>
          <w:sz w:val="24"/>
          <w:szCs w:val="24"/>
        </w:rPr>
        <w:t>, atenta apenas para a composição inicial do Conselho, em 2003.</w:t>
      </w:r>
    </w:p>
    <w:p w:rsidR="00A10211" w:rsidRPr="00791543" w:rsidRDefault="00E06430" w:rsidP="006061A5">
      <w:pPr>
        <w:spacing w:after="0" w:line="360" w:lineRule="auto"/>
        <w:ind w:firstLine="708"/>
        <w:jc w:val="both"/>
        <w:rPr>
          <w:rFonts w:ascii="Times New Roman" w:hAnsi="Times New Roman"/>
          <w:sz w:val="24"/>
          <w:szCs w:val="24"/>
        </w:rPr>
      </w:pPr>
      <w:r w:rsidRPr="00791543">
        <w:rPr>
          <w:rFonts w:ascii="Times New Roman" w:hAnsi="Times New Roman"/>
          <w:sz w:val="24"/>
          <w:szCs w:val="24"/>
        </w:rPr>
        <w:t xml:space="preserve">De qualquer modo, verifica-se predomínio inconteste da região Sudeste do país na composição do quadro de conselheiros, com cerca de 60% de representantes desta região e destaque superlativo de apenas um estado da federação: São Paulo, com cerca de 50% do total de conselheiros. Esta flagrante desigualdade regional na distribuição de conselheiros é tributária da significativa presença empresarial da região Sudeste (e de São Paulo em particular) </w:t>
      </w:r>
      <w:r w:rsidR="00C141B4" w:rsidRPr="00791543">
        <w:rPr>
          <w:rFonts w:ascii="Times New Roman" w:hAnsi="Times New Roman"/>
          <w:sz w:val="24"/>
          <w:szCs w:val="24"/>
        </w:rPr>
        <w:t>convocada a participarem d</w:t>
      </w:r>
      <w:r w:rsidRPr="00791543">
        <w:rPr>
          <w:rFonts w:ascii="Times New Roman" w:hAnsi="Times New Roman"/>
          <w:sz w:val="24"/>
          <w:szCs w:val="24"/>
        </w:rPr>
        <w:t>a plenária do CDES.</w:t>
      </w:r>
      <w:r w:rsidR="00C141B4" w:rsidRPr="00791543">
        <w:rPr>
          <w:rFonts w:ascii="Times New Roman" w:hAnsi="Times New Roman"/>
          <w:sz w:val="24"/>
          <w:szCs w:val="24"/>
        </w:rPr>
        <w:t xml:space="preserve"> As representações da cúpula da burocracia sindical também corroboravam para a super-representação paulista já que grande parte das sedes das Centrais Sindicais (e seus dirigentes) localizavam-se em São Paulo, com destaque da CUT, majoritariamente representada. Por fim, o segmento dos intelectuais acadêmicos presentes no CDES também circulava entre o eixo Rio-São Paulo, a julgar pelas </w:t>
      </w:r>
      <w:r w:rsidR="00277134" w:rsidRPr="00791543">
        <w:rPr>
          <w:rFonts w:ascii="Times New Roman" w:hAnsi="Times New Roman"/>
          <w:sz w:val="24"/>
          <w:szCs w:val="24"/>
        </w:rPr>
        <w:t xml:space="preserve">universidades em que estavam vinculados. </w:t>
      </w:r>
    </w:p>
    <w:p w:rsidR="00277134" w:rsidRPr="00791543" w:rsidRDefault="00277134" w:rsidP="003F424B">
      <w:pPr>
        <w:spacing w:after="0" w:line="360" w:lineRule="auto"/>
        <w:ind w:firstLine="708"/>
        <w:jc w:val="both"/>
        <w:rPr>
          <w:rFonts w:ascii="Times New Roman" w:hAnsi="Times New Roman"/>
          <w:sz w:val="24"/>
          <w:szCs w:val="24"/>
        </w:rPr>
      </w:pPr>
      <w:r w:rsidRPr="00791543">
        <w:rPr>
          <w:rFonts w:ascii="Times New Roman" w:hAnsi="Times New Roman"/>
          <w:sz w:val="24"/>
          <w:szCs w:val="24"/>
        </w:rPr>
        <w:t xml:space="preserve">Cabe lembrar, por fim, que </w:t>
      </w:r>
      <w:r w:rsidR="00A10211" w:rsidRPr="00791543">
        <w:rPr>
          <w:rFonts w:ascii="Times New Roman" w:hAnsi="Times New Roman"/>
          <w:sz w:val="24"/>
          <w:szCs w:val="24"/>
        </w:rPr>
        <w:t>o foco d</w:t>
      </w:r>
      <w:r w:rsidRPr="00791543">
        <w:rPr>
          <w:rFonts w:ascii="Times New Roman" w:hAnsi="Times New Roman"/>
          <w:sz w:val="24"/>
          <w:szCs w:val="24"/>
        </w:rPr>
        <w:t>as relações político-sociais travadas pel</w:t>
      </w:r>
      <w:r w:rsidR="00A10211" w:rsidRPr="00791543">
        <w:rPr>
          <w:rFonts w:ascii="Times New Roman" w:hAnsi="Times New Roman"/>
          <w:sz w:val="24"/>
          <w:szCs w:val="24"/>
        </w:rPr>
        <w:t>a direção majoritária do</w:t>
      </w:r>
      <w:r w:rsidRPr="00791543">
        <w:rPr>
          <w:rFonts w:ascii="Times New Roman" w:hAnsi="Times New Roman"/>
          <w:sz w:val="24"/>
          <w:szCs w:val="24"/>
        </w:rPr>
        <w:t xml:space="preserve"> Partido dos Trabalhadores mant</w:t>
      </w:r>
      <w:r w:rsidR="00A10211" w:rsidRPr="00791543">
        <w:rPr>
          <w:rFonts w:ascii="Times New Roman" w:hAnsi="Times New Roman"/>
          <w:sz w:val="24"/>
          <w:szCs w:val="24"/>
        </w:rPr>
        <w:t>eve sua força, via de regra, n</w:t>
      </w:r>
      <w:r w:rsidR="004726E9" w:rsidRPr="00791543">
        <w:rPr>
          <w:rFonts w:ascii="Times New Roman" w:hAnsi="Times New Roman"/>
          <w:sz w:val="24"/>
          <w:szCs w:val="24"/>
        </w:rPr>
        <w:t xml:space="preserve">o campo de influência </w:t>
      </w:r>
      <w:r w:rsidR="00A10211" w:rsidRPr="00791543">
        <w:rPr>
          <w:rFonts w:ascii="Times New Roman" w:hAnsi="Times New Roman"/>
          <w:sz w:val="24"/>
          <w:szCs w:val="24"/>
        </w:rPr>
        <w:t xml:space="preserve">paulista </w:t>
      </w:r>
      <w:r w:rsidR="004726E9" w:rsidRPr="00791543">
        <w:rPr>
          <w:rFonts w:ascii="Times New Roman" w:hAnsi="Times New Roman"/>
          <w:sz w:val="24"/>
          <w:szCs w:val="24"/>
        </w:rPr>
        <w:t>(</w:t>
      </w:r>
      <w:r w:rsidR="003F424B" w:rsidRPr="00791543">
        <w:rPr>
          <w:rFonts w:ascii="Times New Roman" w:hAnsi="Times New Roman"/>
          <w:sz w:val="24"/>
          <w:szCs w:val="24"/>
        </w:rPr>
        <w:t>acadêmicos</w:t>
      </w:r>
      <w:r w:rsidR="004726E9" w:rsidRPr="00791543">
        <w:rPr>
          <w:rFonts w:ascii="Times New Roman" w:hAnsi="Times New Roman"/>
          <w:sz w:val="24"/>
          <w:szCs w:val="24"/>
        </w:rPr>
        <w:t xml:space="preserve">, movimentos sociais, </w:t>
      </w:r>
      <w:r w:rsidR="003F424B" w:rsidRPr="00791543">
        <w:rPr>
          <w:rFonts w:ascii="Times New Roman" w:hAnsi="Times New Roman"/>
          <w:sz w:val="24"/>
          <w:szCs w:val="24"/>
        </w:rPr>
        <w:t xml:space="preserve">sindicatos) </w:t>
      </w:r>
      <w:r w:rsidR="00A10211" w:rsidRPr="00791543">
        <w:rPr>
          <w:rFonts w:ascii="Times New Roman" w:hAnsi="Times New Roman"/>
          <w:sz w:val="24"/>
          <w:szCs w:val="24"/>
        </w:rPr>
        <w:t xml:space="preserve">e, mais recentemente, </w:t>
      </w:r>
      <w:r w:rsidR="003F424B" w:rsidRPr="00791543">
        <w:rPr>
          <w:rFonts w:ascii="Times New Roman" w:hAnsi="Times New Roman"/>
          <w:sz w:val="24"/>
          <w:szCs w:val="24"/>
        </w:rPr>
        <w:t>foi ampliado em razão da</w:t>
      </w:r>
      <w:r w:rsidR="00A10211" w:rsidRPr="00791543">
        <w:rPr>
          <w:rFonts w:ascii="Times New Roman" w:hAnsi="Times New Roman"/>
          <w:sz w:val="24"/>
          <w:szCs w:val="24"/>
        </w:rPr>
        <w:t>s aproximações com setores não populares, principalmente com o empresariado</w:t>
      </w:r>
      <w:r w:rsidR="003F424B" w:rsidRPr="00791543">
        <w:rPr>
          <w:rFonts w:ascii="Times New Roman" w:hAnsi="Times New Roman"/>
          <w:sz w:val="24"/>
          <w:szCs w:val="24"/>
        </w:rPr>
        <w:t xml:space="preserve"> da pirâmide paulista</w:t>
      </w:r>
      <w:r w:rsidR="00A10211" w:rsidRPr="00791543">
        <w:rPr>
          <w:rFonts w:ascii="Times New Roman" w:hAnsi="Times New Roman"/>
          <w:sz w:val="24"/>
          <w:szCs w:val="24"/>
        </w:rPr>
        <w:t xml:space="preserve">, apesar da evidente nacionalização do partido no Brasil. Como demonstraremos ao longo da tese, o sentido dado </w:t>
      </w:r>
      <w:r w:rsidR="004726E9" w:rsidRPr="00791543">
        <w:rPr>
          <w:rFonts w:ascii="Times New Roman" w:hAnsi="Times New Roman"/>
          <w:sz w:val="24"/>
          <w:szCs w:val="24"/>
        </w:rPr>
        <w:t xml:space="preserve">pelos debates dos conselheiros na </w:t>
      </w:r>
      <w:r w:rsidR="00A10211" w:rsidRPr="00791543">
        <w:rPr>
          <w:rFonts w:ascii="Times New Roman" w:hAnsi="Times New Roman"/>
          <w:sz w:val="24"/>
          <w:szCs w:val="24"/>
        </w:rPr>
        <w:t>busca do desenvolvimento no CDES</w:t>
      </w:r>
      <w:r w:rsidR="004726E9" w:rsidRPr="00791543">
        <w:rPr>
          <w:rFonts w:ascii="Times New Roman" w:hAnsi="Times New Roman"/>
          <w:sz w:val="24"/>
          <w:szCs w:val="24"/>
        </w:rPr>
        <w:t xml:space="preserve">, malgrado preocupações </w:t>
      </w:r>
      <w:r w:rsidR="00BF61AD">
        <w:rPr>
          <w:rFonts w:ascii="Times New Roman" w:hAnsi="Times New Roman"/>
          <w:sz w:val="24"/>
          <w:szCs w:val="24"/>
        </w:rPr>
        <w:t>quanto</w:t>
      </w:r>
      <w:r w:rsidR="004726E9" w:rsidRPr="00791543">
        <w:rPr>
          <w:rFonts w:ascii="Times New Roman" w:hAnsi="Times New Roman"/>
          <w:sz w:val="24"/>
          <w:szCs w:val="24"/>
        </w:rPr>
        <w:t xml:space="preserve"> ao desenvolvimento regional, </w:t>
      </w:r>
      <w:r w:rsidR="00F177B4" w:rsidRPr="00791543">
        <w:rPr>
          <w:rFonts w:ascii="Times New Roman" w:hAnsi="Times New Roman"/>
          <w:sz w:val="24"/>
          <w:szCs w:val="24"/>
        </w:rPr>
        <w:t xml:space="preserve">trazidas por exemplo, pela conselheira Tânia Barcelar, </w:t>
      </w:r>
      <w:r w:rsidR="003F424B" w:rsidRPr="00791543">
        <w:rPr>
          <w:rFonts w:ascii="Times New Roman" w:hAnsi="Times New Roman"/>
          <w:sz w:val="24"/>
          <w:szCs w:val="24"/>
        </w:rPr>
        <w:t xml:space="preserve">pode ser também responsável pela super-representação do Sudeste, </w:t>
      </w:r>
      <w:r w:rsidR="00F177B4" w:rsidRPr="00791543">
        <w:rPr>
          <w:rFonts w:ascii="Times New Roman" w:hAnsi="Times New Roman"/>
          <w:sz w:val="24"/>
          <w:szCs w:val="24"/>
        </w:rPr>
        <w:t xml:space="preserve">e de São Paulo em particular, </w:t>
      </w:r>
      <w:r w:rsidR="003F424B" w:rsidRPr="00791543">
        <w:rPr>
          <w:rFonts w:ascii="Times New Roman" w:hAnsi="Times New Roman"/>
          <w:sz w:val="24"/>
          <w:szCs w:val="24"/>
        </w:rPr>
        <w:t xml:space="preserve">tendo em vista que </w:t>
      </w:r>
      <w:r w:rsidR="00A10211" w:rsidRPr="00791543">
        <w:rPr>
          <w:rFonts w:ascii="Times New Roman" w:hAnsi="Times New Roman"/>
          <w:sz w:val="24"/>
          <w:szCs w:val="24"/>
        </w:rPr>
        <w:t xml:space="preserve">concebia </w:t>
      </w:r>
      <w:r w:rsidR="004726E9" w:rsidRPr="00791543">
        <w:rPr>
          <w:rFonts w:ascii="Times New Roman" w:hAnsi="Times New Roman"/>
          <w:sz w:val="24"/>
          <w:szCs w:val="24"/>
        </w:rPr>
        <w:t>programas, demandas e preocupações de atendimento do</w:t>
      </w:r>
      <w:r w:rsidR="00A10211" w:rsidRPr="00791543">
        <w:rPr>
          <w:rFonts w:ascii="Times New Roman" w:hAnsi="Times New Roman"/>
          <w:sz w:val="24"/>
          <w:szCs w:val="24"/>
        </w:rPr>
        <w:t>gra</w:t>
      </w:r>
      <w:r w:rsidR="003F424B" w:rsidRPr="00791543">
        <w:rPr>
          <w:rFonts w:ascii="Times New Roman" w:hAnsi="Times New Roman"/>
          <w:sz w:val="24"/>
          <w:szCs w:val="24"/>
        </w:rPr>
        <w:t xml:space="preserve">nde capital monopolista, cujos intelectuais orgânicos estavam </w:t>
      </w:r>
      <w:r w:rsidR="001A6CA2">
        <w:rPr>
          <w:rFonts w:ascii="Times New Roman" w:hAnsi="Times New Roman"/>
          <w:sz w:val="24"/>
          <w:szCs w:val="24"/>
        </w:rPr>
        <w:t xml:space="preserve">ali </w:t>
      </w:r>
      <w:r w:rsidR="003F424B" w:rsidRPr="00791543">
        <w:rPr>
          <w:rFonts w:ascii="Times New Roman" w:hAnsi="Times New Roman"/>
          <w:sz w:val="24"/>
          <w:szCs w:val="24"/>
        </w:rPr>
        <w:t>localizados.</w:t>
      </w:r>
    </w:p>
    <w:p w:rsidR="00CE3680" w:rsidRDefault="00CE3680" w:rsidP="00CF60F5">
      <w:pPr>
        <w:spacing w:line="360" w:lineRule="auto"/>
        <w:ind w:firstLine="708"/>
        <w:jc w:val="both"/>
        <w:rPr>
          <w:rFonts w:ascii="Times New Roman" w:hAnsi="Times New Roman"/>
          <w:sz w:val="24"/>
          <w:szCs w:val="24"/>
        </w:rPr>
      </w:pPr>
      <w:r>
        <w:rPr>
          <w:rFonts w:ascii="Times New Roman" w:hAnsi="Times New Roman"/>
          <w:sz w:val="24"/>
          <w:szCs w:val="24"/>
        </w:rPr>
        <w:t>Além dos conselheiros da sociedade civil, a ampliação de participantes na plenária do CDES também incluiu algumas pastas ministeriais originalmente não previstas pela MP 103/03. O Termo de Referência do Conselho afirmava que o número de membros originários do governo, “não será superior a ¼ dos seus integrantes”</w:t>
      </w:r>
      <w:r>
        <w:rPr>
          <w:rStyle w:val="Refdenotaderodap"/>
          <w:rFonts w:ascii="Times New Roman" w:hAnsi="Times New Roman"/>
          <w:sz w:val="24"/>
          <w:szCs w:val="24"/>
        </w:rPr>
        <w:footnoteReference w:id="89"/>
      </w:r>
      <w:r>
        <w:rPr>
          <w:rFonts w:ascii="Times New Roman" w:hAnsi="Times New Roman"/>
          <w:sz w:val="24"/>
          <w:szCs w:val="24"/>
        </w:rPr>
        <w:t>. A lei 10.683/03 trouxe, então, os titulares da pasta do Meio Ambiente e das Relações Exteriores para comporem a plenária do CDES com as já escaladas. Em 2004, nova ampliação foi feita com a nomeação do Presidente do Banco Central como mais um conselheiro ministerial. A partir de então, o CDES passava a comportar um total de 104 conselheiros, sendo 90 lideranças da sociedade civil e 14 ministros de Estado, abaixo relacionados:</w:t>
      </w:r>
    </w:p>
    <w:p w:rsidR="00CE3680" w:rsidRDefault="00CE3680" w:rsidP="00CE3680">
      <w:pPr>
        <w:pStyle w:val="PargrafodaLista"/>
        <w:numPr>
          <w:ilvl w:val="0"/>
          <w:numId w:val="4"/>
        </w:numPr>
        <w:spacing w:line="360" w:lineRule="auto"/>
        <w:ind w:left="1134"/>
        <w:jc w:val="both"/>
        <w:rPr>
          <w:rFonts w:ascii="Times New Roman" w:hAnsi="Times New Roman"/>
          <w:sz w:val="24"/>
          <w:szCs w:val="24"/>
        </w:rPr>
      </w:pPr>
      <w:r>
        <w:rPr>
          <w:rFonts w:ascii="Times New Roman" w:hAnsi="Times New Roman"/>
          <w:sz w:val="24"/>
          <w:szCs w:val="24"/>
        </w:rPr>
        <w:t>O Ministro das Relações Institucionais; Secretário-Executivo do Conselho;</w:t>
      </w:r>
    </w:p>
    <w:p w:rsidR="00CE3680" w:rsidRDefault="00CE3680" w:rsidP="00CE3680">
      <w:pPr>
        <w:pStyle w:val="PargrafodaLista"/>
        <w:numPr>
          <w:ilvl w:val="0"/>
          <w:numId w:val="4"/>
        </w:numPr>
        <w:spacing w:line="360" w:lineRule="auto"/>
        <w:ind w:left="1134"/>
        <w:jc w:val="both"/>
        <w:rPr>
          <w:rFonts w:ascii="Times New Roman" w:hAnsi="Times New Roman"/>
          <w:sz w:val="24"/>
          <w:szCs w:val="24"/>
        </w:rPr>
      </w:pPr>
      <w:r>
        <w:rPr>
          <w:rFonts w:ascii="Times New Roman" w:hAnsi="Times New Roman"/>
          <w:sz w:val="24"/>
          <w:szCs w:val="24"/>
        </w:rPr>
        <w:t>Os Ministros de Estado Chefes da Casa Civil, da Secretaria de Comunicação de Governo e Gestão Estratégica, da Secretaria-Geral da Presidência da República, da Secretaria de Articulação Política e Assuntos Institucionais e do Gabinete de Segurança Institucional;</w:t>
      </w:r>
    </w:p>
    <w:p w:rsidR="00CE3680" w:rsidRPr="00137415" w:rsidRDefault="00CE3680" w:rsidP="00CE3680">
      <w:pPr>
        <w:pStyle w:val="PargrafodaLista"/>
        <w:numPr>
          <w:ilvl w:val="0"/>
          <w:numId w:val="4"/>
        </w:numPr>
        <w:spacing w:line="360" w:lineRule="auto"/>
        <w:ind w:left="1134"/>
        <w:jc w:val="both"/>
        <w:rPr>
          <w:rFonts w:ascii="Times New Roman" w:hAnsi="Times New Roman"/>
          <w:sz w:val="24"/>
          <w:szCs w:val="24"/>
        </w:rPr>
      </w:pPr>
      <w:r>
        <w:rPr>
          <w:rFonts w:ascii="Times New Roman" w:hAnsi="Times New Roman"/>
          <w:sz w:val="24"/>
          <w:szCs w:val="24"/>
        </w:rPr>
        <w:t>Os Ministros de Estado da Fazenda, do Planejamento, do Desenvolvimento, Indústria e Comércio Exterior, do Desenvolvimento Social, do Trabalho e Emprego, do Meio Ambiente, das Relações Exteriores e o Presidente do Banco Central do Brasil.</w:t>
      </w:r>
      <w:r>
        <w:rPr>
          <w:rStyle w:val="Refdenotaderodap"/>
          <w:rFonts w:ascii="Times New Roman" w:hAnsi="Times New Roman"/>
          <w:sz w:val="24"/>
          <w:szCs w:val="24"/>
        </w:rPr>
        <w:footnoteReference w:id="90"/>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Como vimos, os conselheiros da sociedade civil eram designados pelo próprio Presidente da República, não cabendo indicações das entidades a eles vinculadas. A nomeação era publicada tanto no Diário Oficial da União quanto publicizada nas Atas das Reuniões Plenárias, nas datas de suas posses. Apesar da lei 10.683/03 exigir que fossem de “reconhecida liderança e representatividade”, em alguns casos de conselheiros do setor empresarial não encontramos vínculos ou ligações com entidades da sociedade civil. A rigor, o próprio Decreto 4.744/03, no art. 2º, §2º, não obriga</w:t>
      </w:r>
      <w:r w:rsidR="005F2112">
        <w:rPr>
          <w:rFonts w:ascii="Times New Roman" w:hAnsi="Times New Roman"/>
          <w:sz w:val="24"/>
          <w:szCs w:val="24"/>
        </w:rPr>
        <w:t>va</w:t>
      </w:r>
      <w:r>
        <w:rPr>
          <w:rFonts w:ascii="Times New Roman" w:hAnsi="Times New Roman"/>
          <w:sz w:val="24"/>
          <w:szCs w:val="24"/>
        </w:rPr>
        <w:t xml:space="preserve"> estritamente que todos os nomeados assumissem representação nas entidades da sociedade civil:</w:t>
      </w:r>
    </w:p>
    <w:p w:rsidR="00CE3680" w:rsidRPr="0033080E" w:rsidRDefault="00CE3680" w:rsidP="00791543">
      <w:pPr>
        <w:spacing w:before="240" w:line="240" w:lineRule="auto"/>
        <w:ind w:left="2268"/>
        <w:jc w:val="both"/>
        <w:rPr>
          <w:rFonts w:ascii="Times New Roman" w:hAnsi="Times New Roman"/>
          <w:sz w:val="20"/>
          <w:szCs w:val="20"/>
        </w:rPr>
      </w:pPr>
      <w:r w:rsidRPr="0033080E">
        <w:rPr>
          <w:rFonts w:ascii="Times New Roman" w:hAnsi="Times New Roman"/>
          <w:sz w:val="20"/>
          <w:szCs w:val="20"/>
        </w:rPr>
        <w:t xml:space="preserve">Os membros de que trata o inciso IV </w:t>
      </w:r>
      <w:r>
        <w:rPr>
          <w:rFonts w:ascii="Times New Roman" w:hAnsi="Times New Roman"/>
          <w:sz w:val="20"/>
          <w:szCs w:val="20"/>
        </w:rPr>
        <w:t xml:space="preserve">[noventa cidadãos brasileiros] </w:t>
      </w:r>
      <w:r w:rsidRPr="0033080E">
        <w:rPr>
          <w:rFonts w:ascii="Times New Roman" w:hAnsi="Times New Roman"/>
          <w:sz w:val="20"/>
          <w:szCs w:val="20"/>
        </w:rPr>
        <w:t xml:space="preserve">e seus suplentes, de acordo com a representatividade social, deverão ter </w:t>
      </w:r>
      <w:r w:rsidRPr="0033080E">
        <w:rPr>
          <w:rFonts w:ascii="Times New Roman" w:hAnsi="Times New Roman"/>
          <w:b/>
          <w:sz w:val="20"/>
          <w:szCs w:val="20"/>
        </w:rPr>
        <w:t>experiência nos temas agendados para concertação</w:t>
      </w:r>
      <w:r w:rsidRPr="0033080E">
        <w:rPr>
          <w:rFonts w:ascii="Times New Roman" w:hAnsi="Times New Roman"/>
          <w:b/>
          <w:i/>
          <w:sz w:val="20"/>
          <w:szCs w:val="20"/>
        </w:rPr>
        <w:t>ou</w:t>
      </w:r>
      <w:r w:rsidRPr="0033080E">
        <w:rPr>
          <w:rFonts w:ascii="Times New Roman" w:hAnsi="Times New Roman"/>
          <w:sz w:val="20"/>
          <w:szCs w:val="20"/>
        </w:rPr>
        <w:t xml:space="preserve"> ter função dirigente em organizações sindicais, movimentos sociais, organizações não-governamentais e outros setores da sociedade civil</w:t>
      </w:r>
      <w:r>
        <w:rPr>
          <w:rFonts w:ascii="Times New Roman" w:hAnsi="Times New Roman"/>
          <w:sz w:val="20"/>
          <w:szCs w:val="20"/>
        </w:rPr>
        <w:t>.</w:t>
      </w:r>
      <w:r>
        <w:rPr>
          <w:rStyle w:val="Refdenotaderodap"/>
          <w:rFonts w:ascii="Times New Roman" w:hAnsi="Times New Roman"/>
          <w:sz w:val="20"/>
          <w:szCs w:val="20"/>
        </w:rPr>
        <w:footnoteReference w:id="91"/>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Informações dadas a Kowarick pela SEDES dão conta que, ainda que legalmente referenciada pela representação social e econômica, a escolha dos conselheiros pelo Presidente era feita enquanto pessoa física: “mesmo se deixar de ter um cargo em uma entidade, continuará como membro do CDES”.</w:t>
      </w:r>
      <w:r>
        <w:rPr>
          <w:rStyle w:val="Refdenotaderodap"/>
          <w:rFonts w:ascii="Times New Roman" w:hAnsi="Times New Roman"/>
          <w:sz w:val="24"/>
          <w:szCs w:val="24"/>
        </w:rPr>
        <w:footnoteReference w:id="92"/>
      </w:r>
      <w:r>
        <w:rPr>
          <w:rFonts w:ascii="Times New Roman" w:hAnsi="Times New Roman"/>
          <w:sz w:val="24"/>
          <w:szCs w:val="24"/>
        </w:rPr>
        <w:t xml:space="preserve">  Isto deixa a entender que o critério de representatividade ou de liderança social não era tão determinante, ou o único, quanto a legislação, as posições do governo e de muitos analistas do CDES faziam crer. Encontramos </w:t>
      </w:r>
      <w:r w:rsidR="00465811">
        <w:rPr>
          <w:rFonts w:ascii="Times New Roman" w:hAnsi="Times New Roman"/>
          <w:sz w:val="24"/>
          <w:szCs w:val="24"/>
        </w:rPr>
        <w:t>fontes que comprovam</w:t>
      </w:r>
      <w:r>
        <w:rPr>
          <w:rFonts w:ascii="Times New Roman" w:hAnsi="Times New Roman"/>
          <w:sz w:val="24"/>
          <w:szCs w:val="24"/>
        </w:rPr>
        <w:t>, no meio empresarial, que alguns conselheiros nomeados mantinham fortes relações pessoais com o Presidente e/ou se destacarem no setor ou atividade econômica em que se dedicavam ou, muito mais que isto, eram detentores ou prepostos diretos do grande capital. Não pertenciam ou não tinham qualquer papel de destaque em associações empresariais e, especialmente em alguns casos, estavam muito longe de serem considerados “cidadãos de ilibada conduta”.</w:t>
      </w:r>
    </w:p>
    <w:p w:rsidR="00CE3680" w:rsidRDefault="00CE3680" w:rsidP="00CE3680">
      <w:pPr>
        <w:spacing w:after="0" w:line="360" w:lineRule="auto"/>
        <w:ind w:firstLine="708"/>
        <w:jc w:val="both"/>
      </w:pPr>
      <w:r>
        <w:rPr>
          <w:rFonts w:ascii="Times New Roman" w:hAnsi="Times New Roman"/>
          <w:sz w:val="24"/>
          <w:szCs w:val="24"/>
        </w:rPr>
        <w:t>Estes não eram os únicos casos em que a letra da lei que instituiu o CDES era “flexibilizada”, ao sabor das escolhas presidenciais. No §8º do artigo 8º da lei 10.683/03 é expresso o mandamento de que “é vedada a participação de conselheiro de direitos que representem mais de cinco por cento do capital social de empresa inadimplente com a Receita Federal ou com o Instituto Nacional de Seguridade social, na apreciação de matérias pertinentes a essas áreas”.</w:t>
      </w:r>
      <w:r w:rsidR="00791543">
        <w:rPr>
          <w:rStyle w:val="Refdenotaderodap"/>
          <w:rFonts w:ascii="Times New Roman" w:hAnsi="Times New Roman"/>
          <w:sz w:val="24"/>
          <w:szCs w:val="24"/>
        </w:rPr>
        <w:footnoteReference w:id="93"/>
      </w:r>
      <w:r>
        <w:rPr>
          <w:rFonts w:ascii="Times New Roman" w:hAnsi="Times New Roman"/>
          <w:sz w:val="24"/>
          <w:szCs w:val="24"/>
        </w:rPr>
        <w:t xml:space="preserve"> Contudo, em cumprimento à determinação do artigo 81 da lei 8.212/91, somente em maio de 2003 o Ministério da Previdência Social divulgou a lista de empresas em débito com o INSS. Dentre os maiores devedores do Instituto, figuravam quatro grandes grupos representados no CDES: </w:t>
      </w:r>
      <w:r w:rsidRPr="008A1755">
        <w:rPr>
          <w:rFonts w:ascii="Times New Roman" w:hAnsi="Times New Roman"/>
          <w:sz w:val="24"/>
          <w:szCs w:val="24"/>
        </w:rPr>
        <w:t>Banco Bradesco S.A., com</w:t>
      </w:r>
      <w:r>
        <w:rPr>
          <w:rFonts w:ascii="Times New Roman" w:hAnsi="Times New Roman"/>
          <w:sz w:val="24"/>
          <w:szCs w:val="24"/>
        </w:rPr>
        <w:t xml:space="preserve"> dívidas de </w:t>
      </w:r>
      <w:r w:rsidRPr="008A1755">
        <w:rPr>
          <w:rFonts w:ascii="Times New Roman" w:hAnsi="Times New Roman"/>
          <w:sz w:val="24"/>
          <w:szCs w:val="24"/>
        </w:rPr>
        <w:t>R$ 83,1 milhões;Cia. Vale do Rio Doce</w:t>
      </w:r>
      <w:r>
        <w:rPr>
          <w:rFonts w:ascii="Times New Roman" w:hAnsi="Times New Roman"/>
          <w:sz w:val="24"/>
          <w:szCs w:val="24"/>
        </w:rPr>
        <w:t xml:space="preserve">, R$ 41,1 milhões; </w:t>
      </w:r>
      <w:r w:rsidRPr="008A1755">
        <w:rPr>
          <w:rFonts w:ascii="Times New Roman" w:hAnsi="Times New Roman"/>
          <w:sz w:val="24"/>
          <w:szCs w:val="24"/>
        </w:rPr>
        <w:t>Mappin Lojas de Departamentos S.A</w:t>
      </w:r>
      <w:r>
        <w:rPr>
          <w:rFonts w:ascii="Times New Roman" w:hAnsi="Times New Roman"/>
          <w:sz w:val="24"/>
          <w:szCs w:val="24"/>
        </w:rPr>
        <w:t xml:space="preserve">, R$ 21,3 milhões e </w:t>
      </w:r>
      <w:r w:rsidRPr="008A1755">
        <w:rPr>
          <w:rFonts w:ascii="Times New Roman" w:hAnsi="Times New Roman"/>
          <w:sz w:val="24"/>
          <w:szCs w:val="24"/>
        </w:rPr>
        <w:t>Banco Itaú</w:t>
      </w:r>
      <w:r>
        <w:rPr>
          <w:rFonts w:ascii="Times New Roman" w:hAnsi="Times New Roman"/>
          <w:sz w:val="24"/>
          <w:szCs w:val="24"/>
        </w:rPr>
        <w:t xml:space="preserve">, com </w:t>
      </w:r>
      <w:r w:rsidRPr="008A1755">
        <w:rPr>
          <w:rFonts w:ascii="Times New Roman" w:hAnsi="Times New Roman"/>
          <w:sz w:val="24"/>
          <w:szCs w:val="24"/>
        </w:rPr>
        <w:t>dívida de R$ 19,9 milhões</w:t>
      </w:r>
      <w:r>
        <w:rPr>
          <w:rFonts w:ascii="Times New Roman" w:hAnsi="Times New Roman"/>
          <w:sz w:val="24"/>
          <w:szCs w:val="24"/>
        </w:rPr>
        <w:t>.</w:t>
      </w:r>
      <w:r>
        <w:rPr>
          <w:rStyle w:val="Refdenotaderodap"/>
          <w:rFonts w:ascii="Times New Roman" w:hAnsi="Times New Roman"/>
          <w:sz w:val="24"/>
          <w:szCs w:val="24"/>
        </w:rPr>
        <w:footnoteReference w:id="94"/>
      </w:r>
    </w:p>
    <w:p w:rsidR="00CE3680" w:rsidRPr="00D45CC4" w:rsidRDefault="00CE3680" w:rsidP="00CE3680">
      <w:pPr>
        <w:spacing w:line="360" w:lineRule="auto"/>
        <w:ind w:firstLine="708"/>
        <w:jc w:val="both"/>
        <w:rPr>
          <w:rFonts w:ascii="Times New Roman" w:hAnsi="Times New Roman"/>
          <w:sz w:val="24"/>
          <w:szCs w:val="24"/>
        </w:rPr>
      </w:pPr>
      <w:r>
        <w:rPr>
          <w:rFonts w:ascii="Times New Roman" w:hAnsi="Times New Roman"/>
          <w:sz w:val="24"/>
          <w:szCs w:val="24"/>
        </w:rPr>
        <w:t>As competências gerais do CDES foram definida</w:t>
      </w:r>
      <w:r w:rsidRPr="00D45CC4">
        <w:rPr>
          <w:rFonts w:ascii="Times New Roman" w:hAnsi="Times New Roman"/>
          <w:sz w:val="24"/>
          <w:szCs w:val="24"/>
        </w:rPr>
        <w:t xml:space="preserve">s no artigo 8º da </w:t>
      </w:r>
      <w:r>
        <w:rPr>
          <w:rFonts w:ascii="Times New Roman" w:hAnsi="Times New Roman"/>
          <w:sz w:val="24"/>
          <w:szCs w:val="24"/>
        </w:rPr>
        <w:t>lei 10683/03:</w:t>
      </w:r>
    </w:p>
    <w:p w:rsidR="00CE3680" w:rsidRPr="00D45CC4" w:rsidRDefault="00CE3680" w:rsidP="00CE3680">
      <w:pPr>
        <w:autoSpaceDE w:val="0"/>
        <w:autoSpaceDN w:val="0"/>
        <w:adjustRightInd w:val="0"/>
        <w:spacing w:line="240" w:lineRule="auto"/>
        <w:ind w:left="2340"/>
        <w:jc w:val="both"/>
        <w:rPr>
          <w:rFonts w:ascii="Times New Roman" w:hAnsi="Times New Roman"/>
          <w:sz w:val="20"/>
          <w:szCs w:val="20"/>
        </w:rPr>
      </w:pPr>
      <w:r w:rsidRPr="009F3EBA">
        <w:rPr>
          <w:rFonts w:ascii="Times New Roman" w:hAnsi="Times New Roman"/>
          <w:sz w:val="20"/>
          <w:szCs w:val="20"/>
        </w:rPr>
        <w:t>Ao Conselho de Desenvolvimento Econômico e Social compete assessorar o Presidente da República na formulação de políticas e diretrizes específicas, voltadas ao desenvolvimento econômico e social, produzindo indicações normativas, propostas políticas e acordos de procedimento, e apreciar propostas de políticas públicas e de reformas estruturais e de desenvolvimento econômico e social que lhe sejam submetidas pelo Presidente da República, com vistas à articulação das relações de governo com representantes da sociedade civil organizada e a concertação entre os diversos setores da sociedade nele representados</w:t>
      </w:r>
      <w:r w:rsidRPr="00D45CC4">
        <w:rPr>
          <w:rFonts w:ascii="Times New Roman" w:hAnsi="Times New Roman"/>
          <w:sz w:val="20"/>
          <w:szCs w:val="20"/>
        </w:rPr>
        <w:t>.</w:t>
      </w:r>
      <w:r w:rsidR="00791543">
        <w:rPr>
          <w:rStyle w:val="Refdenotaderodap"/>
          <w:rFonts w:ascii="Times New Roman" w:hAnsi="Times New Roman"/>
          <w:sz w:val="20"/>
          <w:szCs w:val="20"/>
        </w:rPr>
        <w:footnoteReference w:id="95"/>
      </w:r>
    </w:p>
    <w:p w:rsidR="00CE3680" w:rsidRDefault="00CE3680" w:rsidP="00791543">
      <w:pPr>
        <w:spacing w:before="240" w:after="0" w:line="360" w:lineRule="auto"/>
        <w:jc w:val="both"/>
        <w:rPr>
          <w:rFonts w:ascii="Times New Roman" w:hAnsi="Times New Roman"/>
          <w:sz w:val="24"/>
          <w:szCs w:val="24"/>
        </w:rPr>
      </w:pPr>
      <w:r>
        <w:rPr>
          <w:rFonts w:ascii="Times New Roman" w:hAnsi="Times New Roman"/>
          <w:sz w:val="24"/>
          <w:szCs w:val="24"/>
        </w:rPr>
        <w:tab/>
        <w:t>A função precípua de fórum assessor do Presidente da República era, sem dúvida, um registro marcante das suas atividades. Questão tensionadora entre os conselheiros e o governo (CDES e SEDES), porém, que atravessava</w:t>
      </w:r>
      <w:r w:rsidR="001A6CA2">
        <w:rPr>
          <w:rFonts w:ascii="Times New Roman" w:hAnsi="Times New Roman"/>
          <w:sz w:val="24"/>
          <w:szCs w:val="24"/>
        </w:rPr>
        <w:t xml:space="preserve"> o primeiro governo Lula da S</w:t>
      </w:r>
      <w:r w:rsidR="00465811">
        <w:rPr>
          <w:rFonts w:ascii="Times New Roman" w:hAnsi="Times New Roman"/>
          <w:sz w:val="24"/>
          <w:szCs w:val="24"/>
        </w:rPr>
        <w:t xml:space="preserve">ilva,principalmente </w:t>
      </w:r>
      <w:r>
        <w:rPr>
          <w:rFonts w:ascii="Times New Roman" w:hAnsi="Times New Roman"/>
          <w:sz w:val="24"/>
          <w:szCs w:val="24"/>
        </w:rPr>
        <w:t xml:space="preserve">os anos iniciais de constituição do Conselho, tratava da maneira “passiva” de seu papel de assessor, explícito no texto legal: “(...) </w:t>
      </w:r>
      <w:r w:rsidRPr="00AB73E1">
        <w:rPr>
          <w:rFonts w:ascii="Times New Roman" w:hAnsi="Times New Roman"/>
          <w:sz w:val="24"/>
          <w:szCs w:val="24"/>
        </w:rPr>
        <w:t xml:space="preserve">que lhe sejam </w:t>
      </w:r>
      <w:r w:rsidRPr="00E60963">
        <w:rPr>
          <w:rFonts w:ascii="Times New Roman" w:hAnsi="Times New Roman"/>
          <w:i/>
          <w:sz w:val="24"/>
          <w:szCs w:val="24"/>
        </w:rPr>
        <w:t>submetidas</w:t>
      </w:r>
      <w:r w:rsidRPr="00AB73E1">
        <w:rPr>
          <w:rFonts w:ascii="Times New Roman" w:hAnsi="Times New Roman"/>
          <w:sz w:val="24"/>
          <w:szCs w:val="24"/>
        </w:rPr>
        <w:t xml:space="preserve"> pelo Presidente da República”</w:t>
      </w:r>
      <w:r>
        <w:rPr>
          <w:rFonts w:ascii="Times New Roman" w:hAnsi="Times New Roman"/>
          <w:sz w:val="24"/>
          <w:szCs w:val="24"/>
        </w:rPr>
        <w:t xml:space="preserve">. Quer dizer, a legislação regulamentadora expressava claramente que as competências do Conselho eram exercidas e referenciadas pelas agendas </w:t>
      </w:r>
      <w:r w:rsidR="00277FC9">
        <w:rPr>
          <w:rFonts w:ascii="Times New Roman" w:hAnsi="Times New Roman"/>
          <w:sz w:val="24"/>
          <w:szCs w:val="24"/>
        </w:rPr>
        <w:t xml:space="preserve">e pautas </w:t>
      </w:r>
      <w:r>
        <w:rPr>
          <w:rFonts w:ascii="Times New Roman" w:hAnsi="Times New Roman"/>
          <w:sz w:val="24"/>
          <w:szCs w:val="24"/>
        </w:rPr>
        <w:t>encamin</w:t>
      </w:r>
      <w:r w:rsidR="00277FC9">
        <w:rPr>
          <w:rFonts w:ascii="Times New Roman" w:hAnsi="Times New Roman"/>
          <w:sz w:val="24"/>
          <w:szCs w:val="24"/>
        </w:rPr>
        <w:t>hadas pelo chefe do Executivo.</w:t>
      </w:r>
    </w:p>
    <w:p w:rsidR="00CE3680" w:rsidRDefault="00277FC9" w:rsidP="00277FC9">
      <w:pPr>
        <w:spacing w:after="0" w:line="360" w:lineRule="auto"/>
        <w:jc w:val="both"/>
        <w:rPr>
          <w:rFonts w:ascii="Times New Roman" w:hAnsi="Times New Roman"/>
          <w:sz w:val="24"/>
          <w:szCs w:val="24"/>
        </w:rPr>
      </w:pPr>
      <w:r>
        <w:rPr>
          <w:rFonts w:ascii="Times New Roman" w:hAnsi="Times New Roman"/>
          <w:sz w:val="24"/>
          <w:szCs w:val="24"/>
        </w:rPr>
        <w:tab/>
      </w:r>
      <w:r w:rsidR="00CE3680">
        <w:rPr>
          <w:rFonts w:ascii="Times New Roman" w:hAnsi="Times New Roman"/>
          <w:sz w:val="24"/>
          <w:szCs w:val="24"/>
        </w:rPr>
        <w:t>Além disso, com vimos, o marco legal também informava que o CDES se constituía como arena onde as proposições emanadas não eram deliberativas, isto é, não vinculavam ou obrigavam o Executivo. O papel do CDES assim definido pelo marco regulatório – como fórum de assessoramento propositivo e de consulta -, somado aos depoimentos contundentes de alguns conselheiros acerca da ineficácia de sua atuação no âmbito do CDES, principalmente nos dois anos iniciais de sua</w:t>
      </w:r>
      <w:r w:rsidR="00C40D31">
        <w:rPr>
          <w:rFonts w:ascii="Times New Roman" w:hAnsi="Times New Roman"/>
          <w:sz w:val="24"/>
          <w:szCs w:val="24"/>
        </w:rPr>
        <w:t xml:space="preserve"> constituição (2003-2004), levaram</w:t>
      </w:r>
      <w:r w:rsidR="00CE3680">
        <w:rPr>
          <w:rFonts w:ascii="Times New Roman" w:hAnsi="Times New Roman"/>
          <w:sz w:val="24"/>
          <w:szCs w:val="24"/>
        </w:rPr>
        <w:t xml:space="preserve"> alguns analistas e pesquisadores (dentre eles também conselheiros) a considerarem o Conselho como um fórum de legitimação das propostas e/ou projetos trazidos pelo governo, onde a capacidade elaborativa e propositiva anuviava-se não apenas perante a superficial ou branda autonomia concedida pela SEDES, mas, principalmente, ao não enxergar o aproveitamento das proposições por ele emanadas por parte do Executivo. </w:t>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Outros dois elementos importantes no artigo 8º dizem respeito ao conteúdo ou a composição social do Conselho: tratar-se-ia de um espaço privilegiado de interlocução da sociedade civil com o governo, e vice-versa, com vistas à “concertação” social. Lideranças da sociedade civil organizar-se-iam sob os auspícios governamentais para formulação, na sociedade política, de um projeto de “desenvolvimento com equidade” sustentado pelo esforço da “pactuação” social. Apesar de serem utilizados pelos analistas e conselheiros de maneira indiferenciada, Tarso Genro volta e meia mencionava, em entrevistas e em curtos</w:t>
      </w:r>
      <w:r w:rsidRPr="00FB7381">
        <w:rPr>
          <w:rFonts w:ascii="Times New Roman" w:hAnsi="Times New Roman"/>
          <w:sz w:val="24"/>
          <w:szCs w:val="24"/>
        </w:rPr>
        <w:t xml:space="preserve"> artigos</w:t>
      </w:r>
      <w:r>
        <w:rPr>
          <w:rFonts w:ascii="Times New Roman" w:hAnsi="Times New Roman"/>
          <w:i/>
          <w:sz w:val="24"/>
          <w:szCs w:val="24"/>
        </w:rPr>
        <w:t xml:space="preserve">, </w:t>
      </w:r>
      <w:r w:rsidRPr="00FB7381">
        <w:rPr>
          <w:rFonts w:ascii="Times New Roman" w:hAnsi="Times New Roman"/>
          <w:sz w:val="24"/>
          <w:szCs w:val="24"/>
        </w:rPr>
        <w:t>que</w:t>
      </w:r>
      <w:r>
        <w:rPr>
          <w:rFonts w:ascii="Times New Roman" w:hAnsi="Times New Roman"/>
          <w:sz w:val="24"/>
          <w:szCs w:val="24"/>
        </w:rPr>
        <w:t xml:space="preserve"> os termos “pacto social” e “concertação” não eram sinônimos. De qualquer modo, é importante observar que eles funcionavam como ideários coesionadores no âmbito do próprio Conselho: </w:t>
      </w:r>
    </w:p>
    <w:p w:rsidR="00CE3680" w:rsidRPr="002D6410" w:rsidRDefault="00CE3680" w:rsidP="00CE3680">
      <w:pPr>
        <w:spacing w:line="240" w:lineRule="auto"/>
        <w:ind w:left="2268"/>
        <w:jc w:val="both"/>
        <w:rPr>
          <w:rFonts w:ascii="Times New Roman" w:hAnsi="Times New Roman"/>
          <w:sz w:val="24"/>
          <w:szCs w:val="24"/>
        </w:rPr>
      </w:pPr>
      <w:r w:rsidRPr="002D6410">
        <w:rPr>
          <w:rFonts w:ascii="Times New Roman" w:hAnsi="Times New Roman"/>
          <w:sz w:val="20"/>
          <w:szCs w:val="20"/>
        </w:rPr>
        <w:t xml:space="preserve">Não usamos o termo “pacto social” por ele estar associado a uma negociação entre trabalhadores e patrões. O termo concertação expressa melhor a experiência do Conselho. Inédita no Brasil, nunca tivemos diálogo organizado pelo Estado, de caráter estratégico, entre as classes sociais buscando os seus consensos e não as suas divergências. O Conselho é isso. É </w:t>
      </w:r>
      <w:r w:rsidRPr="002D6410">
        <w:rPr>
          <w:rFonts w:ascii="Times New Roman" w:hAnsi="Times New Roman"/>
          <w:b/>
          <w:sz w:val="20"/>
          <w:szCs w:val="20"/>
        </w:rPr>
        <w:t>uma união – afinada e harmoniosa –</w:t>
      </w:r>
      <w:r w:rsidRPr="002D6410">
        <w:rPr>
          <w:rFonts w:ascii="Times New Roman" w:hAnsi="Times New Roman"/>
          <w:sz w:val="20"/>
          <w:szCs w:val="20"/>
        </w:rPr>
        <w:t xml:space="preserve"> na busca de um novo contr</w:t>
      </w:r>
      <w:r>
        <w:rPr>
          <w:rFonts w:ascii="Times New Roman" w:hAnsi="Times New Roman"/>
          <w:sz w:val="20"/>
          <w:szCs w:val="20"/>
        </w:rPr>
        <w:t>a</w:t>
      </w:r>
      <w:r w:rsidRPr="002D6410">
        <w:rPr>
          <w:rFonts w:ascii="Times New Roman" w:hAnsi="Times New Roman"/>
          <w:sz w:val="20"/>
          <w:szCs w:val="20"/>
        </w:rPr>
        <w:t>to social para construirmos um país economicamente forte e socialmente justo</w:t>
      </w:r>
      <w:r>
        <w:rPr>
          <w:rFonts w:ascii="Times New Roman" w:hAnsi="Times New Roman"/>
          <w:sz w:val="20"/>
          <w:szCs w:val="20"/>
        </w:rPr>
        <w:t xml:space="preserve"> (grifos nossos)</w:t>
      </w:r>
      <w:r w:rsidR="00791543">
        <w:rPr>
          <w:rFonts w:ascii="Times New Roman" w:hAnsi="Times New Roman"/>
          <w:sz w:val="20"/>
          <w:szCs w:val="20"/>
        </w:rPr>
        <w:t>.</w:t>
      </w:r>
      <w:r>
        <w:rPr>
          <w:rStyle w:val="Refdenotaderodap"/>
          <w:rFonts w:ascii="Times New Roman" w:hAnsi="Times New Roman"/>
          <w:sz w:val="20"/>
          <w:szCs w:val="20"/>
        </w:rPr>
        <w:footnoteReference w:id="96"/>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A ideia colocada era de que a mobilização necessária para construção de um “autêntico desenvolvimento” apenas se daria pela consensualização de uma pauta mínima de mudanças necessárias ao país. Sem mudanças bruscas ou radicais, dever-se-ia construir um projeto em que desenvolvimento econômico e social e coesão social andariam lado a lado, ou melhor, ambos se nutririam. Esta tônica do Conselho é bastante propagandeada, conforme consta na apresentação mais recente em sua página eletrônica:</w:t>
      </w:r>
    </w:p>
    <w:p w:rsidR="00CE3680" w:rsidRPr="004262B4" w:rsidRDefault="00CE3680" w:rsidP="00CE3680">
      <w:pPr>
        <w:spacing w:line="240" w:lineRule="auto"/>
        <w:ind w:left="2268"/>
        <w:jc w:val="both"/>
        <w:rPr>
          <w:rFonts w:ascii="Times New Roman" w:hAnsi="Times New Roman"/>
          <w:sz w:val="20"/>
          <w:szCs w:val="20"/>
        </w:rPr>
      </w:pPr>
      <w:r>
        <w:rPr>
          <w:rFonts w:ascii="Times New Roman" w:hAnsi="Times New Roman"/>
          <w:sz w:val="20"/>
          <w:szCs w:val="20"/>
        </w:rPr>
        <w:t>Expressão de uma democracia moderna e consolidada, o Conselho hoje acumula uma experiência que alia a capacidade cognitiva de cada Conselheiro e Conselheira sobre temas fundamentais para o País, a uma confiança absoluta no diálogo. O diálogo favorece o trânsito de informações, permite a troca de pontos de vista, ajuda a iluminar as diferenças e a encontrar trajetórias para enfrentamento de problemas e entraves. Por meio do diálogo o CDES busca compreender as variáveis e construir consensos em torno do Brasil que se desenvolve. No entendimento do Conselho, é preciso que a sociedade participe, que conduza este processo de desenvolvimento e se reconheça nele.</w:t>
      </w:r>
      <w:r>
        <w:rPr>
          <w:rStyle w:val="Refdenotaderodap"/>
          <w:rFonts w:ascii="Times New Roman" w:hAnsi="Times New Roman"/>
          <w:sz w:val="20"/>
          <w:szCs w:val="20"/>
        </w:rPr>
        <w:footnoteReference w:id="97"/>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 xml:space="preserve">A tensão resultante de um Conselho de caráter consultivo </w:t>
      </w:r>
      <w:r w:rsidR="003778EE">
        <w:rPr>
          <w:rFonts w:ascii="Times New Roman" w:hAnsi="Times New Roman"/>
          <w:sz w:val="24"/>
          <w:szCs w:val="24"/>
        </w:rPr>
        <w:t>c</w:t>
      </w:r>
      <w:r>
        <w:rPr>
          <w:rFonts w:ascii="Times New Roman" w:hAnsi="Times New Roman"/>
          <w:sz w:val="24"/>
          <w:szCs w:val="24"/>
        </w:rPr>
        <w:t>ujas pautas são definidas fora de sua plenária, ou seja, pela Secretaria do CDES</w:t>
      </w:r>
      <w:r w:rsidR="00277FC9">
        <w:rPr>
          <w:rFonts w:ascii="Times New Roman" w:hAnsi="Times New Roman"/>
          <w:sz w:val="24"/>
          <w:szCs w:val="24"/>
        </w:rPr>
        <w:t xml:space="preserve"> (que </w:t>
      </w:r>
      <w:r w:rsidR="000C6AB6">
        <w:rPr>
          <w:rFonts w:ascii="Times New Roman" w:hAnsi="Times New Roman"/>
          <w:sz w:val="24"/>
          <w:szCs w:val="24"/>
        </w:rPr>
        <w:t>canalizava</w:t>
      </w:r>
      <w:r w:rsidR="00277FC9">
        <w:rPr>
          <w:rFonts w:ascii="Times New Roman" w:hAnsi="Times New Roman"/>
          <w:sz w:val="24"/>
          <w:szCs w:val="24"/>
        </w:rPr>
        <w:t xml:space="preserve"> as agendas do Executivo</w:t>
      </w:r>
      <w:r w:rsidR="000C6AB6">
        <w:rPr>
          <w:rFonts w:ascii="Times New Roman" w:hAnsi="Times New Roman"/>
          <w:sz w:val="24"/>
          <w:szCs w:val="24"/>
        </w:rPr>
        <w:t xml:space="preserve"> para serem discutidas nas plenárias</w:t>
      </w:r>
      <w:r w:rsidR="00277FC9">
        <w:rPr>
          <w:rFonts w:ascii="Times New Roman" w:hAnsi="Times New Roman"/>
          <w:sz w:val="24"/>
          <w:szCs w:val="24"/>
        </w:rPr>
        <w:t>)</w:t>
      </w:r>
      <w:r>
        <w:rPr>
          <w:rFonts w:ascii="Times New Roman" w:hAnsi="Times New Roman"/>
          <w:sz w:val="24"/>
          <w:szCs w:val="24"/>
        </w:rPr>
        <w:t>, e o projeto de “desenvolvimento com equidade” e “coesão social” estava, de fato, colocada já na legislação que o normatizava. Estas “marcas de nascimento” do Conselho foram, contudo, matizadas, assumindo colorações distintas a depender das relações que foram sendo travadas dentro (CDES e SEDES) e fora (continuidade na condução da política econômica restritiva, crise política advinda do episódio do mensalão, economia internacional favorável entre 2002-2007, o impacto da crise econômica</w:t>
      </w:r>
      <w:r w:rsidR="00C40D31">
        <w:rPr>
          <w:rFonts w:ascii="Times New Roman" w:hAnsi="Times New Roman"/>
          <w:sz w:val="24"/>
          <w:szCs w:val="24"/>
        </w:rPr>
        <w:t xml:space="preserve"> de 2008</w:t>
      </w:r>
      <w:r>
        <w:rPr>
          <w:rFonts w:ascii="Times New Roman" w:hAnsi="Times New Roman"/>
          <w:sz w:val="24"/>
          <w:szCs w:val="24"/>
        </w:rPr>
        <w:t xml:space="preserve">, dentre outros) da sua plenária. </w:t>
      </w:r>
    </w:p>
    <w:p w:rsidR="00256C61" w:rsidRDefault="00CE3680" w:rsidP="00D843EC">
      <w:pPr>
        <w:spacing w:after="0" w:line="360" w:lineRule="auto"/>
        <w:ind w:firstLine="708"/>
        <w:jc w:val="both"/>
        <w:rPr>
          <w:rFonts w:ascii="Times New Roman" w:hAnsi="Times New Roman"/>
          <w:sz w:val="24"/>
          <w:szCs w:val="24"/>
        </w:rPr>
      </w:pPr>
      <w:r>
        <w:rPr>
          <w:rFonts w:ascii="Times New Roman" w:hAnsi="Times New Roman"/>
          <w:sz w:val="24"/>
          <w:szCs w:val="24"/>
        </w:rPr>
        <w:t xml:space="preserve">Quanto ao modo de funcionamento da plenária do CDES, consta no artigo 5º do Regimento Interno que o Conselho “reunir-se-á em composição plena uma vez, no mínimo, a cada bimestre”. Apesar de esta determinação não ser seguida expressamente, entre 2003 e 2006 as reuniões ordinárias da plenária do Conselho ocorriam </w:t>
      </w:r>
      <w:r w:rsidR="00F35DCE">
        <w:rPr>
          <w:rFonts w:ascii="Times New Roman" w:hAnsi="Times New Roman"/>
          <w:sz w:val="24"/>
          <w:szCs w:val="24"/>
        </w:rPr>
        <w:t>cinco</w:t>
      </w:r>
      <w:r>
        <w:rPr>
          <w:rFonts w:ascii="Times New Roman" w:hAnsi="Times New Roman"/>
          <w:sz w:val="24"/>
          <w:szCs w:val="24"/>
        </w:rPr>
        <w:t xml:space="preserve"> vezes por ano. O volume e a intensificação de trabalhos centrados nos Grupos de Trabalho durante 2007 e 2010 exigiu que a</w:t>
      </w:r>
      <w:r w:rsidR="00F35DCE">
        <w:rPr>
          <w:rFonts w:ascii="Times New Roman" w:hAnsi="Times New Roman"/>
          <w:sz w:val="24"/>
          <w:szCs w:val="24"/>
        </w:rPr>
        <w:t xml:space="preserve"> plenária passasse a se reunir quatro</w:t>
      </w:r>
      <w:r>
        <w:rPr>
          <w:rFonts w:ascii="Times New Roman" w:hAnsi="Times New Roman"/>
          <w:sz w:val="24"/>
          <w:szCs w:val="24"/>
        </w:rPr>
        <w:t xml:space="preserve"> vezes por ano. </w:t>
      </w:r>
    </w:p>
    <w:p w:rsidR="00CE3680" w:rsidRDefault="00CE3680" w:rsidP="00CE3680">
      <w:pPr>
        <w:spacing w:line="360" w:lineRule="auto"/>
        <w:ind w:firstLine="708"/>
        <w:jc w:val="both"/>
        <w:rPr>
          <w:rFonts w:ascii="Times New Roman" w:hAnsi="Times New Roman"/>
          <w:sz w:val="24"/>
          <w:szCs w:val="24"/>
        </w:rPr>
      </w:pPr>
      <w:r>
        <w:rPr>
          <w:rFonts w:ascii="Times New Roman" w:hAnsi="Times New Roman"/>
          <w:sz w:val="24"/>
          <w:szCs w:val="24"/>
        </w:rPr>
        <w:t>No período 2003-2010, houve 36 reuniõ</w:t>
      </w:r>
      <w:r w:rsidR="00F35DCE">
        <w:rPr>
          <w:rFonts w:ascii="Times New Roman" w:hAnsi="Times New Roman"/>
          <w:sz w:val="24"/>
          <w:szCs w:val="24"/>
        </w:rPr>
        <w:t>es ordinárias no CDES e apenas quatro</w:t>
      </w:r>
      <w:r>
        <w:rPr>
          <w:rFonts w:ascii="Times New Roman" w:hAnsi="Times New Roman"/>
          <w:sz w:val="24"/>
          <w:szCs w:val="24"/>
        </w:rPr>
        <w:t xml:space="preserve"> reuniões extraordinárias, para tratar de assuntos muito específicos. Segue abaixo o quadro que trata da periodicidade das reuniões e, principalmente, dos temas ou pautas debatidos na plenária do Conselho entre 2003 e 2010.</w:t>
      </w:r>
    </w:p>
    <w:p w:rsidR="00CE3680" w:rsidRPr="00096E27" w:rsidRDefault="00CE3680" w:rsidP="00CE3680">
      <w:pPr>
        <w:spacing w:line="360" w:lineRule="auto"/>
        <w:jc w:val="center"/>
        <w:rPr>
          <w:rFonts w:ascii="Times New Roman" w:hAnsi="Times New Roman"/>
          <w:b/>
          <w:sz w:val="24"/>
          <w:szCs w:val="24"/>
        </w:rPr>
      </w:pPr>
      <w:r>
        <w:rPr>
          <w:rFonts w:ascii="Times New Roman" w:hAnsi="Times New Roman"/>
          <w:b/>
          <w:sz w:val="24"/>
          <w:szCs w:val="24"/>
        </w:rPr>
        <w:t>Quadro 1.1 – Reuniões Plenárias do CDES: periodicidade e pautas (2003-2010)</w:t>
      </w:r>
    </w:p>
    <w:tbl>
      <w:tblPr>
        <w:tblW w:w="4877" w:type="pct"/>
        <w:tblInd w:w="108" w:type="dxa"/>
        <w:tblBorders>
          <w:top w:val="single" w:sz="8" w:space="0" w:color="4F81BD"/>
          <w:bottom w:val="single" w:sz="8" w:space="0" w:color="4F81BD"/>
        </w:tblBorders>
        <w:tblLook w:val="04A0"/>
      </w:tblPr>
      <w:tblGrid>
        <w:gridCol w:w="2115"/>
        <w:gridCol w:w="1507"/>
        <w:gridCol w:w="5437"/>
      </w:tblGrid>
      <w:tr w:rsidR="00CE3680" w:rsidRPr="008211FD" w:rsidTr="008211FD">
        <w:trPr>
          <w:trHeight w:val="278"/>
        </w:trPr>
        <w:tc>
          <w:tcPr>
            <w:tcW w:w="1167" w:type="pct"/>
            <w:tcBorders>
              <w:top w:val="single" w:sz="8" w:space="0" w:color="4F81BD"/>
              <w:left w:val="nil"/>
              <w:bottom w:val="single" w:sz="8" w:space="0" w:color="4F81BD"/>
              <w:right w:val="nil"/>
            </w:tcBorders>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Ordem/Tipo de Reunião</w:t>
            </w:r>
          </w:p>
        </w:tc>
        <w:tc>
          <w:tcPr>
            <w:tcW w:w="832" w:type="pct"/>
            <w:tcBorders>
              <w:top w:val="single" w:sz="8" w:space="0" w:color="4F81BD"/>
              <w:left w:val="nil"/>
              <w:bottom w:val="single" w:sz="8" w:space="0" w:color="4F81BD"/>
              <w:right w:val="nil"/>
            </w:tcBorders>
          </w:tcPr>
          <w:p w:rsidR="00CE3680" w:rsidRPr="008211FD" w:rsidRDefault="00CE3680" w:rsidP="008211FD">
            <w:pPr>
              <w:spacing w:after="0" w:line="240" w:lineRule="auto"/>
              <w:jc w:val="center"/>
              <w:rPr>
                <w:rFonts w:ascii="Times New Roman" w:eastAsia="Times New Roman" w:hAnsi="Times New Roman"/>
                <w:b/>
                <w:bCs/>
                <w:sz w:val="16"/>
                <w:szCs w:val="16"/>
              </w:rPr>
            </w:pPr>
            <w:r w:rsidRPr="008211FD">
              <w:rPr>
                <w:rFonts w:ascii="Times New Roman" w:eastAsia="Times New Roman" w:hAnsi="Times New Roman"/>
                <w:b/>
                <w:bCs/>
                <w:sz w:val="16"/>
                <w:szCs w:val="16"/>
              </w:rPr>
              <w:t>Data</w:t>
            </w:r>
          </w:p>
        </w:tc>
        <w:tc>
          <w:tcPr>
            <w:tcW w:w="3001" w:type="pct"/>
            <w:tcBorders>
              <w:top w:val="single" w:sz="8" w:space="0" w:color="4F81BD"/>
              <w:left w:val="nil"/>
              <w:bottom w:val="single" w:sz="8" w:space="0" w:color="4F81BD"/>
              <w:right w:val="nil"/>
            </w:tcBorders>
          </w:tcPr>
          <w:p w:rsidR="00CE3680" w:rsidRPr="008211FD" w:rsidRDefault="00CE3680"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Pautas</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1ª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13/02/2003</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Instalação do Conselho.</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2ª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10/03/2003</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Reforma da Previdência.</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1ª Reunião Extraordinária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31/03/2003</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Reforma Tributária.</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3ª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12/06/2003</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Plano Plurianual, Reforma Sindical e Trabalhista.</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4ª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04/09/2003</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Retomada do Crescimento Econômico.</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5ª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10/12/2003</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Política Econômica, Monetária e Industrial.</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6ª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11/03/2004</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Política Industrial, Tecnológica e de Comércio Exterior.</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7ª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13/05/2004</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Crescimento Econômico Sustentável.</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8ª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04/08/2004</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Política Energética e Mineral.</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9ª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09/02/2004</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Política Nacional de Desenvolvimento Regional.</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10ª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10/11/2004</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Política Tributária e de Crédito.</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11ª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10/03/2005</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Perspectivas 2005, Oportunidades de Desenvolvimento.</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12ª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19/05/2005</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Micro e Pequena Empresas, Autogestão e Informalidade.</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13ª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25/08/2005</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Agenda Nacional de Desenvolvimento.</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14ª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05/10/2005</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Desindexação da Economia, Segurança Pública e Cidadã.</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15ª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01/12/2005</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Política Externa.</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16ª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23/03/2006</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A Educação como prioridade nacional para o Desenvolvimento.</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17ª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10/05/2006</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Princípios Econômicos e Políticas Indutoras do Desenvolvimento.</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18ª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29/06/2006</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Desafios Estratégicos do Financiamento para o Desenvolvimento: Desenvolvimento, Ação do Estado e Projeto Nacional.</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19ª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24/08/2006</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Enunciados para diretrizes de Planejamento.</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20ª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05/12/2006</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Aprofundamento dos Enunciados: Educação, Reforma Política e Financiamento da Infraestrutura.</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21ª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17/05/2007</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Diálogo para o Desenvolvimento, Posse dos conselheiros do CDES para o mandato 2007-2008.</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22ª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17/07/2007</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Ação Internacional do CDES, Reforma Tributária e Reforma Política.</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23ª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20/09/2007</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Programa Nacional de Segurança Pública com Cidadania, Reforma Tributária e Bioenergia.</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24ª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27/11/2007</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Parecer do Observatório da Equidade: Desigualdades na Educação; Relatório do GT sobre Reforma Tributária; Anais do Seminário sobre Reforma Política; Perspectivas do CDES para 2008.</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25ª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01/04/2008</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Reforma Tributária, Governança do CDES, Perspectivas de Crescimento da Economia Brasileira e Crise Norte-Americana.</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26ª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05/06/2008</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Política de Desenvolvimento Produtivo.</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27ª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28/08/2008</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Um novo Brasil em construção: mais investimentos e mais emprego.</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28ª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06/11/2008</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Conjuntura Econômica Internacional.</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29ª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05/03/2009</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Seminário Internacional de Desenvolvimento.</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30ª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04/06/2009</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A Rede de Proteção Social no Brasil.</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31ª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27/08/2009</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Diálogo para o desenvolvimento – desafios atuais do Brasil e as perspectivas para o CDES e posse dos conselheiros para o biênio 2009/2010.</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2ª Reunião Extraordinária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15/09/2009</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Balanço de um ano da crise e perspectivas da economia brasileira.</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3ª Reunião Extraordinária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29/09/2009</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O pré-sal e o novo padrão de desenvolvimento do país.</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4ª Reunião Extraordinária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16/11/2009</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COP-15: Compromissos para Mitigação de Emissões Brasileiras.</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32ª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09/12/2009</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Brasil e as perspectivas para o desenvolvimento.</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33ª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23/04/2010</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Debate preliminar da Agenda para o Novo Ciclo de Desenvolvimento.</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34ª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17/06/2010</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Agenda para o Novo Ciclo de Desenvolvimento.</w:t>
            </w:r>
          </w:p>
        </w:tc>
      </w:tr>
      <w:tr w:rsidR="00CE3680" w:rsidRPr="008211FD" w:rsidTr="008211FD">
        <w:trPr>
          <w:trHeight w:val="278"/>
        </w:trPr>
        <w:tc>
          <w:tcPr>
            <w:tcW w:w="1167"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35ª Reunião Ordinária</w:t>
            </w:r>
          </w:p>
        </w:tc>
        <w:tc>
          <w:tcPr>
            <w:tcW w:w="832"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26/08/2010</w:t>
            </w:r>
          </w:p>
        </w:tc>
        <w:tc>
          <w:tcPr>
            <w:tcW w:w="3001" w:type="pct"/>
            <w:tcBorders>
              <w:left w:val="nil"/>
              <w:right w:val="nil"/>
            </w:tcBorders>
            <w:shd w:val="clear" w:color="auto" w:fill="D3DFEE"/>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Educação e Inovação para o Novo Ciclo de Desenvolvimento.</w:t>
            </w:r>
          </w:p>
        </w:tc>
      </w:tr>
      <w:tr w:rsidR="00CE3680" w:rsidRPr="008211FD" w:rsidTr="008211FD">
        <w:trPr>
          <w:trHeight w:val="278"/>
        </w:trPr>
        <w:tc>
          <w:tcPr>
            <w:tcW w:w="1167"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36ª Reunião Ordinária</w:t>
            </w:r>
          </w:p>
        </w:tc>
        <w:tc>
          <w:tcPr>
            <w:tcW w:w="832"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02/12/2010</w:t>
            </w:r>
          </w:p>
        </w:tc>
        <w:tc>
          <w:tcPr>
            <w:tcW w:w="3001" w:type="pct"/>
          </w:tcPr>
          <w:p w:rsidR="00CE3680" w:rsidRPr="008211FD" w:rsidRDefault="00CE3680"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O Legado do CDES.</w:t>
            </w:r>
          </w:p>
        </w:tc>
      </w:tr>
    </w:tbl>
    <w:p w:rsidR="00CE3680" w:rsidRPr="007A5CD0" w:rsidRDefault="004F6DBA" w:rsidP="004F6DBA">
      <w:pPr>
        <w:spacing w:line="240" w:lineRule="auto"/>
        <w:jc w:val="both"/>
        <w:rPr>
          <w:rFonts w:ascii="Times New Roman" w:hAnsi="Times New Roman"/>
          <w:sz w:val="18"/>
          <w:szCs w:val="18"/>
        </w:rPr>
      </w:pPr>
      <w:r>
        <w:rPr>
          <w:rFonts w:ascii="Times New Roman" w:hAnsi="Times New Roman"/>
          <w:b/>
          <w:sz w:val="18"/>
          <w:szCs w:val="18"/>
        </w:rPr>
        <w:t xml:space="preserve">Elaboração própria. </w:t>
      </w:r>
      <w:r w:rsidR="00CE3680" w:rsidRPr="007A5CD0">
        <w:rPr>
          <w:rFonts w:ascii="Times New Roman" w:hAnsi="Times New Roman"/>
          <w:b/>
          <w:sz w:val="18"/>
          <w:szCs w:val="18"/>
        </w:rPr>
        <w:t>Fonte:</w:t>
      </w:r>
      <w:r w:rsidR="00CE3680" w:rsidRPr="007A5CD0">
        <w:rPr>
          <w:rFonts w:ascii="Times New Roman" w:hAnsi="Times New Roman"/>
          <w:sz w:val="18"/>
          <w:szCs w:val="18"/>
        </w:rPr>
        <w:t xml:space="preserve"> Atas das Reuniões Plen</w:t>
      </w:r>
      <w:r>
        <w:rPr>
          <w:rFonts w:ascii="Times New Roman" w:hAnsi="Times New Roman"/>
          <w:sz w:val="18"/>
          <w:szCs w:val="18"/>
        </w:rPr>
        <w:t>árias do CDES entre 2003 e 2010, disponíveis em &lt;</w:t>
      </w:r>
      <w:r w:rsidRPr="004F6DBA">
        <w:rPr>
          <w:rFonts w:ascii="Times New Roman" w:hAnsi="Times New Roman"/>
          <w:sz w:val="18"/>
          <w:szCs w:val="18"/>
        </w:rPr>
        <w:t>http://www.cdes.gov.br/evento/realizados/tipo/64/</w:t>
      </w:r>
      <w:r>
        <w:rPr>
          <w:rFonts w:ascii="Times New Roman" w:hAnsi="Times New Roman"/>
          <w:sz w:val="18"/>
          <w:szCs w:val="18"/>
        </w:rPr>
        <w:t>&gt; e &lt;</w:t>
      </w:r>
      <w:r w:rsidRPr="004F6DBA">
        <w:rPr>
          <w:rFonts w:ascii="Times New Roman" w:hAnsi="Times New Roman"/>
          <w:sz w:val="18"/>
          <w:szCs w:val="18"/>
        </w:rPr>
        <w:t>http://www.cdes.gov.br/evento/realizados/tipo/63/</w:t>
      </w:r>
      <w:r>
        <w:rPr>
          <w:rFonts w:ascii="Times New Roman" w:hAnsi="Times New Roman"/>
          <w:sz w:val="18"/>
          <w:szCs w:val="18"/>
        </w:rPr>
        <w:t>&gt;.</w:t>
      </w:r>
    </w:p>
    <w:p w:rsidR="008B43EF" w:rsidRPr="00791543" w:rsidRDefault="00A113E2" w:rsidP="008B43EF">
      <w:pPr>
        <w:spacing w:after="0" w:line="360" w:lineRule="auto"/>
        <w:ind w:firstLine="708"/>
        <w:jc w:val="both"/>
        <w:rPr>
          <w:rFonts w:ascii="Times New Roman" w:hAnsi="Times New Roman"/>
          <w:sz w:val="24"/>
          <w:szCs w:val="24"/>
        </w:rPr>
      </w:pPr>
      <w:r w:rsidRPr="00791543">
        <w:rPr>
          <w:rFonts w:ascii="Times New Roman" w:hAnsi="Times New Roman"/>
          <w:sz w:val="24"/>
          <w:szCs w:val="24"/>
        </w:rPr>
        <w:t>O quadro</w:t>
      </w:r>
      <w:r w:rsidR="008B43EF" w:rsidRPr="00791543">
        <w:rPr>
          <w:rFonts w:ascii="Times New Roman" w:hAnsi="Times New Roman"/>
          <w:sz w:val="24"/>
          <w:szCs w:val="24"/>
        </w:rPr>
        <w:t xml:space="preserve"> acima revela, grosso modo, a predominância das pautas do empresariado, em especial do grande empresariado monopolista</w:t>
      </w:r>
      <w:r w:rsidRPr="00791543">
        <w:rPr>
          <w:rFonts w:ascii="Times New Roman" w:hAnsi="Times New Roman"/>
          <w:sz w:val="24"/>
          <w:szCs w:val="24"/>
        </w:rPr>
        <w:t>, com escassas pautas que incidiam diretamente sobre aspirações populares</w:t>
      </w:r>
      <w:r w:rsidR="008B43EF" w:rsidRPr="00791543">
        <w:rPr>
          <w:rFonts w:ascii="Times New Roman" w:hAnsi="Times New Roman"/>
          <w:sz w:val="24"/>
          <w:szCs w:val="24"/>
        </w:rPr>
        <w:t>.</w:t>
      </w:r>
      <w:r w:rsidR="00687238" w:rsidRPr="00791543">
        <w:rPr>
          <w:rFonts w:ascii="Times New Roman" w:hAnsi="Times New Roman"/>
          <w:sz w:val="24"/>
          <w:szCs w:val="24"/>
        </w:rPr>
        <w:t xml:space="preserve"> Grande parte das pautas que envolvia as reuniões plenárias dedicava-se ao crescimento econômico, entendido como facilitação das condições de ampliação da reprodução de setores do capital no Brasil. Este era o lado “substantivo” do “desenvolvimento com inclusão social”.</w:t>
      </w:r>
      <w:r w:rsidR="008B43EF" w:rsidRPr="00791543">
        <w:rPr>
          <w:rFonts w:ascii="Times New Roman" w:hAnsi="Times New Roman"/>
          <w:sz w:val="24"/>
          <w:szCs w:val="24"/>
        </w:rPr>
        <w:t xml:space="preserve"> Deve-se tomar o cuidado, entretanto, de não considerar que as temáticas discutidas nas plenárias e expostas no quadro acima, apagavam os embates e as tensões internas. As discussões estavam atravessadas por tensões intraburguesas e entre os setores do capital e setores que compareciam com reivindicações distributivas: lideranças de organizações populares (escassamente representad</w:t>
      </w:r>
      <w:r w:rsidR="000C56C3">
        <w:rPr>
          <w:rFonts w:ascii="Times New Roman" w:hAnsi="Times New Roman"/>
          <w:sz w:val="24"/>
          <w:szCs w:val="24"/>
        </w:rPr>
        <w:t>a</w:t>
      </w:r>
      <w:r w:rsidR="008B43EF" w:rsidRPr="00791543">
        <w:rPr>
          <w:rFonts w:ascii="Times New Roman" w:hAnsi="Times New Roman"/>
          <w:sz w:val="24"/>
          <w:szCs w:val="24"/>
        </w:rPr>
        <w:t>s), da cúpula da burocracia sindical, de algumas entidades da sociedade civil e de parte da intelectualidade social-liberal.</w:t>
      </w:r>
    </w:p>
    <w:p w:rsidR="00A52871" w:rsidRPr="00791543" w:rsidRDefault="00D843EC" w:rsidP="00A50230">
      <w:pPr>
        <w:autoSpaceDE w:val="0"/>
        <w:autoSpaceDN w:val="0"/>
        <w:adjustRightInd w:val="0"/>
        <w:spacing w:after="0" w:line="360" w:lineRule="auto"/>
        <w:ind w:firstLine="708"/>
        <w:jc w:val="both"/>
        <w:rPr>
          <w:rFonts w:ascii="Times New Roman" w:hAnsi="Times New Roman"/>
          <w:sz w:val="24"/>
          <w:szCs w:val="24"/>
        </w:rPr>
      </w:pPr>
      <w:r w:rsidRPr="00791543">
        <w:rPr>
          <w:rFonts w:ascii="Times New Roman" w:hAnsi="Times New Roman"/>
          <w:sz w:val="24"/>
          <w:szCs w:val="24"/>
        </w:rPr>
        <w:t>O caminho da aprovação das matérias no CDES</w:t>
      </w:r>
      <w:r w:rsidR="00E86905" w:rsidRPr="00791543">
        <w:rPr>
          <w:rFonts w:ascii="Times New Roman" w:hAnsi="Times New Roman"/>
          <w:sz w:val="24"/>
          <w:szCs w:val="24"/>
        </w:rPr>
        <w:t>, ou seja,</w:t>
      </w:r>
      <w:r w:rsidR="00677471" w:rsidRPr="00791543">
        <w:rPr>
          <w:rFonts w:ascii="Times New Roman" w:hAnsi="Times New Roman"/>
          <w:sz w:val="24"/>
          <w:szCs w:val="24"/>
        </w:rPr>
        <w:t xml:space="preserve"> em que medida os conselheiros influíam na produção das pautas,</w:t>
      </w:r>
      <w:r w:rsidRPr="00791543">
        <w:rPr>
          <w:rFonts w:ascii="Times New Roman" w:hAnsi="Times New Roman"/>
          <w:sz w:val="24"/>
          <w:szCs w:val="24"/>
        </w:rPr>
        <w:t xml:space="preserve"> dependia das exigências e planos conjunturais do governo</w:t>
      </w:r>
      <w:r w:rsidR="00A50230" w:rsidRPr="00791543">
        <w:rPr>
          <w:rFonts w:ascii="Times New Roman" w:hAnsi="Times New Roman"/>
          <w:sz w:val="24"/>
          <w:szCs w:val="24"/>
        </w:rPr>
        <w:t xml:space="preserve"> e das pressões e reclames dos conselheiros</w:t>
      </w:r>
      <w:r w:rsidRPr="00791543">
        <w:rPr>
          <w:rFonts w:ascii="Times New Roman" w:hAnsi="Times New Roman"/>
          <w:sz w:val="24"/>
          <w:szCs w:val="24"/>
        </w:rPr>
        <w:t>.</w:t>
      </w:r>
      <w:r w:rsidR="00A52871" w:rsidRPr="00791543">
        <w:rPr>
          <w:rFonts w:ascii="Times New Roman" w:hAnsi="Times New Roman"/>
          <w:sz w:val="24"/>
          <w:szCs w:val="24"/>
        </w:rPr>
        <w:t xml:space="preserve"> A legislação era clara quanto à</w:t>
      </w:r>
      <w:r w:rsidRPr="00791543">
        <w:rPr>
          <w:rFonts w:ascii="Times New Roman" w:hAnsi="Times New Roman"/>
          <w:sz w:val="24"/>
          <w:szCs w:val="24"/>
        </w:rPr>
        <w:t xml:space="preserve"> prerrogativa do Executivo em ditar as pautas a serem discutidas pelas reuniões plenárias do CDES. Tarso Genro </w:t>
      </w:r>
      <w:r w:rsidR="00A50230" w:rsidRPr="00791543">
        <w:rPr>
          <w:rFonts w:ascii="Times New Roman" w:hAnsi="Times New Roman"/>
          <w:sz w:val="24"/>
          <w:szCs w:val="24"/>
        </w:rPr>
        <w:t xml:space="preserve">assegurou em entrevista </w:t>
      </w:r>
      <w:r w:rsidRPr="00791543">
        <w:rPr>
          <w:rFonts w:ascii="Times New Roman" w:hAnsi="Times New Roman"/>
          <w:sz w:val="24"/>
          <w:szCs w:val="24"/>
        </w:rPr>
        <w:t>que</w:t>
      </w:r>
      <w:r w:rsidR="00A50230" w:rsidRPr="00791543">
        <w:rPr>
          <w:rFonts w:ascii="Times New Roman" w:hAnsi="Times New Roman"/>
          <w:sz w:val="24"/>
          <w:szCs w:val="24"/>
        </w:rPr>
        <w:t xml:space="preserve"> “de fato a agenda de trabalho é determinada pelo Presidente da República, mas os conselheiros podem discutir livremente temas relacionados ao desenvolvimento econômico e social do país”.</w:t>
      </w:r>
      <w:r w:rsidR="00A50230" w:rsidRPr="00791543">
        <w:rPr>
          <w:rStyle w:val="Refdenotaderodap"/>
          <w:rFonts w:ascii="Times New Roman" w:hAnsi="Times New Roman"/>
          <w:sz w:val="24"/>
          <w:szCs w:val="24"/>
        </w:rPr>
        <w:footnoteReference w:id="98"/>
      </w:r>
      <w:r w:rsidR="00A50230" w:rsidRPr="00791543">
        <w:rPr>
          <w:rFonts w:ascii="Times New Roman" w:hAnsi="Times New Roman"/>
          <w:sz w:val="24"/>
          <w:szCs w:val="24"/>
        </w:rPr>
        <w:t xml:space="preserve"> O controle sobre as pautas a serem debatidas nas plenárias pela SEDES era</w:t>
      </w:r>
      <w:r w:rsidR="0079572D" w:rsidRPr="00791543">
        <w:rPr>
          <w:rFonts w:ascii="Times New Roman" w:hAnsi="Times New Roman"/>
          <w:sz w:val="24"/>
          <w:szCs w:val="24"/>
        </w:rPr>
        <w:t xml:space="preserve"> evidente, principalmente durante os </w:t>
      </w:r>
      <w:r w:rsidR="00A52871" w:rsidRPr="00791543">
        <w:rPr>
          <w:rFonts w:ascii="Times New Roman" w:hAnsi="Times New Roman"/>
          <w:sz w:val="24"/>
          <w:szCs w:val="24"/>
        </w:rPr>
        <w:t>três primeiros semestre</w:t>
      </w:r>
      <w:r w:rsidR="008052FA" w:rsidRPr="00791543">
        <w:rPr>
          <w:rFonts w:ascii="Times New Roman" w:hAnsi="Times New Roman"/>
          <w:sz w:val="24"/>
          <w:szCs w:val="24"/>
        </w:rPr>
        <w:t>s</w:t>
      </w:r>
      <w:r w:rsidR="0079572D" w:rsidRPr="00791543">
        <w:rPr>
          <w:rFonts w:ascii="Times New Roman" w:hAnsi="Times New Roman"/>
          <w:sz w:val="24"/>
          <w:szCs w:val="24"/>
        </w:rPr>
        <w:t xml:space="preserve"> de funcionamento do Conselho.</w:t>
      </w:r>
      <w:r w:rsidR="00470FD0" w:rsidRPr="00791543">
        <w:rPr>
          <w:rFonts w:ascii="Times New Roman" w:hAnsi="Times New Roman"/>
          <w:sz w:val="24"/>
          <w:szCs w:val="24"/>
        </w:rPr>
        <w:t xml:space="preserve"> 2003 foi o ano </w:t>
      </w:r>
      <w:r w:rsidR="0079572D" w:rsidRPr="00791543">
        <w:rPr>
          <w:rFonts w:ascii="Times New Roman" w:hAnsi="Times New Roman"/>
          <w:sz w:val="24"/>
          <w:szCs w:val="24"/>
        </w:rPr>
        <w:t>de implantação d</w:t>
      </w:r>
      <w:r w:rsidR="00470FD0" w:rsidRPr="00791543">
        <w:rPr>
          <w:rFonts w:ascii="Times New Roman" w:hAnsi="Times New Roman"/>
          <w:sz w:val="24"/>
          <w:szCs w:val="24"/>
        </w:rPr>
        <w:t>as</w:t>
      </w:r>
      <w:r w:rsidR="0079572D" w:rsidRPr="00791543">
        <w:rPr>
          <w:rFonts w:ascii="Times New Roman" w:hAnsi="Times New Roman"/>
          <w:sz w:val="24"/>
          <w:szCs w:val="24"/>
        </w:rPr>
        <w:t xml:space="preserve"> contrarreformas e de aprofundamento dos ajustes macroeconômicos mon</w:t>
      </w:r>
      <w:r w:rsidR="00775C93">
        <w:rPr>
          <w:rFonts w:ascii="Times New Roman" w:hAnsi="Times New Roman"/>
          <w:sz w:val="24"/>
          <w:szCs w:val="24"/>
        </w:rPr>
        <w:t>e</w:t>
      </w:r>
      <w:r w:rsidR="0079572D" w:rsidRPr="00791543">
        <w:rPr>
          <w:rFonts w:ascii="Times New Roman" w:hAnsi="Times New Roman"/>
          <w:sz w:val="24"/>
          <w:szCs w:val="24"/>
        </w:rPr>
        <w:t xml:space="preserve">taristas e o governo </w:t>
      </w:r>
      <w:r w:rsidR="006F4873" w:rsidRPr="00791543">
        <w:rPr>
          <w:rFonts w:ascii="Times New Roman" w:hAnsi="Times New Roman"/>
          <w:sz w:val="24"/>
          <w:szCs w:val="24"/>
        </w:rPr>
        <w:t>se valeu da legitimação dada pelo</w:t>
      </w:r>
      <w:r w:rsidR="0079572D" w:rsidRPr="00791543">
        <w:rPr>
          <w:rFonts w:ascii="Times New Roman" w:hAnsi="Times New Roman"/>
          <w:sz w:val="24"/>
          <w:szCs w:val="24"/>
        </w:rPr>
        <w:t xml:space="preserve"> CDES para facilitar a tramitação</w:t>
      </w:r>
      <w:r w:rsidR="00470FD0" w:rsidRPr="00791543">
        <w:rPr>
          <w:rFonts w:ascii="Times New Roman" w:hAnsi="Times New Roman"/>
          <w:sz w:val="24"/>
          <w:szCs w:val="24"/>
        </w:rPr>
        <w:t xml:space="preserve"> e aprovação</w:t>
      </w:r>
      <w:r w:rsidR="0079572D" w:rsidRPr="00791543">
        <w:rPr>
          <w:rFonts w:ascii="Times New Roman" w:hAnsi="Times New Roman"/>
          <w:sz w:val="24"/>
          <w:szCs w:val="24"/>
        </w:rPr>
        <w:t xml:space="preserve"> de seus projetos no Congresso Nacional. </w:t>
      </w:r>
      <w:r w:rsidR="00D8621D" w:rsidRPr="00791543">
        <w:rPr>
          <w:rFonts w:ascii="Times New Roman" w:hAnsi="Times New Roman"/>
          <w:sz w:val="24"/>
          <w:szCs w:val="24"/>
        </w:rPr>
        <w:t>O mesmo se deu com a formulação do</w:t>
      </w:r>
      <w:r w:rsidR="00470FD0" w:rsidRPr="00791543">
        <w:rPr>
          <w:rFonts w:ascii="Times New Roman" w:hAnsi="Times New Roman"/>
          <w:sz w:val="24"/>
          <w:szCs w:val="24"/>
        </w:rPr>
        <w:t xml:space="preserve"> Plano Plur</w:t>
      </w:r>
      <w:r w:rsidR="008C43DD" w:rsidRPr="00791543">
        <w:rPr>
          <w:rFonts w:ascii="Times New Roman" w:hAnsi="Times New Roman"/>
          <w:sz w:val="24"/>
          <w:szCs w:val="24"/>
        </w:rPr>
        <w:t>ianual 2004-2007</w:t>
      </w:r>
      <w:r w:rsidR="00470FD0" w:rsidRPr="00791543">
        <w:rPr>
          <w:rFonts w:ascii="Times New Roman" w:hAnsi="Times New Roman"/>
          <w:sz w:val="24"/>
          <w:szCs w:val="24"/>
        </w:rPr>
        <w:t xml:space="preserve">. </w:t>
      </w:r>
      <w:r w:rsidR="008C43DD" w:rsidRPr="00791543">
        <w:rPr>
          <w:rFonts w:ascii="Times New Roman" w:hAnsi="Times New Roman"/>
          <w:sz w:val="24"/>
          <w:szCs w:val="24"/>
        </w:rPr>
        <w:t xml:space="preserve">Este período inicial também compreendeu a construção das Cartas de Concertação, sob demanda da SEDES. </w:t>
      </w:r>
    </w:p>
    <w:p w:rsidR="0079572D" w:rsidRPr="00791543" w:rsidRDefault="00F5157E" w:rsidP="00A50230">
      <w:pPr>
        <w:autoSpaceDE w:val="0"/>
        <w:autoSpaceDN w:val="0"/>
        <w:adjustRightInd w:val="0"/>
        <w:spacing w:after="0" w:line="360" w:lineRule="auto"/>
        <w:ind w:firstLine="708"/>
        <w:jc w:val="both"/>
        <w:rPr>
          <w:rFonts w:ascii="Times New Roman" w:hAnsi="Times New Roman"/>
          <w:sz w:val="24"/>
          <w:szCs w:val="24"/>
        </w:rPr>
      </w:pPr>
      <w:r w:rsidRPr="00791543">
        <w:rPr>
          <w:rFonts w:ascii="Times New Roman" w:hAnsi="Times New Roman"/>
          <w:sz w:val="24"/>
          <w:szCs w:val="24"/>
        </w:rPr>
        <w:t xml:space="preserve">Desde inícios de </w:t>
      </w:r>
      <w:r w:rsidR="00470FD0" w:rsidRPr="00791543">
        <w:rPr>
          <w:rFonts w:ascii="Times New Roman" w:hAnsi="Times New Roman"/>
          <w:sz w:val="24"/>
          <w:szCs w:val="24"/>
        </w:rPr>
        <w:t>2004, os conselheiros começa</w:t>
      </w:r>
      <w:r w:rsidR="006F4873" w:rsidRPr="00791543">
        <w:rPr>
          <w:rFonts w:ascii="Times New Roman" w:hAnsi="Times New Roman"/>
          <w:sz w:val="24"/>
          <w:szCs w:val="24"/>
        </w:rPr>
        <w:t>ra</w:t>
      </w:r>
      <w:r w:rsidR="00470FD0" w:rsidRPr="00791543">
        <w:rPr>
          <w:rFonts w:ascii="Times New Roman" w:hAnsi="Times New Roman"/>
          <w:sz w:val="24"/>
          <w:szCs w:val="24"/>
        </w:rPr>
        <w:t xml:space="preserve">m a tecer fortes críticas quanto a este mecanismo de funcionamento, pois queriam inserir pautas e discutir agendas de seus interesses e, em virtude disso, </w:t>
      </w:r>
      <w:r w:rsidR="00677471" w:rsidRPr="00791543">
        <w:rPr>
          <w:rFonts w:ascii="Times New Roman" w:hAnsi="Times New Roman"/>
          <w:sz w:val="24"/>
          <w:szCs w:val="24"/>
        </w:rPr>
        <w:t>a SEDES coloca</w:t>
      </w:r>
      <w:r w:rsidR="00470FD0" w:rsidRPr="00791543">
        <w:rPr>
          <w:rFonts w:ascii="Times New Roman" w:hAnsi="Times New Roman"/>
          <w:sz w:val="24"/>
          <w:szCs w:val="24"/>
        </w:rPr>
        <w:t xml:space="preserve"> o processo de construção da Agenda Nacional de Desenvolvimento (AND)</w:t>
      </w:r>
      <w:r w:rsidR="00677471" w:rsidRPr="00791543">
        <w:rPr>
          <w:rFonts w:ascii="Times New Roman" w:hAnsi="Times New Roman"/>
          <w:sz w:val="24"/>
          <w:szCs w:val="24"/>
        </w:rPr>
        <w:t xml:space="preserve"> no núcleo da agenda do Conselho</w:t>
      </w:r>
      <w:r w:rsidR="00470FD0" w:rsidRPr="00791543">
        <w:rPr>
          <w:rFonts w:ascii="Times New Roman" w:hAnsi="Times New Roman"/>
          <w:sz w:val="24"/>
          <w:szCs w:val="24"/>
        </w:rPr>
        <w:t xml:space="preserve">. </w:t>
      </w:r>
      <w:r w:rsidR="00677471" w:rsidRPr="00791543">
        <w:rPr>
          <w:rFonts w:ascii="Times New Roman" w:hAnsi="Times New Roman"/>
          <w:sz w:val="24"/>
          <w:szCs w:val="24"/>
        </w:rPr>
        <w:t>De 2004 a</w:t>
      </w:r>
      <w:r w:rsidRPr="00791543">
        <w:rPr>
          <w:rFonts w:ascii="Times New Roman" w:hAnsi="Times New Roman"/>
          <w:sz w:val="24"/>
          <w:szCs w:val="24"/>
        </w:rPr>
        <w:t xml:space="preserve"> 2007, a SEDES continuou pautando as agendas a serem discutidas </w:t>
      </w:r>
      <w:r w:rsidR="009A4AFE" w:rsidRPr="00791543">
        <w:rPr>
          <w:rFonts w:ascii="Times New Roman" w:hAnsi="Times New Roman"/>
          <w:sz w:val="24"/>
          <w:szCs w:val="24"/>
        </w:rPr>
        <w:t>nas plenárias</w:t>
      </w:r>
      <w:r w:rsidRPr="00791543">
        <w:rPr>
          <w:rFonts w:ascii="Times New Roman" w:hAnsi="Times New Roman"/>
          <w:sz w:val="24"/>
          <w:szCs w:val="24"/>
        </w:rPr>
        <w:t xml:space="preserve">, </w:t>
      </w:r>
      <w:r w:rsidR="009A4AFE" w:rsidRPr="00791543">
        <w:rPr>
          <w:rFonts w:ascii="Times New Roman" w:hAnsi="Times New Roman"/>
          <w:sz w:val="24"/>
          <w:szCs w:val="24"/>
        </w:rPr>
        <w:t xml:space="preserve">muitas ao encontro </w:t>
      </w:r>
      <w:r w:rsidR="006F4873" w:rsidRPr="00791543">
        <w:rPr>
          <w:rFonts w:ascii="Times New Roman" w:hAnsi="Times New Roman"/>
          <w:sz w:val="24"/>
          <w:szCs w:val="24"/>
        </w:rPr>
        <w:t xml:space="preserve">do que o empresariado esperava e, além disso, </w:t>
      </w:r>
      <w:r w:rsidR="009A4AFE" w:rsidRPr="00791543">
        <w:rPr>
          <w:rFonts w:ascii="Times New Roman" w:hAnsi="Times New Roman"/>
          <w:sz w:val="24"/>
          <w:szCs w:val="24"/>
        </w:rPr>
        <w:t>os conselheiros consegui</w:t>
      </w:r>
      <w:r w:rsidR="006F4873" w:rsidRPr="00791543">
        <w:rPr>
          <w:rFonts w:ascii="Times New Roman" w:hAnsi="Times New Roman"/>
          <w:sz w:val="24"/>
          <w:szCs w:val="24"/>
        </w:rPr>
        <w:t>r</w:t>
      </w:r>
      <w:r w:rsidR="009A4AFE" w:rsidRPr="00791543">
        <w:rPr>
          <w:rFonts w:ascii="Times New Roman" w:hAnsi="Times New Roman"/>
          <w:sz w:val="24"/>
          <w:szCs w:val="24"/>
        </w:rPr>
        <w:t xml:space="preserve">am inserir nelas </w:t>
      </w:r>
      <w:r w:rsidR="006F4873" w:rsidRPr="00791543">
        <w:rPr>
          <w:rFonts w:ascii="Times New Roman" w:hAnsi="Times New Roman"/>
          <w:sz w:val="24"/>
          <w:szCs w:val="24"/>
        </w:rPr>
        <w:t xml:space="preserve">algumas </w:t>
      </w:r>
      <w:r w:rsidR="009A4AFE" w:rsidRPr="00791543">
        <w:rPr>
          <w:rFonts w:ascii="Times New Roman" w:hAnsi="Times New Roman"/>
          <w:sz w:val="24"/>
          <w:szCs w:val="24"/>
        </w:rPr>
        <w:t xml:space="preserve">discussões </w:t>
      </w:r>
      <w:r w:rsidR="006F4873" w:rsidRPr="00791543">
        <w:rPr>
          <w:rFonts w:ascii="Times New Roman" w:hAnsi="Times New Roman"/>
          <w:sz w:val="24"/>
          <w:szCs w:val="24"/>
        </w:rPr>
        <w:t xml:space="preserve">que </w:t>
      </w:r>
      <w:r w:rsidR="009A4AFE" w:rsidRPr="00791543">
        <w:rPr>
          <w:rFonts w:ascii="Times New Roman" w:hAnsi="Times New Roman"/>
          <w:sz w:val="24"/>
          <w:szCs w:val="24"/>
        </w:rPr>
        <w:t xml:space="preserve">atendessem seus interesses (Educação, Desonerações, Reforma Tributária, Reforma Política, Política Industrial, </w:t>
      </w:r>
      <w:r w:rsidR="008052FA" w:rsidRPr="00791543">
        <w:rPr>
          <w:rFonts w:ascii="Times New Roman" w:hAnsi="Times New Roman"/>
          <w:sz w:val="24"/>
          <w:szCs w:val="24"/>
        </w:rPr>
        <w:t xml:space="preserve">Políticas para Micro e Pequenas Empresas, </w:t>
      </w:r>
      <w:r w:rsidR="009A4AFE" w:rsidRPr="00791543">
        <w:rPr>
          <w:rFonts w:ascii="Times New Roman" w:hAnsi="Times New Roman"/>
          <w:sz w:val="24"/>
          <w:szCs w:val="24"/>
        </w:rPr>
        <w:t xml:space="preserve">Proposta de Ampliação do CMN, </w:t>
      </w:r>
      <w:r w:rsidR="008052FA" w:rsidRPr="00791543">
        <w:rPr>
          <w:rFonts w:ascii="Times New Roman" w:hAnsi="Times New Roman"/>
          <w:sz w:val="24"/>
          <w:szCs w:val="24"/>
        </w:rPr>
        <w:t xml:space="preserve">Financiamento </w:t>
      </w:r>
      <w:r w:rsidR="007651EE" w:rsidRPr="00791543">
        <w:rPr>
          <w:rFonts w:ascii="Times New Roman" w:hAnsi="Times New Roman"/>
          <w:sz w:val="24"/>
          <w:szCs w:val="24"/>
        </w:rPr>
        <w:t>para a</w:t>
      </w:r>
      <w:r w:rsidR="008052FA" w:rsidRPr="00791543">
        <w:rPr>
          <w:rFonts w:ascii="Times New Roman" w:hAnsi="Times New Roman"/>
          <w:sz w:val="24"/>
          <w:szCs w:val="24"/>
        </w:rPr>
        <w:t xml:space="preserve"> Infraestrutura, Política Creditícia, </w:t>
      </w:r>
      <w:r w:rsidR="009A4AFE" w:rsidRPr="00791543">
        <w:rPr>
          <w:rFonts w:ascii="Times New Roman" w:hAnsi="Times New Roman"/>
          <w:sz w:val="24"/>
          <w:szCs w:val="24"/>
        </w:rPr>
        <w:t xml:space="preserve">etc). Apenas a partir 2008, com a formação do Comitê Gestor, </w:t>
      </w:r>
      <w:r w:rsidR="009B753E" w:rsidRPr="00791543">
        <w:rPr>
          <w:rFonts w:ascii="Times New Roman" w:hAnsi="Times New Roman"/>
          <w:sz w:val="24"/>
          <w:szCs w:val="24"/>
        </w:rPr>
        <w:t>grupos de</w:t>
      </w:r>
      <w:r w:rsidR="009A4AFE" w:rsidRPr="00791543">
        <w:rPr>
          <w:rFonts w:ascii="Times New Roman" w:hAnsi="Times New Roman"/>
          <w:sz w:val="24"/>
          <w:szCs w:val="24"/>
        </w:rPr>
        <w:t xml:space="preserve"> conselheiros</w:t>
      </w:r>
      <w:r w:rsidR="009B753E" w:rsidRPr="00791543">
        <w:rPr>
          <w:rFonts w:ascii="Times New Roman" w:hAnsi="Times New Roman"/>
          <w:sz w:val="24"/>
          <w:szCs w:val="24"/>
        </w:rPr>
        <w:t xml:space="preserve"> eleitos em plenária e com mandatos semestrais,</w:t>
      </w:r>
      <w:r w:rsidR="009A4AFE" w:rsidRPr="00791543">
        <w:rPr>
          <w:rFonts w:ascii="Times New Roman" w:hAnsi="Times New Roman"/>
          <w:sz w:val="24"/>
          <w:szCs w:val="24"/>
        </w:rPr>
        <w:t xml:space="preserve"> começa</w:t>
      </w:r>
      <w:r w:rsidR="006F4873" w:rsidRPr="00791543">
        <w:rPr>
          <w:rFonts w:ascii="Times New Roman" w:hAnsi="Times New Roman"/>
          <w:sz w:val="24"/>
          <w:szCs w:val="24"/>
        </w:rPr>
        <w:t>ra</w:t>
      </w:r>
      <w:r w:rsidR="009A4AFE" w:rsidRPr="00791543">
        <w:rPr>
          <w:rFonts w:ascii="Times New Roman" w:hAnsi="Times New Roman"/>
          <w:sz w:val="24"/>
          <w:szCs w:val="24"/>
        </w:rPr>
        <w:t xml:space="preserve">m </w:t>
      </w:r>
      <w:r w:rsidR="00A52871" w:rsidRPr="00791543">
        <w:rPr>
          <w:rFonts w:ascii="Times New Roman" w:hAnsi="Times New Roman"/>
          <w:sz w:val="24"/>
          <w:szCs w:val="24"/>
        </w:rPr>
        <w:t xml:space="preserve">a </w:t>
      </w:r>
      <w:r w:rsidR="009A4AFE" w:rsidRPr="00791543">
        <w:rPr>
          <w:rFonts w:ascii="Times New Roman" w:hAnsi="Times New Roman"/>
          <w:sz w:val="24"/>
          <w:szCs w:val="24"/>
        </w:rPr>
        <w:t xml:space="preserve">formular, em </w:t>
      </w:r>
      <w:r w:rsidR="008052FA" w:rsidRPr="00791543">
        <w:rPr>
          <w:rFonts w:ascii="Times New Roman" w:hAnsi="Times New Roman"/>
          <w:sz w:val="24"/>
          <w:szCs w:val="24"/>
        </w:rPr>
        <w:t>parceria</w:t>
      </w:r>
      <w:r w:rsidR="009A4AFE" w:rsidRPr="00791543">
        <w:rPr>
          <w:rFonts w:ascii="Times New Roman" w:hAnsi="Times New Roman"/>
          <w:sz w:val="24"/>
          <w:szCs w:val="24"/>
        </w:rPr>
        <w:t xml:space="preserve"> com a SEDES, as pautas e os mecanismos de funcionamento do Conselho.</w:t>
      </w:r>
    </w:p>
    <w:p w:rsidR="00D843EC" w:rsidRPr="00791543" w:rsidRDefault="009A4AFE" w:rsidP="006F4873">
      <w:pPr>
        <w:autoSpaceDE w:val="0"/>
        <w:autoSpaceDN w:val="0"/>
        <w:adjustRightInd w:val="0"/>
        <w:spacing w:after="0" w:line="360" w:lineRule="auto"/>
        <w:ind w:firstLine="708"/>
        <w:jc w:val="both"/>
        <w:rPr>
          <w:rFonts w:ascii="Times New Roman" w:hAnsi="Times New Roman"/>
          <w:sz w:val="24"/>
          <w:szCs w:val="24"/>
        </w:rPr>
      </w:pPr>
      <w:r w:rsidRPr="00791543">
        <w:rPr>
          <w:rFonts w:ascii="Times New Roman" w:hAnsi="Times New Roman"/>
          <w:sz w:val="24"/>
          <w:szCs w:val="24"/>
        </w:rPr>
        <w:t xml:space="preserve">Portanto, </w:t>
      </w:r>
      <w:r w:rsidR="00D8621D" w:rsidRPr="00791543">
        <w:rPr>
          <w:rFonts w:ascii="Times New Roman" w:hAnsi="Times New Roman"/>
          <w:sz w:val="24"/>
          <w:szCs w:val="24"/>
        </w:rPr>
        <w:t>a organização do Conselho (em termos de direção administrativa) ficou, durante o período pesquisado, sempre a cargo da sua Secretaria</w:t>
      </w:r>
      <w:r w:rsidR="00434415" w:rsidRPr="00791543">
        <w:rPr>
          <w:rFonts w:ascii="Times New Roman" w:hAnsi="Times New Roman"/>
          <w:sz w:val="24"/>
          <w:szCs w:val="24"/>
        </w:rPr>
        <w:t xml:space="preserve">, mas ela foi </w:t>
      </w:r>
      <w:r w:rsidR="00677471" w:rsidRPr="00791543">
        <w:rPr>
          <w:rFonts w:ascii="Times New Roman" w:hAnsi="Times New Roman"/>
          <w:sz w:val="24"/>
          <w:szCs w:val="24"/>
        </w:rPr>
        <w:t xml:space="preserve">sendo </w:t>
      </w:r>
      <w:r w:rsidR="00434415" w:rsidRPr="00791543">
        <w:rPr>
          <w:rFonts w:ascii="Times New Roman" w:hAnsi="Times New Roman"/>
          <w:sz w:val="24"/>
          <w:szCs w:val="24"/>
        </w:rPr>
        <w:t>progressivamente descentralizada</w:t>
      </w:r>
      <w:r w:rsidR="006F4873" w:rsidRPr="00791543">
        <w:rPr>
          <w:rFonts w:ascii="Times New Roman" w:hAnsi="Times New Roman"/>
          <w:sz w:val="24"/>
          <w:szCs w:val="24"/>
        </w:rPr>
        <w:t xml:space="preserve">. </w:t>
      </w:r>
      <w:r w:rsidR="00434415" w:rsidRPr="00791543">
        <w:rPr>
          <w:rFonts w:ascii="Times New Roman" w:hAnsi="Times New Roman"/>
          <w:sz w:val="24"/>
          <w:szCs w:val="24"/>
        </w:rPr>
        <w:t>A</w:t>
      </w:r>
      <w:r w:rsidR="006F4873" w:rsidRPr="00791543">
        <w:rPr>
          <w:rFonts w:ascii="Times New Roman" w:hAnsi="Times New Roman"/>
          <w:sz w:val="24"/>
          <w:szCs w:val="24"/>
        </w:rPr>
        <w:t xml:space="preserve"> direção do CDES atravessou três períodos: num primeiro momento, o CDES era fundamental para legitimar as contrarreformas do governo</w:t>
      </w:r>
      <w:r w:rsidR="00A52871" w:rsidRPr="00791543">
        <w:rPr>
          <w:rFonts w:ascii="Times New Roman" w:hAnsi="Times New Roman"/>
          <w:sz w:val="24"/>
          <w:szCs w:val="24"/>
        </w:rPr>
        <w:t xml:space="preserve"> e, por conta disso, a Secretaria impunha suas pautas</w:t>
      </w:r>
      <w:r w:rsidR="007651EE" w:rsidRPr="00791543">
        <w:rPr>
          <w:rFonts w:ascii="Times New Roman" w:hAnsi="Times New Roman"/>
          <w:sz w:val="24"/>
          <w:szCs w:val="24"/>
        </w:rPr>
        <w:t>;</w:t>
      </w:r>
      <w:r w:rsidR="006F4873" w:rsidRPr="00791543">
        <w:rPr>
          <w:rFonts w:ascii="Times New Roman" w:hAnsi="Times New Roman"/>
          <w:sz w:val="24"/>
          <w:szCs w:val="24"/>
        </w:rPr>
        <w:t xml:space="preserve"> depois o governo concede</w:t>
      </w:r>
      <w:r w:rsidR="008052FA" w:rsidRPr="00791543">
        <w:rPr>
          <w:rFonts w:ascii="Times New Roman" w:hAnsi="Times New Roman"/>
          <w:sz w:val="24"/>
          <w:szCs w:val="24"/>
        </w:rPr>
        <w:t>u</w:t>
      </w:r>
      <w:r w:rsidR="006F4873" w:rsidRPr="00791543">
        <w:rPr>
          <w:rFonts w:ascii="Times New Roman" w:hAnsi="Times New Roman"/>
          <w:sz w:val="24"/>
          <w:szCs w:val="24"/>
        </w:rPr>
        <w:t xml:space="preserve"> que certos </w:t>
      </w:r>
      <w:r w:rsidR="008052FA" w:rsidRPr="00791543">
        <w:rPr>
          <w:rFonts w:ascii="Times New Roman" w:hAnsi="Times New Roman"/>
          <w:sz w:val="24"/>
          <w:szCs w:val="24"/>
        </w:rPr>
        <w:t>assuntos</w:t>
      </w:r>
      <w:r w:rsidR="006F4873" w:rsidRPr="00791543">
        <w:rPr>
          <w:rFonts w:ascii="Times New Roman" w:hAnsi="Times New Roman"/>
          <w:sz w:val="24"/>
          <w:szCs w:val="24"/>
        </w:rPr>
        <w:t xml:space="preserve"> pass</w:t>
      </w:r>
      <w:r w:rsidR="008052FA" w:rsidRPr="00791543">
        <w:rPr>
          <w:rFonts w:ascii="Times New Roman" w:hAnsi="Times New Roman"/>
          <w:sz w:val="24"/>
          <w:szCs w:val="24"/>
        </w:rPr>
        <w:t>assem</w:t>
      </w:r>
      <w:r w:rsidR="006F4873" w:rsidRPr="00791543">
        <w:rPr>
          <w:rFonts w:ascii="Times New Roman" w:hAnsi="Times New Roman"/>
          <w:sz w:val="24"/>
          <w:szCs w:val="24"/>
        </w:rPr>
        <w:t xml:space="preserve"> a compôr </w:t>
      </w:r>
      <w:r w:rsidR="008052FA" w:rsidRPr="00791543">
        <w:rPr>
          <w:rFonts w:ascii="Times New Roman" w:hAnsi="Times New Roman"/>
          <w:sz w:val="24"/>
          <w:szCs w:val="24"/>
        </w:rPr>
        <w:t>com</w:t>
      </w:r>
      <w:r w:rsidR="009B753E" w:rsidRPr="00791543">
        <w:rPr>
          <w:rFonts w:ascii="Times New Roman" w:hAnsi="Times New Roman"/>
          <w:sz w:val="24"/>
          <w:szCs w:val="24"/>
        </w:rPr>
        <w:t xml:space="preserve"> as pautas</w:t>
      </w:r>
      <w:r w:rsidR="00A52871" w:rsidRPr="00791543">
        <w:rPr>
          <w:rFonts w:ascii="Times New Roman" w:hAnsi="Times New Roman"/>
          <w:sz w:val="24"/>
          <w:szCs w:val="24"/>
        </w:rPr>
        <w:t>da</w:t>
      </w:r>
      <w:r w:rsidR="006F4873" w:rsidRPr="00791543">
        <w:rPr>
          <w:rFonts w:ascii="Times New Roman" w:hAnsi="Times New Roman"/>
          <w:sz w:val="24"/>
          <w:szCs w:val="24"/>
        </w:rPr>
        <w:t xml:space="preserve"> Secretaria </w:t>
      </w:r>
      <w:r w:rsidR="00434415" w:rsidRPr="00791543">
        <w:rPr>
          <w:rFonts w:ascii="Times New Roman" w:hAnsi="Times New Roman"/>
          <w:sz w:val="24"/>
          <w:szCs w:val="24"/>
        </w:rPr>
        <w:t>(fala de Tarso Genro acima);</w:t>
      </w:r>
      <w:r w:rsidR="006F4873" w:rsidRPr="00791543">
        <w:rPr>
          <w:rFonts w:ascii="Times New Roman" w:hAnsi="Times New Roman"/>
          <w:sz w:val="24"/>
          <w:szCs w:val="24"/>
        </w:rPr>
        <w:t xml:space="preserve"> após 2008, </w:t>
      </w:r>
      <w:r w:rsidR="007651EE" w:rsidRPr="00791543">
        <w:rPr>
          <w:rFonts w:ascii="Times New Roman" w:hAnsi="Times New Roman"/>
          <w:sz w:val="24"/>
          <w:szCs w:val="24"/>
        </w:rPr>
        <w:t xml:space="preserve">grupo de </w:t>
      </w:r>
      <w:r w:rsidR="006F4873" w:rsidRPr="00791543">
        <w:rPr>
          <w:rFonts w:ascii="Times New Roman" w:hAnsi="Times New Roman"/>
          <w:sz w:val="24"/>
          <w:szCs w:val="24"/>
        </w:rPr>
        <w:t xml:space="preserve">conselheiros e SEDES </w:t>
      </w:r>
      <w:r w:rsidR="00A52871" w:rsidRPr="00791543">
        <w:rPr>
          <w:rFonts w:ascii="Times New Roman" w:hAnsi="Times New Roman"/>
          <w:sz w:val="24"/>
          <w:szCs w:val="24"/>
        </w:rPr>
        <w:t>compartilha</w:t>
      </w:r>
      <w:r w:rsidR="008052FA" w:rsidRPr="00791543">
        <w:rPr>
          <w:rFonts w:ascii="Times New Roman" w:hAnsi="Times New Roman"/>
          <w:sz w:val="24"/>
          <w:szCs w:val="24"/>
        </w:rPr>
        <w:t>va</w:t>
      </w:r>
      <w:r w:rsidR="00A52871" w:rsidRPr="00791543">
        <w:rPr>
          <w:rFonts w:ascii="Times New Roman" w:hAnsi="Times New Roman"/>
          <w:sz w:val="24"/>
          <w:szCs w:val="24"/>
        </w:rPr>
        <w:t>m</w:t>
      </w:r>
      <w:r w:rsidR="008052FA" w:rsidRPr="00791543">
        <w:rPr>
          <w:rFonts w:ascii="Times New Roman" w:hAnsi="Times New Roman"/>
          <w:sz w:val="24"/>
          <w:szCs w:val="24"/>
        </w:rPr>
        <w:t xml:space="preserve">institucionalmente </w:t>
      </w:r>
      <w:r w:rsidR="006F4873" w:rsidRPr="00791543">
        <w:rPr>
          <w:rFonts w:ascii="Times New Roman" w:hAnsi="Times New Roman"/>
          <w:sz w:val="24"/>
          <w:szCs w:val="24"/>
        </w:rPr>
        <w:t>os temas das pautas e o</w:t>
      </w:r>
      <w:r w:rsidR="00A52871" w:rsidRPr="00791543">
        <w:rPr>
          <w:rFonts w:ascii="Times New Roman" w:hAnsi="Times New Roman"/>
          <w:sz w:val="24"/>
          <w:szCs w:val="24"/>
        </w:rPr>
        <w:t xml:space="preserve"> método de</w:t>
      </w:r>
      <w:r w:rsidR="006F4873" w:rsidRPr="00791543">
        <w:rPr>
          <w:rFonts w:ascii="Times New Roman" w:hAnsi="Times New Roman"/>
          <w:sz w:val="24"/>
          <w:szCs w:val="24"/>
        </w:rPr>
        <w:t xml:space="preserve"> funcionamento do Conselho</w:t>
      </w:r>
      <w:r w:rsidR="008052FA" w:rsidRPr="00791543">
        <w:rPr>
          <w:rFonts w:ascii="Times New Roman" w:hAnsi="Times New Roman"/>
          <w:sz w:val="24"/>
          <w:szCs w:val="24"/>
        </w:rPr>
        <w:t>,</w:t>
      </w:r>
      <w:r w:rsidR="00A52871" w:rsidRPr="00791543">
        <w:rPr>
          <w:rFonts w:ascii="Times New Roman" w:hAnsi="Times New Roman"/>
          <w:sz w:val="24"/>
          <w:szCs w:val="24"/>
        </w:rPr>
        <w:t xml:space="preserve"> não </w:t>
      </w:r>
      <w:r w:rsidR="008052FA" w:rsidRPr="00791543">
        <w:rPr>
          <w:rFonts w:ascii="Times New Roman" w:hAnsi="Times New Roman"/>
          <w:sz w:val="24"/>
          <w:szCs w:val="24"/>
        </w:rPr>
        <w:t xml:space="preserve">mais </w:t>
      </w:r>
      <w:r w:rsidR="00A52871" w:rsidRPr="00791543">
        <w:rPr>
          <w:rFonts w:ascii="Times New Roman" w:hAnsi="Times New Roman"/>
          <w:sz w:val="24"/>
          <w:szCs w:val="24"/>
        </w:rPr>
        <w:t xml:space="preserve">como resultado das </w:t>
      </w:r>
      <w:r w:rsidR="008052FA" w:rsidRPr="00791543">
        <w:rPr>
          <w:rFonts w:ascii="Times New Roman" w:hAnsi="Times New Roman"/>
          <w:sz w:val="24"/>
          <w:szCs w:val="24"/>
        </w:rPr>
        <w:t>inserções de assuntos</w:t>
      </w:r>
      <w:r w:rsidR="009B753E" w:rsidRPr="00791543">
        <w:rPr>
          <w:rFonts w:ascii="Times New Roman" w:hAnsi="Times New Roman"/>
          <w:sz w:val="24"/>
          <w:szCs w:val="24"/>
        </w:rPr>
        <w:t xml:space="preserve"> nas pautas elaboradas pela</w:t>
      </w:r>
      <w:r w:rsidR="00A52871" w:rsidRPr="00791543">
        <w:rPr>
          <w:rFonts w:ascii="Times New Roman" w:hAnsi="Times New Roman"/>
          <w:sz w:val="24"/>
          <w:szCs w:val="24"/>
        </w:rPr>
        <w:t xml:space="preserve"> SEDES, mas como acordo</w:t>
      </w:r>
      <w:r w:rsidR="009B753E" w:rsidRPr="00791543">
        <w:rPr>
          <w:rFonts w:ascii="Times New Roman" w:hAnsi="Times New Roman"/>
          <w:sz w:val="24"/>
          <w:szCs w:val="24"/>
        </w:rPr>
        <w:t xml:space="preserve"> formalizado e institucionalizado.</w:t>
      </w:r>
      <w:r w:rsidR="00A52871" w:rsidRPr="00791543">
        <w:rPr>
          <w:rFonts w:ascii="Times New Roman" w:hAnsi="Times New Roman"/>
          <w:sz w:val="24"/>
          <w:szCs w:val="24"/>
        </w:rPr>
        <w:t>A este último período chamaram de “democratização da governança” do CDES</w:t>
      </w:r>
      <w:r w:rsidR="009B753E" w:rsidRPr="00791543">
        <w:rPr>
          <w:rFonts w:ascii="Times New Roman" w:hAnsi="Times New Roman"/>
          <w:sz w:val="24"/>
          <w:szCs w:val="24"/>
        </w:rPr>
        <w:t xml:space="preserve"> e foi operacionalizad</w:t>
      </w:r>
      <w:r w:rsidR="00E86905" w:rsidRPr="00791543">
        <w:rPr>
          <w:rFonts w:ascii="Times New Roman" w:hAnsi="Times New Roman"/>
          <w:sz w:val="24"/>
          <w:szCs w:val="24"/>
        </w:rPr>
        <w:t>a pela criação do Comitê Gestor, trabalhado neste capítulo no item 1.6.</w:t>
      </w:r>
    </w:p>
    <w:p w:rsidR="00CE3680" w:rsidRDefault="00CE3680" w:rsidP="008B43EF">
      <w:pPr>
        <w:spacing w:after="0" w:line="360" w:lineRule="auto"/>
        <w:ind w:firstLine="708"/>
        <w:jc w:val="both"/>
        <w:rPr>
          <w:rFonts w:ascii="Times New Roman" w:hAnsi="Times New Roman"/>
          <w:sz w:val="24"/>
          <w:szCs w:val="24"/>
        </w:rPr>
      </w:pPr>
      <w:r>
        <w:rPr>
          <w:rFonts w:ascii="Times New Roman" w:hAnsi="Times New Roman"/>
          <w:sz w:val="24"/>
          <w:szCs w:val="24"/>
        </w:rPr>
        <w:t xml:space="preserve">A dinâmica das reuniões plenárias, entre 2003 até meados de 2004, tentou seguir o que consta no §2º do artigo 5º do Regimento Interno do CDES, com algumas flexibilizações. No início das atividades de cada reunião, o Secretário Executivo fazia a exposição de informes e esclarecimentos relevantes para a plenária e apresentava a temática a ser debatida. Logo em seguida, o tema em pauta era trabalhado na </w:t>
      </w:r>
      <w:r w:rsidR="007651EE">
        <w:rPr>
          <w:rFonts w:ascii="Times New Roman" w:hAnsi="Times New Roman"/>
          <w:sz w:val="24"/>
          <w:szCs w:val="24"/>
        </w:rPr>
        <w:t>intervenção</w:t>
      </w:r>
      <w:r>
        <w:rPr>
          <w:rFonts w:ascii="Times New Roman" w:hAnsi="Times New Roman"/>
          <w:sz w:val="24"/>
          <w:szCs w:val="24"/>
        </w:rPr>
        <w:t xml:space="preserve"> de um ou mais integrante do primeiro escalão do governo (Ministros ou autoridade delegada) responsável pela(s) área(s) pertinente</w:t>
      </w:r>
      <w:r w:rsidR="00C40D31">
        <w:rPr>
          <w:rFonts w:ascii="Times New Roman" w:hAnsi="Times New Roman"/>
          <w:sz w:val="24"/>
          <w:szCs w:val="24"/>
        </w:rPr>
        <w:t>(s)</w:t>
      </w:r>
      <w:r>
        <w:rPr>
          <w:rFonts w:ascii="Times New Roman" w:hAnsi="Times New Roman"/>
          <w:sz w:val="24"/>
          <w:szCs w:val="24"/>
        </w:rPr>
        <w:t xml:space="preserve"> ao objeto em discussão, com pauta previamente definida e comunicada aos conselheiros com sete dias úteis de antecedência. </w:t>
      </w:r>
    </w:p>
    <w:p w:rsidR="00CE3680" w:rsidRDefault="00CE3680" w:rsidP="00CE3680">
      <w:pPr>
        <w:spacing w:after="0" w:line="360" w:lineRule="auto"/>
        <w:ind w:firstLine="708"/>
        <w:jc w:val="both"/>
        <w:rPr>
          <w:rFonts w:ascii="Times New Roman" w:hAnsi="Times New Roman"/>
          <w:b/>
          <w:sz w:val="24"/>
          <w:szCs w:val="24"/>
        </w:rPr>
      </w:pPr>
      <w:r>
        <w:rPr>
          <w:rFonts w:ascii="Times New Roman" w:hAnsi="Times New Roman"/>
          <w:sz w:val="24"/>
          <w:szCs w:val="24"/>
        </w:rPr>
        <w:t xml:space="preserve">Após apresentada a temática proposta pelo governo e as respectivas intervenções ministeriais, sob a coordenação do Secretário Executivo, em um primeiro momento, os conselheiros destacavam pontos sobre os quais gostariam de emitir suas opiniões, obedecendo a ordem de inscrição realizadas junto ao Secretário. Num segundo momento, cada conselheiro defendia suas posições acerca do destaque requerido, explicitando argumentos, assumindo posições e inquirindo esclarecimentos aos Ministros, com tempo igual de </w:t>
      </w:r>
      <w:r w:rsidR="0059455D">
        <w:rPr>
          <w:rFonts w:ascii="Times New Roman" w:hAnsi="Times New Roman"/>
          <w:sz w:val="24"/>
          <w:szCs w:val="24"/>
        </w:rPr>
        <w:t>três</w:t>
      </w:r>
      <w:r>
        <w:rPr>
          <w:rFonts w:ascii="Times New Roman" w:hAnsi="Times New Roman"/>
          <w:sz w:val="24"/>
          <w:szCs w:val="24"/>
        </w:rPr>
        <w:t xml:space="preserve"> minutos para cada conselheiro inscrito. Logo em seguida, os Ministros retomavam as falas e respondiam às inquietações, dúvidas ou observações dos conselheiros. Se houvesse tempo hábil, podia o Secretário conceder tréplicas aos conselheiros para suas observações finais. Vale ressaltar que o presidente Lula da Silva comparecia frequentemente às reuniões plenárias, realizando intervenções de natureza avaliativa de seu governo, elogiando e incentivando os trabalhos dos conselheiros e sua condução </w:t>
      </w:r>
      <w:r w:rsidR="00160A4F">
        <w:rPr>
          <w:rFonts w:ascii="Times New Roman" w:hAnsi="Times New Roman"/>
          <w:sz w:val="24"/>
          <w:szCs w:val="24"/>
        </w:rPr>
        <w:t xml:space="preserve">pela </w:t>
      </w:r>
      <w:r>
        <w:rPr>
          <w:rFonts w:ascii="Times New Roman" w:hAnsi="Times New Roman"/>
          <w:sz w:val="24"/>
          <w:szCs w:val="24"/>
        </w:rPr>
        <w:t>equipe da SEDES.</w:t>
      </w:r>
      <w:r>
        <w:rPr>
          <w:rStyle w:val="Refdenotaderodap"/>
          <w:rFonts w:ascii="Times New Roman" w:hAnsi="Times New Roman"/>
          <w:sz w:val="24"/>
          <w:szCs w:val="24"/>
        </w:rPr>
        <w:footnoteReference w:id="99"/>
      </w:r>
    </w:p>
    <w:p w:rsidR="00CE3680" w:rsidRDefault="00CE3680" w:rsidP="00CE3680">
      <w:pPr>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Cabia à mesa da plenária, por fim, traduzir os posicionamentos defendidos e/ou refutados em propostas a serem referendadas ou não pela plenária. A partir daí, segue-se o procedimento determinado pelos artigos 11, 12 e parágrafo único do Decreto 4.744/03</w:t>
      </w:r>
      <w:r w:rsidRPr="00CF4741">
        <w:rPr>
          <w:rFonts w:ascii="Times New Roman" w:hAnsi="Times New Roman"/>
          <w:sz w:val="24"/>
          <w:szCs w:val="24"/>
        </w:rPr>
        <w:t>que dispõe sobre a composição e funcionamento do CDES</w:t>
      </w:r>
      <w:r>
        <w:rPr>
          <w:rFonts w:ascii="Times New Roman" w:hAnsi="Times New Roman"/>
          <w:sz w:val="24"/>
          <w:szCs w:val="24"/>
        </w:rPr>
        <w:t>:</w:t>
      </w:r>
    </w:p>
    <w:p w:rsidR="00CE3680" w:rsidRDefault="00CE3680" w:rsidP="00CE3680">
      <w:pPr>
        <w:spacing w:after="0" w:line="240" w:lineRule="auto"/>
        <w:ind w:left="2268"/>
        <w:jc w:val="both"/>
        <w:rPr>
          <w:rFonts w:ascii="Times New Roman" w:hAnsi="Times New Roman"/>
          <w:sz w:val="20"/>
          <w:szCs w:val="20"/>
        </w:rPr>
      </w:pPr>
      <w:r>
        <w:rPr>
          <w:rFonts w:ascii="Times New Roman" w:hAnsi="Times New Roman"/>
          <w:sz w:val="20"/>
          <w:szCs w:val="20"/>
        </w:rPr>
        <w:t xml:space="preserve">Art. 11. O CDES procurará formalizar suas deliberações por consenso, denominadas </w:t>
      </w:r>
      <w:r>
        <w:rPr>
          <w:rFonts w:ascii="Times New Roman" w:hAnsi="Times New Roman"/>
          <w:b/>
          <w:sz w:val="20"/>
          <w:szCs w:val="20"/>
        </w:rPr>
        <w:t>acordos</w:t>
      </w:r>
      <w:r>
        <w:rPr>
          <w:rFonts w:ascii="Times New Roman" w:hAnsi="Times New Roman"/>
          <w:sz w:val="20"/>
          <w:szCs w:val="20"/>
        </w:rPr>
        <w:t>, que serão submetidas ao Presidente da República e publicadas no Diário Oficial da União.</w:t>
      </w:r>
    </w:p>
    <w:p w:rsidR="00CE3680" w:rsidRDefault="00CE3680" w:rsidP="00CE3680">
      <w:pPr>
        <w:spacing w:after="0" w:line="240" w:lineRule="auto"/>
        <w:ind w:left="2268"/>
        <w:jc w:val="both"/>
        <w:rPr>
          <w:rFonts w:ascii="Times New Roman" w:hAnsi="Times New Roman"/>
          <w:sz w:val="20"/>
          <w:szCs w:val="20"/>
        </w:rPr>
      </w:pPr>
      <w:r>
        <w:rPr>
          <w:rFonts w:ascii="Times New Roman" w:hAnsi="Times New Roman"/>
          <w:sz w:val="20"/>
          <w:szCs w:val="20"/>
        </w:rPr>
        <w:t xml:space="preserve">Art. 12. As deliberações do CDES ocorridas sob a forma não consensual, denominadas </w:t>
      </w:r>
      <w:r>
        <w:rPr>
          <w:rFonts w:ascii="Times New Roman" w:hAnsi="Times New Roman"/>
          <w:b/>
          <w:sz w:val="20"/>
          <w:szCs w:val="20"/>
        </w:rPr>
        <w:t>recomendações</w:t>
      </w:r>
      <w:r>
        <w:rPr>
          <w:rFonts w:ascii="Times New Roman" w:hAnsi="Times New Roman"/>
          <w:sz w:val="20"/>
          <w:szCs w:val="20"/>
        </w:rPr>
        <w:t>, e as posições divergentes dos Conselheiros serão submetidas ao Presidente da República e publicadas no Diário Oficial da União.</w:t>
      </w:r>
    </w:p>
    <w:p w:rsidR="00CE3680" w:rsidRPr="00CF4741" w:rsidRDefault="00CE3680" w:rsidP="00CE3680">
      <w:pPr>
        <w:spacing w:line="240" w:lineRule="auto"/>
        <w:ind w:left="2268"/>
        <w:jc w:val="both"/>
        <w:rPr>
          <w:rFonts w:ascii="Times New Roman" w:hAnsi="Times New Roman"/>
          <w:sz w:val="20"/>
          <w:szCs w:val="20"/>
        </w:rPr>
      </w:pPr>
      <w:r>
        <w:rPr>
          <w:rFonts w:ascii="Times New Roman" w:hAnsi="Times New Roman"/>
          <w:sz w:val="20"/>
          <w:szCs w:val="20"/>
        </w:rPr>
        <w:t>Parágrafo único. No caso das deliberações sob a forma não consensual, é facultado ao Conselheiro interessado apresentar justificativa da sua posição divergente, em separado e por escrito.</w:t>
      </w:r>
    </w:p>
    <w:p w:rsidR="00CE3680" w:rsidRDefault="00CE3680" w:rsidP="00CE3680">
      <w:pPr>
        <w:spacing w:after="0" w:line="360" w:lineRule="auto"/>
        <w:jc w:val="both"/>
        <w:rPr>
          <w:rFonts w:ascii="Times New Roman" w:hAnsi="Times New Roman"/>
          <w:sz w:val="24"/>
          <w:szCs w:val="24"/>
        </w:rPr>
      </w:pPr>
      <w:r>
        <w:rPr>
          <w:rFonts w:ascii="Times New Roman" w:hAnsi="Times New Roman"/>
          <w:sz w:val="24"/>
          <w:szCs w:val="24"/>
        </w:rPr>
        <w:tab/>
        <w:t xml:space="preserve">Os </w:t>
      </w:r>
      <w:r w:rsidRPr="009E55D8">
        <w:rPr>
          <w:rFonts w:ascii="Times New Roman" w:hAnsi="Times New Roman"/>
          <w:i/>
          <w:sz w:val="24"/>
          <w:szCs w:val="24"/>
        </w:rPr>
        <w:t>acordos</w:t>
      </w:r>
      <w:r>
        <w:rPr>
          <w:rFonts w:ascii="Times New Roman" w:hAnsi="Times New Roman"/>
          <w:sz w:val="24"/>
          <w:szCs w:val="24"/>
        </w:rPr>
        <w:t xml:space="preserve"> ou </w:t>
      </w:r>
      <w:r w:rsidRPr="009E55D8">
        <w:rPr>
          <w:rFonts w:ascii="Times New Roman" w:hAnsi="Times New Roman"/>
          <w:i/>
          <w:sz w:val="24"/>
          <w:szCs w:val="24"/>
        </w:rPr>
        <w:t>consensos</w:t>
      </w:r>
      <w:r>
        <w:rPr>
          <w:rFonts w:ascii="Times New Roman" w:hAnsi="Times New Roman"/>
          <w:sz w:val="24"/>
          <w:szCs w:val="24"/>
        </w:rPr>
        <w:t xml:space="preserve"> eram proposições aprovadas por unanimidade entre os Conselheiros. As que recebiam grande número de adesão entre eles, mas que não  conseguiam chegar a uma unanimidade, eram chamadas de </w:t>
      </w:r>
      <w:r w:rsidRPr="009E55D8">
        <w:rPr>
          <w:rFonts w:ascii="Times New Roman" w:hAnsi="Times New Roman"/>
          <w:i/>
          <w:sz w:val="24"/>
          <w:szCs w:val="24"/>
        </w:rPr>
        <w:t>recomendações</w:t>
      </w:r>
      <w:r>
        <w:rPr>
          <w:rFonts w:ascii="Times New Roman" w:hAnsi="Times New Roman"/>
          <w:sz w:val="24"/>
          <w:szCs w:val="24"/>
        </w:rPr>
        <w:t xml:space="preserve">. As posições divergentes dos Conselheiros aludidas pelo artigo 12 eram conhecidas como </w:t>
      </w:r>
      <w:r>
        <w:rPr>
          <w:rFonts w:ascii="Times New Roman" w:hAnsi="Times New Roman"/>
          <w:i/>
          <w:sz w:val="24"/>
          <w:szCs w:val="24"/>
        </w:rPr>
        <w:t>sugestões</w:t>
      </w:r>
      <w:r>
        <w:rPr>
          <w:rFonts w:ascii="Times New Roman" w:hAnsi="Times New Roman"/>
          <w:sz w:val="24"/>
          <w:szCs w:val="24"/>
        </w:rPr>
        <w:t xml:space="preserve">: eram posições minoritárias (não consensuais e com baixa adesão entre os conselheiros), mas que deveriam chegar ao conhecimento e apreciação do Presidente. </w:t>
      </w:r>
    </w:p>
    <w:p w:rsidR="00CE3680" w:rsidRDefault="00CE3680" w:rsidP="00CE3680">
      <w:pPr>
        <w:spacing w:after="0" w:line="360" w:lineRule="auto"/>
        <w:ind w:firstLine="708"/>
        <w:jc w:val="both"/>
        <w:rPr>
          <w:rFonts w:ascii="Times New Roman" w:eastAsia="Times New Roman" w:hAnsi="Times New Roman"/>
          <w:color w:val="000000"/>
          <w:sz w:val="24"/>
          <w:szCs w:val="24"/>
          <w:lang w:eastAsia="pt-BR"/>
        </w:rPr>
      </w:pPr>
      <w:r>
        <w:rPr>
          <w:rFonts w:ascii="Times New Roman" w:hAnsi="Times New Roman"/>
          <w:sz w:val="24"/>
          <w:szCs w:val="24"/>
        </w:rPr>
        <w:t>Porém, a forma de funcionamento do CDES originalmente pensada por seus formuladores não teria sido a plasmada nos artigos acima. Segundo reportagem da Folha de São Paulo de 14 de fevereiro de 2003, intitulada “Lula cede a sindicalistas e esvazia poder do Conselho”,</w:t>
      </w:r>
      <w:r>
        <w:rPr>
          <w:rStyle w:val="Refdenotaderodap"/>
          <w:rFonts w:ascii="Times New Roman" w:hAnsi="Times New Roman"/>
          <w:sz w:val="24"/>
          <w:szCs w:val="24"/>
        </w:rPr>
        <w:footnoteReference w:id="100"/>
      </w:r>
      <w:r>
        <w:rPr>
          <w:rFonts w:ascii="Times New Roman" w:hAnsi="Times New Roman"/>
          <w:sz w:val="24"/>
          <w:szCs w:val="24"/>
        </w:rPr>
        <w:t xml:space="preserve"> a proposta inicial de Tarso Genro, então Secretário Executivo, seria a posição majoritária entre os conselheiros sobre determinado tema/assunto, através de votação, a adotada como “recomendação”. A reação dos conselheiros sindicalistas teria sido anterior à própria criação oficial do Conselho, tendo em vista sua composição majoritariamente empresarial. O esboço do primeiro regimento interno dizia que </w:t>
      </w:r>
      <w:r>
        <w:rPr>
          <w:rFonts w:ascii="Times New Roman" w:eastAsia="Times New Roman" w:hAnsi="Times New Roman"/>
          <w:color w:val="000000"/>
          <w:sz w:val="24"/>
          <w:szCs w:val="24"/>
          <w:lang w:eastAsia="pt-BR"/>
        </w:rPr>
        <w:t xml:space="preserve">“o </w:t>
      </w:r>
      <w:r w:rsidRPr="00185534">
        <w:rPr>
          <w:rFonts w:ascii="Times New Roman" w:eastAsia="Times New Roman" w:hAnsi="Times New Roman"/>
          <w:color w:val="000000"/>
          <w:sz w:val="24"/>
          <w:szCs w:val="24"/>
          <w:lang w:eastAsia="pt-BR"/>
        </w:rPr>
        <w:t>pleno do conselho deliberará e expedirá acordos por maioria absoluta de seus membros quando não houver consenso</w:t>
      </w:r>
      <w:r>
        <w:rPr>
          <w:rFonts w:ascii="Times New Roman" w:eastAsia="Times New Roman" w:hAnsi="Times New Roman"/>
          <w:color w:val="000000"/>
          <w:sz w:val="24"/>
          <w:szCs w:val="24"/>
          <w:lang w:eastAsia="pt-BR"/>
        </w:rPr>
        <w:t>”, o que deixaria setores não empresariais em larga desvantagem. Na readequação, a referência à “maioria absoluta” foi suprimida, dando margens para que as divergências – e suas justificativas - também chegassem ao conhecimento do Presidente.</w:t>
      </w:r>
    </w:p>
    <w:p w:rsidR="00CE3680" w:rsidRDefault="00CE3680" w:rsidP="00CE3680">
      <w:pPr>
        <w:spacing w:after="0" w:line="360" w:lineRule="auto"/>
        <w:jc w:val="both"/>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ab/>
        <w:t>A reportagem afirma ainda que a</w:t>
      </w:r>
      <w:r w:rsidRPr="00185534">
        <w:rPr>
          <w:rFonts w:ascii="Times New Roman" w:eastAsia="Times New Roman" w:hAnsi="Times New Roman"/>
          <w:color w:val="000000"/>
          <w:sz w:val="24"/>
          <w:szCs w:val="24"/>
          <w:lang w:eastAsia="pt-BR"/>
        </w:rPr>
        <w:t xml:space="preserve"> emenda ao regimento </w:t>
      </w:r>
      <w:r>
        <w:rPr>
          <w:rFonts w:ascii="Times New Roman" w:eastAsia="Times New Roman" w:hAnsi="Times New Roman"/>
          <w:color w:val="000000"/>
          <w:sz w:val="24"/>
          <w:szCs w:val="24"/>
          <w:lang w:eastAsia="pt-BR"/>
        </w:rPr>
        <w:t>teria sido</w:t>
      </w:r>
      <w:r w:rsidRPr="00185534">
        <w:rPr>
          <w:rFonts w:ascii="Times New Roman" w:eastAsia="Times New Roman" w:hAnsi="Times New Roman"/>
          <w:color w:val="000000"/>
          <w:sz w:val="24"/>
          <w:szCs w:val="24"/>
          <w:lang w:eastAsia="pt-BR"/>
        </w:rPr>
        <w:t xml:space="preserve"> apresentada na reunião </w:t>
      </w:r>
      <w:r>
        <w:rPr>
          <w:rFonts w:ascii="Times New Roman" w:eastAsia="Times New Roman" w:hAnsi="Times New Roman"/>
          <w:color w:val="000000"/>
          <w:sz w:val="24"/>
          <w:szCs w:val="24"/>
          <w:lang w:eastAsia="pt-BR"/>
        </w:rPr>
        <w:t xml:space="preserve">inaugural do CDES </w:t>
      </w:r>
      <w:r w:rsidRPr="00185534">
        <w:rPr>
          <w:rFonts w:ascii="Times New Roman" w:eastAsia="Times New Roman" w:hAnsi="Times New Roman"/>
          <w:color w:val="000000"/>
          <w:sz w:val="24"/>
          <w:szCs w:val="24"/>
          <w:lang w:eastAsia="pt-BR"/>
        </w:rPr>
        <w:t xml:space="preserve">por Luiz Marinho, </w:t>
      </w:r>
      <w:r>
        <w:rPr>
          <w:rFonts w:ascii="Times New Roman" w:eastAsia="Times New Roman" w:hAnsi="Times New Roman"/>
          <w:color w:val="000000"/>
          <w:sz w:val="24"/>
          <w:szCs w:val="24"/>
          <w:lang w:eastAsia="pt-BR"/>
        </w:rPr>
        <w:t xml:space="preserve">então </w:t>
      </w:r>
      <w:r w:rsidRPr="00185534">
        <w:rPr>
          <w:rFonts w:ascii="Times New Roman" w:eastAsia="Times New Roman" w:hAnsi="Times New Roman"/>
          <w:color w:val="000000"/>
          <w:sz w:val="24"/>
          <w:szCs w:val="24"/>
          <w:lang w:eastAsia="pt-BR"/>
        </w:rPr>
        <w:t>presidente do Sindicato dos Metalúrgicos do ABC e futuro presidente da C</w:t>
      </w:r>
      <w:r>
        <w:rPr>
          <w:rFonts w:ascii="Times New Roman" w:eastAsia="Times New Roman" w:hAnsi="Times New Roman"/>
          <w:color w:val="000000"/>
          <w:sz w:val="24"/>
          <w:szCs w:val="24"/>
          <w:lang w:eastAsia="pt-BR"/>
        </w:rPr>
        <w:t>UT, e acatada por unanimidade: “n</w:t>
      </w:r>
      <w:r w:rsidRPr="00185534">
        <w:rPr>
          <w:rFonts w:ascii="Times New Roman" w:eastAsia="Times New Roman" w:hAnsi="Times New Roman"/>
          <w:color w:val="000000"/>
          <w:sz w:val="24"/>
          <w:szCs w:val="24"/>
          <w:lang w:eastAsia="pt-BR"/>
        </w:rPr>
        <w:t>ão faz sentido um conselho como esse ser deliberativo. O ideal é procurar os pontos de consenso e apresentar as alternativas ao presi</w:t>
      </w:r>
      <w:r>
        <w:rPr>
          <w:rFonts w:ascii="Times New Roman" w:eastAsia="Times New Roman" w:hAnsi="Times New Roman"/>
          <w:color w:val="000000"/>
          <w:sz w:val="24"/>
          <w:szCs w:val="24"/>
          <w:lang w:eastAsia="pt-BR"/>
        </w:rPr>
        <w:t xml:space="preserve">dente onde não houver consenso” </w:t>
      </w:r>
      <w:r w:rsidRPr="00185534">
        <w:rPr>
          <w:rFonts w:ascii="Times New Roman" w:eastAsia="Times New Roman" w:hAnsi="Times New Roman"/>
          <w:color w:val="000000"/>
          <w:sz w:val="24"/>
          <w:szCs w:val="24"/>
          <w:lang w:eastAsia="pt-BR"/>
        </w:rPr>
        <w:t>disse</w:t>
      </w:r>
      <w:r>
        <w:rPr>
          <w:rFonts w:ascii="Times New Roman" w:eastAsia="Times New Roman" w:hAnsi="Times New Roman"/>
          <w:color w:val="000000"/>
          <w:sz w:val="24"/>
          <w:szCs w:val="24"/>
          <w:lang w:eastAsia="pt-BR"/>
        </w:rPr>
        <w:t xml:space="preserve"> ao jornal</w:t>
      </w:r>
      <w:r w:rsidRPr="00185534">
        <w:rPr>
          <w:rFonts w:ascii="Times New Roman" w:eastAsia="Times New Roman" w:hAnsi="Times New Roman"/>
          <w:color w:val="000000"/>
          <w:sz w:val="24"/>
          <w:szCs w:val="24"/>
          <w:lang w:eastAsia="pt-BR"/>
        </w:rPr>
        <w:t xml:space="preserve">.Já os empresários </w:t>
      </w:r>
      <w:r>
        <w:rPr>
          <w:rFonts w:ascii="Times New Roman" w:eastAsia="Times New Roman" w:hAnsi="Times New Roman"/>
          <w:color w:val="000000"/>
          <w:sz w:val="24"/>
          <w:szCs w:val="24"/>
          <w:lang w:eastAsia="pt-BR"/>
        </w:rPr>
        <w:t>refutaram a crítica de que estariam super-representados: “e</w:t>
      </w:r>
      <w:r w:rsidRPr="00185534">
        <w:rPr>
          <w:rFonts w:ascii="Times New Roman" w:eastAsia="Times New Roman" w:hAnsi="Times New Roman"/>
          <w:color w:val="000000"/>
          <w:sz w:val="24"/>
          <w:szCs w:val="24"/>
          <w:lang w:eastAsia="pt-BR"/>
        </w:rPr>
        <w:t>stou aqui como brasileiro, não como e</w:t>
      </w:r>
      <w:r>
        <w:rPr>
          <w:rFonts w:ascii="Times New Roman" w:eastAsia="Times New Roman" w:hAnsi="Times New Roman"/>
          <w:color w:val="000000"/>
          <w:sz w:val="24"/>
          <w:szCs w:val="24"/>
          <w:lang w:eastAsia="pt-BR"/>
        </w:rPr>
        <w:t>mpresário”, disse Paulo Skaf, já engrossando algo que seria repetida e pedagogicamente divulgado no CDES ao longo dos anos: seu caráter (supostamente) supraclassista. Sonia Fleury, conselheira do CDES, tributou esta mudança a ação de setores menos representados:</w:t>
      </w:r>
    </w:p>
    <w:p w:rsidR="00CE3680" w:rsidRDefault="00CE3680" w:rsidP="00CE3680">
      <w:pPr>
        <w:spacing w:line="240" w:lineRule="auto"/>
        <w:ind w:left="2268"/>
        <w:jc w:val="both"/>
        <w:rPr>
          <w:rFonts w:ascii="Times New Roman" w:eastAsia="Times New Roman" w:hAnsi="Times New Roman"/>
          <w:color w:val="000000"/>
          <w:sz w:val="24"/>
          <w:szCs w:val="24"/>
          <w:lang w:eastAsia="pt-BR"/>
        </w:rPr>
      </w:pPr>
      <w:r w:rsidRPr="00CC15A8">
        <w:rPr>
          <w:rFonts w:ascii="Times New Roman" w:eastAsia="Times New Roman" w:hAnsi="Times New Roman"/>
          <w:color w:val="000000"/>
          <w:sz w:val="20"/>
          <w:szCs w:val="20"/>
          <w:lang w:eastAsia="pt-BR"/>
        </w:rPr>
        <w:t>As deliberações do Conselho, tanto nos grupos temáticos quanto no pleno, eram tomadas tendo como critério a busca do consenso entre seus membros. Esta tradução do espanholismo concertação como consenso foi fruto da primeira discussão, acerca do regulamento, onde movimentos e organizações sociais se posicionaram contra a votação majoritária, já que a composição do Conselho definia previamente maiorias, por extração social. Ficou então aceita a necessidade de buscar consenso</w:t>
      </w:r>
      <w:r>
        <w:rPr>
          <w:rFonts w:ascii="Times New Roman" w:eastAsia="Times New Roman" w:hAnsi="Times New Roman"/>
          <w:color w:val="000000"/>
          <w:sz w:val="24"/>
          <w:szCs w:val="24"/>
          <w:lang w:eastAsia="pt-BR"/>
        </w:rPr>
        <w:t>.</w:t>
      </w:r>
      <w:r>
        <w:rPr>
          <w:rStyle w:val="Refdenotaderodap"/>
          <w:rFonts w:ascii="Times New Roman" w:eastAsia="Times New Roman" w:hAnsi="Times New Roman"/>
          <w:color w:val="000000"/>
          <w:sz w:val="24"/>
          <w:szCs w:val="24"/>
          <w:lang w:eastAsia="pt-BR"/>
        </w:rPr>
        <w:footnoteReference w:id="101"/>
      </w:r>
    </w:p>
    <w:p w:rsidR="00874850" w:rsidRPr="00791543" w:rsidRDefault="00CE3680" w:rsidP="00CE368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r w:rsidR="00874850" w:rsidRPr="00791543">
        <w:rPr>
          <w:rFonts w:ascii="Times New Roman" w:hAnsi="Times New Roman"/>
          <w:sz w:val="24"/>
          <w:szCs w:val="24"/>
        </w:rPr>
        <w:t xml:space="preserve">Na realidade, </w:t>
      </w:r>
      <w:r w:rsidR="00817111" w:rsidRPr="00791543">
        <w:rPr>
          <w:rFonts w:ascii="Times New Roman" w:hAnsi="Times New Roman"/>
          <w:sz w:val="24"/>
          <w:szCs w:val="24"/>
        </w:rPr>
        <w:t xml:space="preserve">sendo por votação majoritária ou por consenso, sugestões ou recomendações (procedimento adotado pelo CDES) </w:t>
      </w:r>
      <w:r w:rsidR="00E22830" w:rsidRPr="00791543">
        <w:rPr>
          <w:rFonts w:ascii="Times New Roman" w:hAnsi="Times New Roman"/>
          <w:i/>
          <w:sz w:val="24"/>
          <w:szCs w:val="24"/>
        </w:rPr>
        <w:t>eram</w:t>
      </w:r>
      <w:r w:rsidR="00817111" w:rsidRPr="00791543">
        <w:rPr>
          <w:rFonts w:ascii="Times New Roman" w:hAnsi="Times New Roman"/>
          <w:i/>
          <w:sz w:val="24"/>
          <w:szCs w:val="24"/>
        </w:rPr>
        <w:t xml:space="preserve"> muito estreitas as brechas dos movimentos e organizações </w:t>
      </w:r>
      <w:r w:rsidR="00E22830" w:rsidRPr="00791543">
        <w:rPr>
          <w:rFonts w:ascii="Times New Roman" w:hAnsi="Times New Roman"/>
          <w:i/>
          <w:sz w:val="24"/>
          <w:szCs w:val="24"/>
        </w:rPr>
        <w:t xml:space="preserve">autenticamente </w:t>
      </w:r>
      <w:r w:rsidR="00817111" w:rsidRPr="00791543">
        <w:rPr>
          <w:rFonts w:ascii="Times New Roman" w:hAnsi="Times New Roman"/>
          <w:i/>
          <w:sz w:val="24"/>
          <w:szCs w:val="24"/>
        </w:rPr>
        <w:t>populares emplacarem suas aspirações ao Executivo</w:t>
      </w:r>
      <w:r w:rsidR="00817111" w:rsidRPr="00791543">
        <w:rPr>
          <w:rFonts w:ascii="Times New Roman" w:hAnsi="Times New Roman"/>
          <w:sz w:val="24"/>
          <w:szCs w:val="24"/>
        </w:rPr>
        <w:t xml:space="preserve">. Num fórum constituído por mais da metade de setores do capital (sem contar entidades civis, intelectuais e sindicalistas próximos da visão de mundo empresarial), o consenso obtido </w:t>
      </w:r>
      <w:r w:rsidR="00E22830" w:rsidRPr="00791543">
        <w:rPr>
          <w:rFonts w:ascii="Times New Roman" w:hAnsi="Times New Roman"/>
          <w:sz w:val="24"/>
          <w:szCs w:val="24"/>
        </w:rPr>
        <w:t>foi</w:t>
      </w:r>
      <w:r w:rsidR="00817111" w:rsidRPr="00791543">
        <w:rPr>
          <w:rFonts w:ascii="Times New Roman" w:hAnsi="Times New Roman"/>
          <w:sz w:val="24"/>
          <w:szCs w:val="24"/>
        </w:rPr>
        <w:t xml:space="preserve"> resu</w:t>
      </w:r>
      <w:r w:rsidR="00BF61AD">
        <w:rPr>
          <w:rFonts w:ascii="Times New Roman" w:hAnsi="Times New Roman"/>
          <w:sz w:val="24"/>
          <w:szCs w:val="24"/>
        </w:rPr>
        <w:t xml:space="preserve">ltado </w:t>
      </w:r>
      <w:r w:rsidR="00160A4F">
        <w:rPr>
          <w:rFonts w:ascii="Times New Roman" w:hAnsi="Times New Roman"/>
          <w:sz w:val="24"/>
          <w:szCs w:val="24"/>
        </w:rPr>
        <w:t>de boa dose de</w:t>
      </w:r>
      <w:r w:rsidR="00BF61AD">
        <w:rPr>
          <w:rFonts w:ascii="Times New Roman" w:hAnsi="Times New Roman"/>
          <w:sz w:val="24"/>
          <w:szCs w:val="24"/>
        </w:rPr>
        <w:t xml:space="preserve"> coerção perante os</w:t>
      </w:r>
      <w:r w:rsidR="00817111" w:rsidRPr="00791543">
        <w:rPr>
          <w:rFonts w:ascii="Times New Roman" w:hAnsi="Times New Roman"/>
          <w:sz w:val="24"/>
          <w:szCs w:val="24"/>
        </w:rPr>
        <w:t xml:space="preserve"> segmentos sociais populares. Para estes, se não </w:t>
      </w:r>
      <w:r w:rsidR="00E22830" w:rsidRPr="00791543">
        <w:rPr>
          <w:rFonts w:ascii="Times New Roman" w:hAnsi="Times New Roman"/>
          <w:sz w:val="24"/>
          <w:szCs w:val="24"/>
        </w:rPr>
        <w:t>era</w:t>
      </w:r>
      <w:r w:rsidR="00817111" w:rsidRPr="00791543">
        <w:rPr>
          <w:rFonts w:ascii="Times New Roman" w:hAnsi="Times New Roman"/>
          <w:sz w:val="24"/>
          <w:szCs w:val="24"/>
        </w:rPr>
        <w:t xml:space="preserve"> admissível o consenso, e se suas propostas chega</w:t>
      </w:r>
      <w:r w:rsidR="00E22830" w:rsidRPr="00791543">
        <w:rPr>
          <w:rFonts w:ascii="Times New Roman" w:hAnsi="Times New Roman"/>
          <w:sz w:val="24"/>
          <w:szCs w:val="24"/>
        </w:rPr>
        <w:t>va</w:t>
      </w:r>
      <w:r w:rsidR="00817111" w:rsidRPr="00791543">
        <w:rPr>
          <w:rFonts w:ascii="Times New Roman" w:hAnsi="Times New Roman"/>
          <w:sz w:val="24"/>
          <w:szCs w:val="24"/>
        </w:rPr>
        <w:t>m ao Executivo</w:t>
      </w:r>
      <w:r w:rsidR="00D43CC3" w:rsidRPr="00791543">
        <w:rPr>
          <w:rFonts w:ascii="Times New Roman" w:hAnsi="Times New Roman"/>
          <w:sz w:val="24"/>
          <w:szCs w:val="24"/>
        </w:rPr>
        <w:t xml:space="preserve"> como mera recomendação ou suge</w:t>
      </w:r>
      <w:r w:rsidR="00E22830" w:rsidRPr="00791543">
        <w:rPr>
          <w:rFonts w:ascii="Times New Roman" w:hAnsi="Times New Roman"/>
          <w:sz w:val="24"/>
          <w:szCs w:val="24"/>
        </w:rPr>
        <w:t>stão, logicamente já se esvaziava</w:t>
      </w:r>
      <w:r w:rsidR="00D43CC3" w:rsidRPr="00791543">
        <w:rPr>
          <w:rFonts w:ascii="Times New Roman" w:hAnsi="Times New Roman"/>
          <w:sz w:val="24"/>
          <w:szCs w:val="24"/>
        </w:rPr>
        <w:t xml:space="preserve"> as reivindicações destes segmentos. Constitui</w:t>
      </w:r>
      <w:r w:rsidR="00E22830" w:rsidRPr="00791543">
        <w:rPr>
          <w:rFonts w:ascii="Times New Roman" w:hAnsi="Times New Roman"/>
          <w:sz w:val="24"/>
          <w:szCs w:val="24"/>
        </w:rPr>
        <w:t>u</w:t>
      </w:r>
      <w:r w:rsidR="00D43CC3" w:rsidRPr="00791543">
        <w:rPr>
          <w:rFonts w:ascii="Times New Roman" w:hAnsi="Times New Roman"/>
          <w:sz w:val="24"/>
          <w:szCs w:val="24"/>
        </w:rPr>
        <w:t xml:space="preserve">-se, desta maneira, uma espécie de blindagem do Conselho, expurgando e desqualificando a fala </w:t>
      </w:r>
      <w:r w:rsidR="004C7B95" w:rsidRPr="00791543">
        <w:rPr>
          <w:rFonts w:ascii="Times New Roman" w:hAnsi="Times New Roman"/>
          <w:sz w:val="24"/>
          <w:szCs w:val="24"/>
        </w:rPr>
        <w:t xml:space="preserve">das lideranças </w:t>
      </w:r>
      <w:r w:rsidR="00160A4F">
        <w:rPr>
          <w:rFonts w:ascii="Times New Roman" w:hAnsi="Times New Roman"/>
          <w:sz w:val="24"/>
          <w:szCs w:val="24"/>
        </w:rPr>
        <w:t xml:space="preserve">produtoras de </w:t>
      </w:r>
      <w:r w:rsidR="00D43CC3" w:rsidRPr="00791543">
        <w:rPr>
          <w:rFonts w:ascii="Times New Roman" w:hAnsi="Times New Roman"/>
          <w:sz w:val="24"/>
          <w:szCs w:val="24"/>
        </w:rPr>
        <w:t>recomendações ou sugestões. Na perversidade desta lógica, apenas se poderia</w:t>
      </w:r>
      <w:r w:rsidR="00E22830" w:rsidRPr="00791543">
        <w:rPr>
          <w:rFonts w:ascii="Times New Roman" w:hAnsi="Times New Roman"/>
          <w:sz w:val="24"/>
          <w:szCs w:val="24"/>
        </w:rPr>
        <w:t>m</w:t>
      </w:r>
      <w:r w:rsidR="00D43CC3" w:rsidRPr="00791543">
        <w:rPr>
          <w:rFonts w:ascii="Times New Roman" w:hAnsi="Times New Roman"/>
          <w:sz w:val="24"/>
          <w:szCs w:val="24"/>
        </w:rPr>
        <w:t xml:space="preserve"> considerar efetivamente propostas de diretrizes para alguma agência estatalou </w:t>
      </w:r>
      <w:r w:rsidR="00E22830" w:rsidRPr="00791543">
        <w:rPr>
          <w:rFonts w:ascii="Times New Roman" w:hAnsi="Times New Roman"/>
          <w:sz w:val="24"/>
          <w:szCs w:val="24"/>
        </w:rPr>
        <w:t xml:space="preserve">para </w:t>
      </w:r>
      <w:r w:rsidR="00D43CC3" w:rsidRPr="00791543">
        <w:rPr>
          <w:rFonts w:ascii="Times New Roman" w:hAnsi="Times New Roman"/>
          <w:sz w:val="24"/>
          <w:szCs w:val="24"/>
        </w:rPr>
        <w:t>produção de documentos estratégicos aquilo que era resultado do consenso, hierarquizando e afunilando as decisões desde a perspectiva do grupo hegemônico e de seus aliados.</w:t>
      </w:r>
      <w:r w:rsidR="00A12C41">
        <w:rPr>
          <w:rStyle w:val="Refdenotaderodap"/>
          <w:rFonts w:ascii="Times New Roman" w:hAnsi="Times New Roman"/>
          <w:sz w:val="24"/>
          <w:szCs w:val="24"/>
        </w:rPr>
        <w:footnoteReference w:id="102"/>
      </w:r>
    </w:p>
    <w:p w:rsidR="00CE3680" w:rsidRDefault="00CE3680" w:rsidP="00D43CC3">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 7ª Reunião Plenária do Conselho, em maio de 2004, trazia novas mudanças na dinâmica de seu funcionamento. A partir de então, após as exposições por parte do governo (Secretário e Ministros), três conselheiros passaram a ser ouvidos como debatedores. Estes eram escolhidos por se credenciarem, supostamente, pela S</w:t>
      </w:r>
      <w:r w:rsidR="007651EE">
        <w:rPr>
          <w:rFonts w:ascii="Times New Roman" w:hAnsi="Times New Roman"/>
          <w:sz w:val="24"/>
          <w:szCs w:val="24"/>
        </w:rPr>
        <w:t>EDES</w:t>
      </w:r>
      <w:r>
        <w:rPr>
          <w:rFonts w:ascii="Times New Roman" w:hAnsi="Times New Roman"/>
          <w:sz w:val="24"/>
          <w:szCs w:val="24"/>
        </w:rPr>
        <w:t xml:space="preserve"> como os mais capacitados ou familiarizados com o tema em discussão e cumpria o papel anteriormente realizado por outros, de forma menos pulverizada e mais articulada e orgânica. O intuito era de fazer com que eles apresentassem seus questionamentos, polemizassem e ponderassem com maior propriedade e profundidade sobre o assunto em pauta. </w:t>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 escolha destes três “conselheiros debatedores”, de acordo com Kunrath, seguia critérios estabelecidos pela Secretaria, e “sua alternância ocorria de acordo com o tema em discussão, levando-se em consideração a participação de todos os segmentos que o integravam”.</w:t>
      </w:r>
      <w:r>
        <w:rPr>
          <w:rStyle w:val="Refdenotaderodap"/>
          <w:rFonts w:ascii="Times New Roman" w:hAnsi="Times New Roman"/>
          <w:sz w:val="24"/>
          <w:szCs w:val="24"/>
        </w:rPr>
        <w:footnoteReference w:id="103"/>
      </w:r>
      <w:r>
        <w:rPr>
          <w:rFonts w:ascii="Times New Roman" w:hAnsi="Times New Roman"/>
          <w:sz w:val="24"/>
          <w:szCs w:val="24"/>
        </w:rPr>
        <w:t xml:space="preserve"> Apenas após a intervenção destes (de </w:t>
      </w:r>
      <w:r w:rsidR="0059455D">
        <w:rPr>
          <w:rFonts w:ascii="Times New Roman" w:hAnsi="Times New Roman"/>
          <w:sz w:val="24"/>
          <w:szCs w:val="24"/>
        </w:rPr>
        <w:t>sete</w:t>
      </w:r>
      <w:r>
        <w:rPr>
          <w:rFonts w:ascii="Times New Roman" w:hAnsi="Times New Roman"/>
          <w:sz w:val="24"/>
          <w:szCs w:val="24"/>
        </w:rPr>
        <w:t xml:space="preserve"> minutos para cada), seguida pelas respostas ou ponderações do governo, é que os demais conselheiros, pela ordem de inscrição, ficavam autorizados a intervir, retornando ao início do ciclo com reconsiderações por parte do secretário e ministros, e assim por diante.</w:t>
      </w:r>
    </w:p>
    <w:p w:rsidR="00CE3680" w:rsidRDefault="00CE3680" w:rsidP="00CE368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Tais mudanças no modo de funcionamento, ao que tudo indica, foram provocadas por reivindicações dos próprios conselheiros. Na Ata da 6ª Reunião Plenária, em março de 2004,</w:t>
      </w:r>
      <w:r>
        <w:rPr>
          <w:rStyle w:val="Refdenotaderodap"/>
          <w:rFonts w:ascii="Times New Roman" w:hAnsi="Times New Roman"/>
          <w:sz w:val="24"/>
          <w:szCs w:val="24"/>
        </w:rPr>
        <w:footnoteReference w:id="104"/>
      </w:r>
      <w:r>
        <w:rPr>
          <w:rFonts w:ascii="Times New Roman" w:hAnsi="Times New Roman"/>
          <w:sz w:val="24"/>
          <w:szCs w:val="24"/>
        </w:rPr>
        <w:t xml:space="preserve"> alguns conselheiros mostravam-se insatisfeitos quanto à dinâmica de funcionamento das reuniões: </w:t>
      </w:r>
    </w:p>
    <w:p w:rsidR="00CE3680" w:rsidRPr="00085EDC" w:rsidRDefault="00CE3680" w:rsidP="00CE3680">
      <w:pPr>
        <w:autoSpaceDE w:val="0"/>
        <w:autoSpaceDN w:val="0"/>
        <w:adjustRightInd w:val="0"/>
        <w:spacing w:after="0" w:line="240" w:lineRule="auto"/>
        <w:ind w:left="2268"/>
        <w:jc w:val="both"/>
        <w:rPr>
          <w:rFonts w:ascii="Times New Roman" w:hAnsi="Times New Roman"/>
          <w:sz w:val="20"/>
          <w:szCs w:val="20"/>
        </w:rPr>
      </w:pPr>
      <w:r w:rsidRPr="00085EDC">
        <w:rPr>
          <w:rFonts w:ascii="Times New Roman" w:hAnsi="Times New Roman"/>
          <w:b/>
          <w:sz w:val="20"/>
          <w:szCs w:val="20"/>
        </w:rPr>
        <w:t xml:space="preserve">Conselheiro Luiz Marinho: </w:t>
      </w:r>
      <w:r w:rsidRPr="00085EDC">
        <w:rPr>
          <w:rFonts w:ascii="Times New Roman" w:hAnsi="Times New Roman"/>
          <w:sz w:val="20"/>
          <w:szCs w:val="20"/>
        </w:rPr>
        <w:t xml:space="preserve">(...) </w:t>
      </w:r>
      <w:r>
        <w:rPr>
          <w:rFonts w:ascii="Times New Roman" w:hAnsi="Times New Roman"/>
          <w:sz w:val="20"/>
          <w:szCs w:val="20"/>
        </w:rPr>
        <w:t>A</w:t>
      </w:r>
      <w:r w:rsidRPr="00085EDC">
        <w:rPr>
          <w:rFonts w:ascii="Times New Roman" w:hAnsi="Times New Roman"/>
          <w:sz w:val="20"/>
          <w:szCs w:val="20"/>
        </w:rPr>
        <w:t>credita que o governo precisa pensar a intervenção no Conselho, pois deve haver mais espaço para os conselheiros falarem.</w:t>
      </w:r>
    </w:p>
    <w:p w:rsidR="00CE3680" w:rsidRPr="00085EDC" w:rsidRDefault="00CE3680" w:rsidP="00CE3680">
      <w:pPr>
        <w:autoSpaceDE w:val="0"/>
        <w:autoSpaceDN w:val="0"/>
        <w:adjustRightInd w:val="0"/>
        <w:spacing w:line="240" w:lineRule="auto"/>
        <w:ind w:left="2268"/>
        <w:jc w:val="both"/>
        <w:rPr>
          <w:rFonts w:ascii="Times New Roman" w:hAnsi="Times New Roman"/>
          <w:sz w:val="20"/>
          <w:szCs w:val="20"/>
        </w:rPr>
      </w:pPr>
      <w:r w:rsidRPr="00085EDC">
        <w:rPr>
          <w:rFonts w:ascii="Times New Roman" w:hAnsi="Times New Roman"/>
          <w:b/>
          <w:sz w:val="20"/>
          <w:szCs w:val="20"/>
        </w:rPr>
        <w:t>Conselheiro José Moroni:</w:t>
      </w:r>
      <w:r w:rsidRPr="00085EDC">
        <w:rPr>
          <w:rFonts w:ascii="Times New Roman" w:hAnsi="Times New Roman"/>
          <w:sz w:val="20"/>
          <w:szCs w:val="20"/>
        </w:rPr>
        <w:t xml:space="preserve"> (...) Propõe iniciar as reuniões com algumas falas de conselheiros, pois iniciamos com doze ministros e estamos com dois na fala dos conselheiros.</w:t>
      </w:r>
      <w:r w:rsidR="00F421D1">
        <w:rPr>
          <w:rStyle w:val="Refdenotaderodap"/>
          <w:rFonts w:ascii="Times New Roman" w:hAnsi="Times New Roman"/>
          <w:sz w:val="20"/>
          <w:szCs w:val="20"/>
        </w:rPr>
        <w:footnoteReference w:id="105"/>
      </w:r>
    </w:p>
    <w:p w:rsidR="00CE3680" w:rsidRPr="00347D94" w:rsidRDefault="00CE3680" w:rsidP="00CE3680">
      <w:pPr>
        <w:spacing w:line="360" w:lineRule="auto"/>
        <w:ind w:firstLine="708"/>
        <w:jc w:val="both"/>
        <w:rPr>
          <w:rFonts w:ascii="Times New Roman" w:eastAsia="Times New Roman" w:hAnsi="Times New Roman"/>
          <w:sz w:val="24"/>
          <w:szCs w:val="24"/>
          <w:lang w:eastAsia="pt-BR"/>
        </w:rPr>
      </w:pPr>
      <w:r>
        <w:rPr>
          <w:rFonts w:ascii="Times New Roman" w:hAnsi="Times New Roman"/>
          <w:sz w:val="24"/>
          <w:szCs w:val="24"/>
        </w:rPr>
        <w:t xml:space="preserve">Malgrado a equipe da SEDES elaborar e gerenciar as formas de condução dos trabalhos nas plenárias segundo os marcos normativos, o modo de funcionamento do CDES </w:t>
      </w:r>
      <w:r w:rsidR="003778EE">
        <w:rPr>
          <w:rFonts w:ascii="Times New Roman" w:hAnsi="Times New Roman"/>
          <w:sz w:val="24"/>
          <w:szCs w:val="24"/>
        </w:rPr>
        <w:t>sofreu pressões</w:t>
      </w:r>
      <w:r>
        <w:rPr>
          <w:rFonts w:ascii="Times New Roman" w:hAnsi="Times New Roman"/>
          <w:sz w:val="24"/>
          <w:szCs w:val="24"/>
        </w:rPr>
        <w:t>.</w:t>
      </w:r>
      <w:r w:rsidR="003778EE">
        <w:rPr>
          <w:rFonts w:ascii="Times New Roman" w:hAnsi="Times New Roman"/>
          <w:sz w:val="24"/>
          <w:szCs w:val="24"/>
        </w:rPr>
        <w:t xml:space="preserve"> Os embates e pressões pro</w:t>
      </w:r>
      <w:r w:rsidR="00C51B94">
        <w:rPr>
          <w:rFonts w:ascii="Times New Roman" w:hAnsi="Times New Roman"/>
          <w:sz w:val="24"/>
          <w:szCs w:val="24"/>
        </w:rPr>
        <w:t>vo</w:t>
      </w:r>
      <w:r w:rsidR="003778EE">
        <w:rPr>
          <w:rFonts w:ascii="Times New Roman" w:hAnsi="Times New Roman"/>
          <w:sz w:val="24"/>
          <w:szCs w:val="24"/>
        </w:rPr>
        <w:t>cadas pelos conselheiros levariam posteriormente à criação do Observatório da Equidade, criado em 2006</w:t>
      </w:r>
      <w:r w:rsidR="00C51B94">
        <w:rPr>
          <w:rFonts w:ascii="Times New Roman" w:hAnsi="Times New Roman"/>
          <w:sz w:val="24"/>
          <w:szCs w:val="24"/>
        </w:rPr>
        <w:t>,</w:t>
      </w:r>
      <w:r w:rsidR="003778EE">
        <w:rPr>
          <w:rFonts w:ascii="Times New Roman" w:hAnsi="Times New Roman"/>
          <w:sz w:val="24"/>
          <w:szCs w:val="24"/>
        </w:rPr>
        <w:t xml:space="preserve"> e do Comitê Gestor do CDES, criado em 2008, </w:t>
      </w:r>
      <w:r w:rsidR="00470FD0">
        <w:rPr>
          <w:rFonts w:ascii="Times New Roman" w:hAnsi="Times New Roman"/>
          <w:sz w:val="24"/>
          <w:szCs w:val="24"/>
        </w:rPr>
        <w:t>como</w:t>
      </w:r>
      <w:r w:rsidR="003778EE">
        <w:rPr>
          <w:rFonts w:ascii="Times New Roman" w:hAnsi="Times New Roman"/>
          <w:sz w:val="24"/>
          <w:szCs w:val="24"/>
        </w:rPr>
        <w:t xml:space="preserve"> veremos adiante.</w:t>
      </w:r>
      <w:r>
        <w:rPr>
          <w:rFonts w:ascii="Times New Roman" w:hAnsi="Times New Roman"/>
          <w:sz w:val="24"/>
          <w:szCs w:val="24"/>
        </w:rPr>
        <w:t xml:space="preserve"> Atravessadas por fortes demandas no interior de sua plenária, a própria estrutura e modo de funcionamento do CDES, conduzido pela SEDES, teve que se amoldar às expectativas de lideranças que carregavam o </w:t>
      </w:r>
      <w:r>
        <w:rPr>
          <w:rFonts w:ascii="Times New Roman" w:hAnsi="Times New Roman"/>
          <w:i/>
          <w:sz w:val="24"/>
          <w:szCs w:val="24"/>
        </w:rPr>
        <w:t>habitus</w:t>
      </w:r>
      <w:r>
        <w:rPr>
          <w:rFonts w:ascii="Times New Roman" w:hAnsi="Times New Roman"/>
          <w:sz w:val="24"/>
          <w:szCs w:val="24"/>
        </w:rPr>
        <w:t xml:space="preserve"> político-organizativo das entidades em que atuavam. É apenas a partir de investigações preliminares calcadas no desvendamento das conflitivas relações sociais dos sujeitos organizados – e não num suposto “adensamento ou aperfeiçoamento institucional” emanado da burocracia -, que se pode entender os meandros da passagem a seguir, retirado do site do CDES: “</w:t>
      </w:r>
      <w:r w:rsidRPr="00347D94">
        <w:rPr>
          <w:rFonts w:ascii="Times New Roman" w:eastAsia="Times New Roman" w:hAnsi="Times New Roman"/>
          <w:sz w:val="24"/>
          <w:szCs w:val="24"/>
          <w:lang w:eastAsia="pt-BR"/>
        </w:rPr>
        <w:t>A metodologia de funcionamento do Conselho tem sido objeto de permanente avaliação e busca de aperfeiçoamento para fomentar e ampliar a escuta e construção compartilhada e potencializar sua assessoria ao Presidente</w:t>
      </w:r>
      <w:r>
        <w:rPr>
          <w:rFonts w:ascii="Times New Roman" w:eastAsia="Times New Roman" w:hAnsi="Times New Roman"/>
          <w:sz w:val="24"/>
          <w:szCs w:val="24"/>
          <w:lang w:eastAsia="pt-BR"/>
        </w:rPr>
        <w:t>”</w:t>
      </w:r>
      <w:r w:rsidRPr="00347D94">
        <w:rPr>
          <w:rFonts w:ascii="Times New Roman" w:eastAsia="Times New Roman" w:hAnsi="Times New Roman"/>
          <w:sz w:val="24"/>
          <w:szCs w:val="24"/>
          <w:lang w:eastAsia="pt-BR"/>
        </w:rPr>
        <w:t>.</w:t>
      </w:r>
      <w:r>
        <w:rPr>
          <w:rStyle w:val="Refdenotaderodap"/>
          <w:rFonts w:ascii="Times New Roman" w:eastAsia="Times New Roman" w:hAnsi="Times New Roman"/>
          <w:sz w:val="24"/>
          <w:szCs w:val="24"/>
          <w:lang w:eastAsia="pt-BR"/>
        </w:rPr>
        <w:footnoteReference w:id="106"/>
      </w:r>
    </w:p>
    <w:p w:rsidR="00CE3680" w:rsidRPr="003A1DEE" w:rsidRDefault="00CE3680" w:rsidP="00CE3680">
      <w:pPr>
        <w:rPr>
          <w:rFonts w:ascii="Times New Roman" w:hAnsi="Times New Roman"/>
          <w:b/>
          <w:sz w:val="24"/>
          <w:szCs w:val="24"/>
        </w:rPr>
      </w:pPr>
      <w:r>
        <w:rPr>
          <w:rFonts w:ascii="Times New Roman" w:hAnsi="Times New Roman"/>
          <w:b/>
          <w:sz w:val="24"/>
          <w:szCs w:val="24"/>
        </w:rPr>
        <w:t xml:space="preserve">1.3 - </w:t>
      </w:r>
      <w:r w:rsidRPr="003A1DEE">
        <w:rPr>
          <w:rFonts w:ascii="Times New Roman" w:hAnsi="Times New Roman"/>
          <w:b/>
          <w:sz w:val="24"/>
          <w:szCs w:val="24"/>
        </w:rPr>
        <w:t>A Secretaria do CDES – a SEDES</w:t>
      </w:r>
    </w:p>
    <w:p w:rsidR="00CE3680" w:rsidRDefault="00CE3680" w:rsidP="00CE3680">
      <w:pPr>
        <w:spacing w:after="0" w:line="360" w:lineRule="auto"/>
        <w:jc w:val="both"/>
        <w:rPr>
          <w:rFonts w:ascii="Times New Roman" w:hAnsi="Times New Roman"/>
          <w:sz w:val="24"/>
          <w:szCs w:val="24"/>
        </w:rPr>
      </w:pPr>
      <w:r>
        <w:rPr>
          <w:rFonts w:ascii="Times New Roman" w:hAnsi="Times New Roman"/>
          <w:sz w:val="24"/>
          <w:szCs w:val="24"/>
        </w:rPr>
        <w:tab/>
      </w:r>
      <w:r w:rsidRPr="00FC7BC5">
        <w:rPr>
          <w:rFonts w:ascii="Times New Roman" w:hAnsi="Times New Roman"/>
          <w:sz w:val="24"/>
          <w:szCs w:val="24"/>
        </w:rPr>
        <w:t>A SEDES, conhecida co</w:t>
      </w:r>
      <w:r>
        <w:rPr>
          <w:rFonts w:ascii="Times New Roman" w:hAnsi="Times New Roman"/>
          <w:sz w:val="24"/>
          <w:szCs w:val="24"/>
        </w:rPr>
        <w:t>mo “Secretaria do Conselho”, tinha</w:t>
      </w:r>
      <w:r w:rsidRPr="00FC7BC5">
        <w:rPr>
          <w:rFonts w:ascii="Times New Roman" w:hAnsi="Times New Roman"/>
          <w:sz w:val="24"/>
          <w:szCs w:val="24"/>
        </w:rPr>
        <w:t xml:space="preserve"> como atribuição dar suporte administrativo e logístico, coordenando as plenárias e demais atividades do CDES, mas destaca</w:t>
      </w:r>
      <w:r>
        <w:rPr>
          <w:rFonts w:ascii="Times New Roman" w:hAnsi="Times New Roman"/>
          <w:sz w:val="24"/>
          <w:szCs w:val="24"/>
        </w:rPr>
        <w:t>va</w:t>
      </w:r>
      <w:r w:rsidRPr="00FC7BC5">
        <w:rPr>
          <w:rFonts w:ascii="Times New Roman" w:hAnsi="Times New Roman"/>
          <w:sz w:val="24"/>
          <w:szCs w:val="24"/>
        </w:rPr>
        <w:t>-se, principalmente, como órgão da sociedade política que conduz</w:t>
      </w:r>
      <w:r>
        <w:rPr>
          <w:rFonts w:ascii="Times New Roman" w:hAnsi="Times New Roman"/>
          <w:sz w:val="24"/>
          <w:szCs w:val="24"/>
        </w:rPr>
        <w:t>ia</w:t>
      </w:r>
      <w:r w:rsidRPr="00FC7BC5">
        <w:rPr>
          <w:rFonts w:ascii="Times New Roman" w:hAnsi="Times New Roman"/>
          <w:sz w:val="24"/>
          <w:szCs w:val="24"/>
        </w:rPr>
        <w:t xml:space="preserve"> e traduz</w:t>
      </w:r>
      <w:r>
        <w:rPr>
          <w:rFonts w:ascii="Times New Roman" w:hAnsi="Times New Roman"/>
          <w:sz w:val="24"/>
          <w:szCs w:val="24"/>
        </w:rPr>
        <w:t>ia</w:t>
      </w:r>
      <w:r w:rsidRPr="00FC7BC5">
        <w:rPr>
          <w:rFonts w:ascii="Times New Roman" w:hAnsi="Times New Roman"/>
          <w:sz w:val="24"/>
          <w:szCs w:val="24"/>
        </w:rPr>
        <w:t xml:space="preserve"> para o Conselho os projetos e propostas governamentais que a ele chega</w:t>
      </w:r>
      <w:r>
        <w:rPr>
          <w:rFonts w:ascii="Times New Roman" w:hAnsi="Times New Roman"/>
          <w:sz w:val="24"/>
          <w:szCs w:val="24"/>
        </w:rPr>
        <w:t>va</w:t>
      </w:r>
      <w:r w:rsidRPr="00FC7BC5">
        <w:rPr>
          <w:rFonts w:ascii="Times New Roman" w:hAnsi="Times New Roman"/>
          <w:sz w:val="24"/>
          <w:szCs w:val="24"/>
        </w:rPr>
        <w:t>m.</w:t>
      </w:r>
      <w:r>
        <w:rPr>
          <w:rFonts w:ascii="Times New Roman" w:hAnsi="Times New Roman"/>
          <w:sz w:val="24"/>
          <w:szCs w:val="24"/>
        </w:rPr>
        <w:t xml:space="preserve"> Segundo consta no endereço eletrônico do Conselho, “a</w:t>
      </w:r>
      <w:r w:rsidRPr="00695360">
        <w:rPr>
          <w:rFonts w:ascii="Times New Roman" w:hAnsi="Times New Roman"/>
          <w:sz w:val="24"/>
          <w:szCs w:val="24"/>
        </w:rPr>
        <w:t xml:space="preserve"> estrutura técnica da Secretaria Executiva do CDES </w:t>
      </w:r>
      <w:r>
        <w:rPr>
          <w:rFonts w:ascii="Times New Roman" w:hAnsi="Times New Roman"/>
          <w:sz w:val="24"/>
          <w:szCs w:val="24"/>
        </w:rPr>
        <w:t xml:space="preserve">(...) </w:t>
      </w:r>
      <w:r w:rsidRPr="00695360">
        <w:rPr>
          <w:rFonts w:ascii="Times New Roman" w:hAnsi="Times New Roman"/>
          <w:sz w:val="24"/>
          <w:szCs w:val="24"/>
        </w:rPr>
        <w:t>é responsável pela coordenação técnica do processo de debate e de formulação de análises e propostas e pelo apoio organizativo do CDES</w:t>
      </w:r>
      <w:r>
        <w:rPr>
          <w:rFonts w:ascii="Times New Roman" w:hAnsi="Times New Roman"/>
          <w:sz w:val="24"/>
          <w:szCs w:val="24"/>
        </w:rPr>
        <w:t>”</w:t>
      </w:r>
      <w:r w:rsidRPr="00695360">
        <w:rPr>
          <w:rFonts w:ascii="Times New Roman" w:hAnsi="Times New Roman"/>
          <w:sz w:val="24"/>
          <w:szCs w:val="24"/>
        </w:rPr>
        <w:t>.</w:t>
      </w:r>
      <w:r>
        <w:rPr>
          <w:rStyle w:val="Refdenotaderodap"/>
          <w:rFonts w:ascii="Times New Roman" w:hAnsi="Times New Roman"/>
          <w:sz w:val="24"/>
          <w:szCs w:val="24"/>
        </w:rPr>
        <w:footnoteReference w:id="107"/>
      </w:r>
      <w:r>
        <w:rPr>
          <w:rFonts w:ascii="Times New Roman" w:hAnsi="Times New Roman"/>
          <w:sz w:val="24"/>
          <w:szCs w:val="24"/>
        </w:rPr>
        <w:t xml:space="preserve"> O artigo 21 da lei 10.683/03 assim define sua competência: </w:t>
      </w:r>
    </w:p>
    <w:p w:rsidR="00CE3680" w:rsidRPr="001F60C3" w:rsidRDefault="00CE3680" w:rsidP="00CE3680">
      <w:pPr>
        <w:spacing w:line="240" w:lineRule="auto"/>
        <w:ind w:left="2268"/>
        <w:jc w:val="both"/>
        <w:rPr>
          <w:rFonts w:ascii="Times New Roman" w:hAnsi="Times New Roman"/>
          <w:sz w:val="24"/>
          <w:szCs w:val="24"/>
        </w:rPr>
      </w:pPr>
      <w:r w:rsidRPr="001F60C3">
        <w:rPr>
          <w:rFonts w:ascii="Times New Roman" w:hAnsi="Times New Roman"/>
          <w:sz w:val="20"/>
          <w:szCs w:val="20"/>
        </w:rPr>
        <w:t>À Secretaria Especial do Conselho de Desenvolvimento Econômico e Social compete assessorar direta e imediatamente o Presidente da República na formulação de políticas e diretrizes específicas, bem como coordenar e secretariar o funcionamento do Conselho de Desenvolvimento Econômico e Social, visando à articulação da sociedade civil organizada para a consecução de um modelo de desenvolvimento configurador de um novo e amplo contrato social.</w:t>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Conforme Termo de Referência para sua formação, a SEDES era um “órgão articulador” entre o Conselho e o governo e deveria promover o “protagonismo dos Ministérios e instituições de primeiro escalão. Principalmente os que estiverem diretamente vinculados às matérias sobre as quais o governo pretende acordar visando obter maioria”.</w:t>
      </w:r>
      <w:r>
        <w:rPr>
          <w:rStyle w:val="Refdenotaderodap"/>
          <w:rFonts w:ascii="Times New Roman" w:hAnsi="Times New Roman"/>
          <w:sz w:val="24"/>
          <w:szCs w:val="24"/>
        </w:rPr>
        <w:footnoteReference w:id="108"/>
      </w:r>
    </w:p>
    <w:p w:rsidR="00CE3680" w:rsidRDefault="00CE3680" w:rsidP="00CE3680">
      <w:pPr>
        <w:spacing w:after="0" w:line="360" w:lineRule="auto"/>
        <w:jc w:val="both"/>
        <w:rPr>
          <w:rFonts w:ascii="Times New Roman" w:hAnsi="Times New Roman"/>
          <w:sz w:val="24"/>
          <w:szCs w:val="24"/>
        </w:rPr>
      </w:pPr>
      <w:r>
        <w:rPr>
          <w:rFonts w:ascii="Times New Roman" w:hAnsi="Times New Roman"/>
          <w:sz w:val="24"/>
          <w:szCs w:val="24"/>
        </w:rPr>
        <w:tab/>
        <w:t>Ainda com base no Termo de Referência, a SEDES “deverá atuar estreitamente ligada ao centro político do governo: Casa Civil, Ministério da Fazenda, Secretaria Geral da Presidência, Secretaria de Comunicação da Presidência”,</w:t>
      </w:r>
      <w:r>
        <w:rPr>
          <w:rStyle w:val="Refdenotaderodap"/>
          <w:rFonts w:ascii="Times New Roman" w:hAnsi="Times New Roman"/>
          <w:sz w:val="24"/>
          <w:szCs w:val="24"/>
        </w:rPr>
        <w:footnoteReference w:id="109"/>
      </w:r>
      <w:r>
        <w:rPr>
          <w:rFonts w:ascii="Times New Roman" w:hAnsi="Times New Roman"/>
          <w:sz w:val="24"/>
          <w:szCs w:val="24"/>
        </w:rPr>
        <w:t xml:space="preserve"> isto para garantir que os temas a serem propostos ao Conselho “não serão temas arbitrados por “partes” do governo, mas serão aqueles que correspondam a sua agenda prioritária, em cada período do atual mandato”.</w:t>
      </w:r>
      <w:r>
        <w:rPr>
          <w:rStyle w:val="Refdenotaderodap"/>
          <w:rFonts w:ascii="Times New Roman" w:hAnsi="Times New Roman"/>
          <w:sz w:val="24"/>
          <w:szCs w:val="24"/>
        </w:rPr>
        <w:footnoteReference w:id="110"/>
      </w:r>
      <w:r>
        <w:rPr>
          <w:rFonts w:ascii="Times New Roman" w:hAnsi="Times New Roman"/>
          <w:sz w:val="24"/>
          <w:szCs w:val="24"/>
        </w:rPr>
        <w:t xml:space="preserve"> Ou seja, a posição estratégica da Secretaria do CDES na arquitetura do aparato estatal, e suas relações com os demais órgãos e ministérios, foi originalmente pensada, em nosso entender, com a intenção de “blindar” o Conselho de pautas ou demandas não diretamente envolvidas com que o “núcleo do governo” buscava naquela conjuntura, principalmente por se tratar de um governo de coalizão. Esta hipótese é reforçada pela exigência de que “as posições apresentadas pelo Secretário da Secretaria Especial, no âmbito do Conselho, ou por qualquer autoridade governamental convidada, ou integrante do mesmo, serão posições definidas ou autorizadas pelo Presidente da República”.</w:t>
      </w:r>
      <w:r>
        <w:rPr>
          <w:rStyle w:val="Refdenotaderodap"/>
          <w:rFonts w:ascii="Times New Roman" w:hAnsi="Times New Roman"/>
          <w:sz w:val="24"/>
          <w:szCs w:val="24"/>
        </w:rPr>
        <w:footnoteReference w:id="111"/>
      </w:r>
    </w:p>
    <w:p w:rsidR="00CE3680" w:rsidRDefault="00CE3680" w:rsidP="00CE3680">
      <w:pPr>
        <w:spacing w:after="0" w:line="360" w:lineRule="auto"/>
        <w:jc w:val="both"/>
        <w:rPr>
          <w:rFonts w:ascii="Times New Roman" w:hAnsi="Times New Roman"/>
          <w:sz w:val="24"/>
          <w:szCs w:val="24"/>
        </w:rPr>
      </w:pPr>
      <w:r>
        <w:rPr>
          <w:rFonts w:ascii="Times New Roman" w:hAnsi="Times New Roman"/>
          <w:sz w:val="24"/>
          <w:szCs w:val="24"/>
        </w:rPr>
        <w:tab/>
      </w:r>
      <w:r w:rsidRPr="006664E5">
        <w:rPr>
          <w:rFonts w:ascii="Times New Roman" w:hAnsi="Times New Roman"/>
          <w:sz w:val="24"/>
          <w:szCs w:val="24"/>
        </w:rPr>
        <w:t>O presidente do CDES é o próprio Presidente da República e seu secretário é o</w:t>
      </w:r>
      <w:r w:rsidR="006664E5">
        <w:rPr>
          <w:rFonts w:ascii="Times New Roman" w:hAnsi="Times New Roman"/>
          <w:sz w:val="24"/>
          <w:szCs w:val="24"/>
        </w:rPr>
        <w:t xml:space="preserve"> Secretário Executivo da SEDES, </w:t>
      </w:r>
      <w:r w:rsidRPr="006664E5">
        <w:rPr>
          <w:rFonts w:ascii="Times New Roman" w:hAnsi="Times New Roman"/>
          <w:sz w:val="24"/>
          <w:szCs w:val="24"/>
        </w:rPr>
        <w:t>que preside as reuniões do CDES na ausência do presidente</w:t>
      </w:r>
      <w:r>
        <w:rPr>
          <w:rFonts w:ascii="Times New Roman" w:hAnsi="Times New Roman"/>
          <w:sz w:val="24"/>
          <w:szCs w:val="24"/>
        </w:rPr>
        <w:t>.</w:t>
      </w:r>
      <w:r>
        <w:rPr>
          <w:rStyle w:val="Refdenotaderodap"/>
          <w:rFonts w:ascii="Times New Roman" w:hAnsi="Times New Roman"/>
          <w:sz w:val="24"/>
          <w:szCs w:val="24"/>
        </w:rPr>
        <w:footnoteReference w:id="112"/>
      </w:r>
      <w:r>
        <w:rPr>
          <w:rFonts w:ascii="Times New Roman" w:hAnsi="Times New Roman"/>
          <w:sz w:val="24"/>
          <w:szCs w:val="24"/>
        </w:rPr>
        <w:t xml:space="preserve"> Entre 2003 e 2010, a SEDES foi coordenada por 5 Secretários Executivos, sendo um deles (Tarso Genro) responsável por dois mandatos:</w:t>
      </w:r>
    </w:p>
    <w:p w:rsidR="00CE3680" w:rsidRDefault="00CE3680" w:rsidP="00CE3680">
      <w:pPr>
        <w:pStyle w:val="PargrafodaLista"/>
        <w:numPr>
          <w:ilvl w:val="0"/>
          <w:numId w:val="6"/>
        </w:numPr>
        <w:spacing w:after="0" w:line="360" w:lineRule="auto"/>
        <w:jc w:val="both"/>
        <w:rPr>
          <w:rFonts w:ascii="Times New Roman" w:hAnsi="Times New Roman"/>
          <w:sz w:val="24"/>
          <w:szCs w:val="24"/>
        </w:rPr>
      </w:pPr>
      <w:r>
        <w:rPr>
          <w:rFonts w:ascii="Times New Roman" w:hAnsi="Times New Roman"/>
          <w:sz w:val="24"/>
          <w:szCs w:val="24"/>
        </w:rPr>
        <w:t>Tarso Genro: de 01/01/2003 a 23/01/04;</w:t>
      </w:r>
    </w:p>
    <w:p w:rsidR="00CE3680" w:rsidRDefault="00CE3680" w:rsidP="00CE3680">
      <w:pPr>
        <w:pStyle w:val="PargrafodaLista"/>
        <w:numPr>
          <w:ilvl w:val="0"/>
          <w:numId w:val="6"/>
        </w:numPr>
        <w:spacing w:after="0" w:line="360" w:lineRule="auto"/>
        <w:jc w:val="both"/>
        <w:rPr>
          <w:rFonts w:ascii="Times New Roman" w:hAnsi="Times New Roman"/>
          <w:sz w:val="24"/>
          <w:szCs w:val="24"/>
        </w:rPr>
      </w:pPr>
      <w:r>
        <w:rPr>
          <w:rFonts w:ascii="Times New Roman" w:hAnsi="Times New Roman"/>
          <w:sz w:val="24"/>
          <w:szCs w:val="24"/>
        </w:rPr>
        <w:t>Jaques Wagner: de 23/01/04 a 31/03/06;</w:t>
      </w:r>
    </w:p>
    <w:p w:rsidR="00CE3680" w:rsidRDefault="00CE3680" w:rsidP="00CE3680">
      <w:pPr>
        <w:pStyle w:val="PargrafodaLista"/>
        <w:numPr>
          <w:ilvl w:val="0"/>
          <w:numId w:val="6"/>
        </w:numPr>
        <w:spacing w:after="0" w:line="360" w:lineRule="auto"/>
        <w:jc w:val="both"/>
        <w:rPr>
          <w:rFonts w:ascii="Times New Roman" w:hAnsi="Times New Roman"/>
          <w:sz w:val="24"/>
          <w:szCs w:val="24"/>
        </w:rPr>
      </w:pPr>
      <w:r>
        <w:rPr>
          <w:rFonts w:ascii="Times New Roman" w:hAnsi="Times New Roman"/>
          <w:sz w:val="24"/>
          <w:szCs w:val="24"/>
        </w:rPr>
        <w:t>Tarso Genro: 01/04/06 a 23/03/07;</w:t>
      </w:r>
    </w:p>
    <w:p w:rsidR="00CE3680" w:rsidRDefault="00CE3680" w:rsidP="00CE3680">
      <w:pPr>
        <w:pStyle w:val="PargrafodaLista"/>
        <w:numPr>
          <w:ilvl w:val="0"/>
          <w:numId w:val="6"/>
        </w:numPr>
        <w:spacing w:after="0" w:line="360" w:lineRule="auto"/>
        <w:jc w:val="both"/>
        <w:rPr>
          <w:rFonts w:ascii="Times New Roman" w:hAnsi="Times New Roman"/>
          <w:sz w:val="24"/>
          <w:szCs w:val="24"/>
        </w:rPr>
      </w:pPr>
      <w:r>
        <w:rPr>
          <w:rFonts w:ascii="Times New Roman" w:hAnsi="Times New Roman"/>
          <w:sz w:val="24"/>
          <w:szCs w:val="24"/>
        </w:rPr>
        <w:t>Walfrido dos Mares Guia: 23/03/07 a 26/11/07;</w:t>
      </w:r>
    </w:p>
    <w:p w:rsidR="00CE3680" w:rsidRDefault="00CE3680" w:rsidP="00CE3680">
      <w:pPr>
        <w:pStyle w:val="PargrafodaLista"/>
        <w:numPr>
          <w:ilvl w:val="0"/>
          <w:numId w:val="6"/>
        </w:numPr>
        <w:spacing w:after="0" w:line="360" w:lineRule="auto"/>
        <w:jc w:val="both"/>
        <w:rPr>
          <w:rFonts w:ascii="Times New Roman" w:hAnsi="Times New Roman"/>
          <w:sz w:val="24"/>
          <w:szCs w:val="24"/>
        </w:rPr>
      </w:pPr>
      <w:r>
        <w:rPr>
          <w:rFonts w:ascii="Times New Roman" w:hAnsi="Times New Roman"/>
          <w:sz w:val="24"/>
          <w:szCs w:val="24"/>
        </w:rPr>
        <w:t>José Múcio Monteiro: 26/11/07 a 28/09/09;</w:t>
      </w:r>
    </w:p>
    <w:p w:rsidR="00CE3680" w:rsidRPr="003E0FC4" w:rsidRDefault="00CE3680" w:rsidP="00CE3680">
      <w:pPr>
        <w:pStyle w:val="PargrafodaLista"/>
        <w:numPr>
          <w:ilvl w:val="0"/>
          <w:numId w:val="6"/>
        </w:numPr>
        <w:spacing w:line="360" w:lineRule="auto"/>
        <w:jc w:val="both"/>
        <w:rPr>
          <w:rFonts w:ascii="Times New Roman" w:hAnsi="Times New Roman"/>
          <w:sz w:val="24"/>
          <w:szCs w:val="24"/>
        </w:rPr>
      </w:pPr>
      <w:r>
        <w:rPr>
          <w:rFonts w:ascii="Times New Roman" w:hAnsi="Times New Roman"/>
          <w:sz w:val="24"/>
          <w:szCs w:val="24"/>
        </w:rPr>
        <w:t>Alexandre Padilha: 28/09/09 a 01/01/11.</w:t>
      </w:r>
    </w:p>
    <w:p w:rsidR="00CE3680" w:rsidRDefault="00CE3680" w:rsidP="00CE3680">
      <w:pPr>
        <w:spacing w:line="360" w:lineRule="auto"/>
        <w:ind w:firstLine="720"/>
        <w:jc w:val="both"/>
        <w:rPr>
          <w:rFonts w:ascii="Times New Roman" w:hAnsi="Times New Roman"/>
          <w:sz w:val="24"/>
          <w:szCs w:val="24"/>
        </w:rPr>
      </w:pPr>
      <w:r>
        <w:rPr>
          <w:rFonts w:ascii="Times New Roman" w:hAnsi="Times New Roman"/>
          <w:sz w:val="24"/>
          <w:szCs w:val="24"/>
        </w:rPr>
        <w:t>Neste período, a estrutura organizacional da SEDES apresentou duas configurações: a proveniente de formação originária (janeiro de 2003) até julho de 2005, quando foi realizada, por meio da MP 259, uma reforma ministerial em que a Secretaria de Relações Institucionais (SRI) foi criada e inscreveu-se como um dos órgãos submetidos à Presidência da República e, em particular, de sua assessoria direta e imediata, como aponta o artigo 1º e 2º da lei 11.204 que regulamentou a referida MP, em dezembro do mesmo ano</w:t>
      </w:r>
      <w:bookmarkStart w:id="0" w:name="a2"/>
      <w:bookmarkEnd w:id="0"/>
      <w:r>
        <w:rPr>
          <w:rFonts w:ascii="Times New Roman" w:hAnsi="Times New Roman"/>
          <w:sz w:val="24"/>
          <w:szCs w:val="24"/>
        </w:rPr>
        <w:t>. A partir de então, o CDES ficou a cargo administrativo e coordenativo da Secretaria de Relações Institucionais, conforme §2º do artigo 2º da lei:</w:t>
      </w:r>
    </w:p>
    <w:p w:rsidR="00CE3680" w:rsidRPr="00FF3C8A" w:rsidRDefault="00CE3680" w:rsidP="00CE3680">
      <w:pPr>
        <w:spacing w:line="240" w:lineRule="auto"/>
        <w:ind w:left="2268"/>
        <w:jc w:val="both"/>
        <w:rPr>
          <w:rFonts w:ascii="Times New Roman" w:hAnsi="Times New Roman"/>
          <w:sz w:val="20"/>
          <w:szCs w:val="20"/>
        </w:rPr>
      </w:pPr>
      <w:r w:rsidRPr="00FF3C8A">
        <w:rPr>
          <w:rFonts w:ascii="Times New Roman" w:hAnsi="Times New Roman"/>
          <w:b/>
          <w:bCs/>
          <w:sz w:val="20"/>
          <w:szCs w:val="20"/>
        </w:rPr>
        <w:t>Art. 2</w:t>
      </w:r>
      <w:r w:rsidRPr="00FF3C8A">
        <w:rPr>
          <w:rFonts w:ascii="Times New Roman" w:hAnsi="Times New Roman"/>
          <w:sz w:val="20"/>
          <w:szCs w:val="20"/>
          <w:u w:val="single"/>
          <w:vertAlign w:val="superscript"/>
        </w:rPr>
        <w:t>o</w:t>
      </w:r>
      <w:r w:rsidRPr="00FF3C8A">
        <w:rPr>
          <w:rFonts w:ascii="Times New Roman" w:hAnsi="Times New Roman"/>
          <w:sz w:val="20"/>
          <w:szCs w:val="20"/>
        </w:rPr>
        <w:t>-A. À Secretaria de Relações Institucionais da Presidência da República compete assistir direta e imediatamente ao Presidente da República no desempenho de suas atribuições e, em especial:</w:t>
      </w:r>
    </w:p>
    <w:p w:rsidR="00CE3680" w:rsidRPr="00FF3C8A" w:rsidRDefault="00CE3680" w:rsidP="00CE3680">
      <w:pPr>
        <w:spacing w:line="240" w:lineRule="auto"/>
        <w:ind w:left="2268"/>
        <w:jc w:val="both"/>
        <w:rPr>
          <w:rFonts w:ascii="Times New Roman" w:hAnsi="Times New Roman"/>
          <w:sz w:val="20"/>
          <w:szCs w:val="20"/>
        </w:rPr>
      </w:pPr>
      <w:r w:rsidRPr="00FF3C8A">
        <w:rPr>
          <w:rFonts w:ascii="Times New Roman" w:hAnsi="Times New Roman"/>
          <w:sz w:val="20"/>
          <w:szCs w:val="20"/>
        </w:rPr>
        <w:t>I - na coordenação política do Governo;</w:t>
      </w:r>
    </w:p>
    <w:p w:rsidR="00CE3680" w:rsidRPr="00FF3C8A" w:rsidRDefault="00CE3680" w:rsidP="00CE3680">
      <w:pPr>
        <w:spacing w:line="240" w:lineRule="auto"/>
        <w:ind w:left="2268"/>
        <w:jc w:val="both"/>
        <w:rPr>
          <w:rFonts w:ascii="Times New Roman" w:hAnsi="Times New Roman"/>
          <w:sz w:val="20"/>
          <w:szCs w:val="20"/>
        </w:rPr>
      </w:pPr>
      <w:r w:rsidRPr="00FF3C8A">
        <w:rPr>
          <w:rFonts w:ascii="Times New Roman" w:hAnsi="Times New Roman"/>
          <w:sz w:val="20"/>
          <w:szCs w:val="20"/>
        </w:rPr>
        <w:t>II - na condução do relacionamento do Governo com o Congresso Nacional e os Partidos Políticos; e</w:t>
      </w:r>
    </w:p>
    <w:p w:rsidR="00CE3680" w:rsidRPr="00FF3C8A" w:rsidRDefault="00CE3680" w:rsidP="00CE3680">
      <w:pPr>
        <w:spacing w:line="240" w:lineRule="auto"/>
        <w:ind w:left="2268"/>
        <w:jc w:val="both"/>
        <w:rPr>
          <w:rFonts w:ascii="Times New Roman" w:hAnsi="Times New Roman"/>
          <w:sz w:val="20"/>
          <w:szCs w:val="20"/>
        </w:rPr>
      </w:pPr>
      <w:r w:rsidRPr="00FF3C8A">
        <w:rPr>
          <w:rFonts w:ascii="Times New Roman" w:hAnsi="Times New Roman"/>
          <w:sz w:val="20"/>
          <w:szCs w:val="20"/>
        </w:rPr>
        <w:t>III - na interlocução com os Estados, o Distrito Federal e os Municípios.</w:t>
      </w:r>
    </w:p>
    <w:p w:rsidR="00CE3680" w:rsidRPr="00FF3C8A" w:rsidRDefault="00CE3680" w:rsidP="00CE3680">
      <w:pPr>
        <w:spacing w:line="240" w:lineRule="auto"/>
        <w:ind w:left="2268"/>
        <w:jc w:val="both"/>
        <w:rPr>
          <w:rFonts w:ascii="Times New Roman" w:hAnsi="Times New Roman"/>
          <w:sz w:val="20"/>
          <w:szCs w:val="20"/>
        </w:rPr>
      </w:pPr>
      <w:r w:rsidRPr="00FF3C8A">
        <w:rPr>
          <w:rFonts w:ascii="Times New Roman" w:hAnsi="Times New Roman"/>
          <w:sz w:val="20"/>
          <w:szCs w:val="20"/>
        </w:rPr>
        <w:t>§ 1</w:t>
      </w:r>
      <w:r w:rsidRPr="00FF3C8A">
        <w:rPr>
          <w:rFonts w:ascii="Times New Roman" w:hAnsi="Times New Roman"/>
          <w:sz w:val="20"/>
          <w:szCs w:val="20"/>
          <w:u w:val="single"/>
          <w:vertAlign w:val="superscript"/>
        </w:rPr>
        <w:t>o</w:t>
      </w:r>
      <w:r w:rsidRPr="00FF3C8A">
        <w:rPr>
          <w:rFonts w:ascii="Times New Roman" w:hAnsi="Times New Roman"/>
          <w:sz w:val="20"/>
          <w:szCs w:val="20"/>
        </w:rPr>
        <w:t xml:space="preserve"> Compete, ainda, à Secretaria de Relações Institucionais da Presidência da República coordenar e secretariar o funcionamento do Conselho de Desenvolvimento Econômico e Social, visando à articulação da sociedade civil organizada para a consecução de modelo de desenvolvimento configurador de novo e amplo contrato social.</w:t>
      </w:r>
    </w:p>
    <w:p w:rsidR="00CE3680" w:rsidRDefault="00CE3680" w:rsidP="00CE3680">
      <w:pPr>
        <w:ind w:left="2268"/>
        <w:jc w:val="both"/>
        <w:rPr>
          <w:rFonts w:ascii="Times New Roman" w:hAnsi="Times New Roman"/>
          <w:sz w:val="20"/>
          <w:szCs w:val="20"/>
        </w:rPr>
      </w:pPr>
      <w:r w:rsidRPr="004801BD">
        <w:rPr>
          <w:rFonts w:ascii="Times New Roman" w:hAnsi="Times New Roman"/>
          <w:sz w:val="20"/>
          <w:szCs w:val="20"/>
        </w:rPr>
        <w:t>§ 2</w:t>
      </w:r>
      <w:r w:rsidRPr="004801BD">
        <w:rPr>
          <w:rFonts w:ascii="Times New Roman" w:hAnsi="Times New Roman"/>
          <w:sz w:val="20"/>
          <w:szCs w:val="20"/>
          <w:u w:val="single"/>
          <w:vertAlign w:val="superscript"/>
        </w:rPr>
        <w:t>o</w:t>
      </w:r>
      <w:r w:rsidRPr="004801BD">
        <w:rPr>
          <w:rFonts w:ascii="Times New Roman" w:hAnsi="Times New Roman"/>
          <w:sz w:val="20"/>
          <w:szCs w:val="20"/>
        </w:rPr>
        <w:t xml:space="preserve"> A Secretaria de Relações Institucionais da Presidência da República tem como estrutura básica o Gabinete, 1 (uma) Subchefia-Executiva, até 2 (duas) Subchefias e a Secretaria do Conselho de Desenvolvimento Econômico e Social</w:t>
      </w:r>
      <w:r>
        <w:rPr>
          <w:rFonts w:ascii="Times New Roman" w:hAnsi="Times New Roman"/>
          <w:sz w:val="20"/>
          <w:szCs w:val="20"/>
        </w:rPr>
        <w:t>.</w:t>
      </w:r>
    </w:p>
    <w:p w:rsidR="00393411" w:rsidRDefault="00393411" w:rsidP="00CE3680">
      <w:pPr>
        <w:ind w:left="2268"/>
        <w:jc w:val="both"/>
        <w:rPr>
          <w:rFonts w:ascii="Times New Roman" w:hAnsi="Times New Roman"/>
          <w:sz w:val="20"/>
          <w:szCs w:val="20"/>
        </w:rPr>
      </w:pPr>
    </w:p>
    <w:p w:rsidR="00CE3680" w:rsidRPr="00527BCF" w:rsidRDefault="00DB7322" w:rsidP="00CE3680">
      <w:pPr>
        <w:spacing w:line="360" w:lineRule="auto"/>
        <w:jc w:val="center"/>
        <w:rPr>
          <w:rFonts w:ascii="Times New Roman" w:hAnsi="Times New Roman"/>
          <w:b/>
          <w:sz w:val="24"/>
          <w:szCs w:val="24"/>
        </w:rPr>
      </w:pPr>
      <w:r w:rsidRPr="00DB7322">
        <w:rPr>
          <w:rFonts w:ascii="Times New Roman" w:hAnsi="Times New Roman"/>
          <w:noProof/>
          <w:sz w:val="24"/>
          <w:szCs w:val="24"/>
        </w:rPr>
        <w:pict>
          <v:rect id="_x0000_s1026" style="position:absolute;left:0;text-align:left;margin-left:126pt;margin-top:30.05pt;width:153pt;height:27pt;z-index:251651072">
            <v:textbox style="mso-next-textbox:#_x0000_s1026">
              <w:txbxContent>
                <w:p w:rsidR="00DD31B9" w:rsidRPr="00527BCF" w:rsidRDefault="00DD31B9" w:rsidP="00CE3680">
                  <w:pPr>
                    <w:jc w:val="center"/>
                    <w:rPr>
                      <w:rFonts w:ascii="Times New Roman" w:hAnsi="Times New Roman"/>
                      <w:sz w:val="20"/>
                      <w:szCs w:val="20"/>
                    </w:rPr>
                  </w:pPr>
                  <w:r w:rsidRPr="00527BCF">
                    <w:rPr>
                      <w:rFonts w:ascii="Times New Roman" w:hAnsi="Times New Roman"/>
                      <w:sz w:val="20"/>
                      <w:szCs w:val="20"/>
                    </w:rPr>
                    <w:t>Presidência da República</w:t>
                  </w:r>
                </w:p>
              </w:txbxContent>
            </v:textbox>
          </v:rect>
        </w:pict>
      </w:r>
      <w:r w:rsidR="00CE3680" w:rsidRPr="00527BCF">
        <w:rPr>
          <w:rFonts w:ascii="Times New Roman" w:hAnsi="Times New Roman"/>
          <w:b/>
          <w:sz w:val="24"/>
          <w:szCs w:val="24"/>
        </w:rPr>
        <w:t>Organograma do CDES</w:t>
      </w:r>
      <w:r w:rsidR="00CE3680">
        <w:rPr>
          <w:rFonts w:ascii="Times New Roman" w:hAnsi="Times New Roman"/>
          <w:b/>
          <w:sz w:val="24"/>
          <w:szCs w:val="24"/>
        </w:rPr>
        <w:t xml:space="preserve"> (2005-2010)</w:t>
      </w:r>
    </w:p>
    <w:p w:rsidR="00393411" w:rsidRDefault="00393411" w:rsidP="00CE3680">
      <w:pPr>
        <w:spacing w:line="360" w:lineRule="auto"/>
        <w:jc w:val="center"/>
      </w:pPr>
    </w:p>
    <w:p w:rsidR="00CE3680" w:rsidRDefault="00DB7322" w:rsidP="001D6639">
      <w:pPr>
        <w:spacing w:line="360" w:lineRule="auto"/>
        <w:jc w:val="center"/>
        <w:rPr>
          <w:rFonts w:ascii="Times New Roman" w:hAnsi="Times New Roman"/>
        </w:rPr>
      </w:pPr>
      <w:r>
        <w:rPr>
          <w:rFonts w:ascii="Times New Roman" w:hAnsi="Times New Roman"/>
          <w:noProof/>
          <w:lang w:eastAsia="pt-BR"/>
        </w:rPr>
        <w:pict>
          <v:rect id="_x0000_s1044" style="position:absolute;left:0;text-align:left;margin-left:88.8pt;margin-top:10.85pt;width:3in;height:33.05pt;z-index:251666432">
            <v:textbox style="mso-next-textbox:#_x0000_s1044">
              <w:txbxContent>
                <w:p w:rsidR="00DD31B9" w:rsidRDefault="00DD31B9" w:rsidP="007B4975">
                  <w:pPr>
                    <w:spacing w:after="0" w:line="240" w:lineRule="auto"/>
                    <w:jc w:val="center"/>
                    <w:rPr>
                      <w:rFonts w:ascii="Times New Roman" w:hAnsi="Times New Roman"/>
                      <w:sz w:val="20"/>
                      <w:szCs w:val="20"/>
                    </w:rPr>
                  </w:pPr>
                  <w:r w:rsidRPr="004D66D2">
                    <w:rPr>
                      <w:rFonts w:ascii="Times New Roman" w:hAnsi="Times New Roman"/>
                      <w:sz w:val="20"/>
                      <w:szCs w:val="20"/>
                    </w:rPr>
                    <w:t xml:space="preserve">Secretaria </w:t>
                  </w:r>
                  <w:r>
                    <w:rPr>
                      <w:rFonts w:ascii="Times New Roman" w:hAnsi="Times New Roman"/>
                      <w:sz w:val="20"/>
                      <w:szCs w:val="20"/>
                    </w:rPr>
                    <w:t xml:space="preserve">de Relações Institucionais </w:t>
                  </w:r>
                </w:p>
                <w:p w:rsidR="00DD31B9" w:rsidRPr="004D66D2" w:rsidRDefault="00DD31B9" w:rsidP="007B4975">
                  <w:pPr>
                    <w:spacing w:line="240" w:lineRule="auto"/>
                    <w:jc w:val="center"/>
                    <w:rPr>
                      <w:rFonts w:ascii="Times New Roman" w:hAnsi="Times New Roman"/>
                      <w:sz w:val="20"/>
                      <w:szCs w:val="20"/>
                    </w:rPr>
                  </w:pPr>
                  <w:r>
                    <w:rPr>
                      <w:rFonts w:ascii="Times New Roman" w:hAnsi="Times New Roman"/>
                      <w:sz w:val="20"/>
                      <w:szCs w:val="20"/>
                    </w:rPr>
                    <w:t>(a partir da lei11.204 de 2005)</w:t>
                  </w:r>
                </w:p>
              </w:txbxContent>
            </v:textbox>
          </v:rect>
        </w:pict>
      </w:r>
    </w:p>
    <w:p w:rsidR="001D6639" w:rsidRDefault="00DB7322" w:rsidP="001D6639">
      <w:pPr>
        <w:spacing w:line="360" w:lineRule="auto"/>
        <w:jc w:val="center"/>
        <w:rPr>
          <w:rFonts w:ascii="Times New Roman" w:hAnsi="Times New Roman"/>
        </w:rPr>
      </w:pPr>
      <w:r w:rsidRPr="00DB7322">
        <w:rPr>
          <w:noProof/>
        </w:rPr>
        <w:pict>
          <v:rect id="_x0000_s1027" style="position:absolute;left:0;text-align:left;margin-left:83.15pt;margin-top:26.95pt;width:230.6pt;height:33.05pt;z-index:251652096">
            <v:textbox style="mso-next-textbox:#_x0000_s1027">
              <w:txbxContent>
                <w:p w:rsidR="00DD31B9" w:rsidRPr="004D66D2" w:rsidRDefault="00DD31B9" w:rsidP="00CE3680">
                  <w:pPr>
                    <w:spacing w:line="240" w:lineRule="auto"/>
                    <w:jc w:val="center"/>
                    <w:rPr>
                      <w:rFonts w:ascii="Times New Roman" w:hAnsi="Times New Roman"/>
                      <w:sz w:val="20"/>
                      <w:szCs w:val="20"/>
                    </w:rPr>
                  </w:pPr>
                  <w:r w:rsidRPr="004D66D2">
                    <w:rPr>
                      <w:rFonts w:ascii="Times New Roman" w:hAnsi="Times New Roman"/>
                      <w:sz w:val="20"/>
                      <w:szCs w:val="20"/>
                    </w:rPr>
                    <w:t>Secretaria de Desenvolvimento Econômico e Social</w:t>
                  </w:r>
                  <w:r>
                    <w:rPr>
                      <w:rFonts w:ascii="Times New Roman" w:hAnsi="Times New Roman"/>
                      <w:sz w:val="20"/>
                      <w:szCs w:val="20"/>
                    </w:rPr>
                    <w:t xml:space="preserve"> (SEDES)</w:t>
                  </w:r>
                </w:p>
              </w:txbxContent>
            </v:textbox>
          </v:rect>
        </w:pict>
      </w:r>
    </w:p>
    <w:p w:rsidR="001D6639" w:rsidRDefault="001D6639" w:rsidP="001D6639">
      <w:pPr>
        <w:spacing w:line="360" w:lineRule="auto"/>
        <w:jc w:val="center"/>
      </w:pPr>
    </w:p>
    <w:p w:rsidR="00CE3680" w:rsidRPr="003054A0" w:rsidRDefault="00DB7322" w:rsidP="00CE3680">
      <w:pPr>
        <w:spacing w:line="360" w:lineRule="auto"/>
        <w:jc w:val="center"/>
      </w:pPr>
      <w:r>
        <w:rPr>
          <w:noProof/>
          <w:lang w:eastAsia="pt-BR"/>
        </w:rPr>
        <w:pict>
          <v:rect id="_x0000_s1032" style="position:absolute;left:0;text-align:left;margin-left:332.4pt;margin-top:17.65pt;width:108pt;height:29.55pt;z-index:251656192">
            <v:textbox style="mso-next-textbox:#_x0000_s1032">
              <w:txbxContent>
                <w:p w:rsidR="00DD31B9" w:rsidRPr="006812CF" w:rsidRDefault="00DD31B9" w:rsidP="00CE3680">
                  <w:pPr>
                    <w:spacing w:line="240" w:lineRule="auto"/>
                    <w:jc w:val="center"/>
                    <w:rPr>
                      <w:rFonts w:ascii="Times New Roman" w:hAnsi="Times New Roman"/>
                      <w:sz w:val="20"/>
                      <w:szCs w:val="20"/>
                    </w:rPr>
                  </w:pPr>
                  <w:r w:rsidRPr="006812CF">
                    <w:rPr>
                      <w:rFonts w:ascii="Times New Roman" w:hAnsi="Times New Roman"/>
                      <w:sz w:val="20"/>
                      <w:szCs w:val="20"/>
                    </w:rPr>
                    <w:t>Dir. de Apoio a For-mulação de Políticas</w:t>
                  </w:r>
                </w:p>
              </w:txbxContent>
            </v:textbox>
          </v:rect>
        </w:pict>
      </w:r>
      <w:r>
        <w:rPr>
          <w:noProof/>
          <w:lang w:eastAsia="pt-BR"/>
        </w:rPr>
        <w:pict>
          <v:rect id="_x0000_s1031" style="position:absolute;left:0;text-align:left;margin-left:220.35pt;margin-top:17.65pt;width:99.05pt;height:29.55pt;z-index:251655168">
            <v:textbox style="mso-next-textbox:#_x0000_s1031">
              <w:txbxContent>
                <w:p w:rsidR="00DD31B9" w:rsidRPr="006812CF" w:rsidRDefault="00DD31B9" w:rsidP="00CE3680">
                  <w:pPr>
                    <w:spacing w:line="240" w:lineRule="auto"/>
                    <w:jc w:val="center"/>
                    <w:rPr>
                      <w:rFonts w:ascii="Times New Roman" w:hAnsi="Times New Roman"/>
                      <w:sz w:val="20"/>
                      <w:szCs w:val="20"/>
                    </w:rPr>
                  </w:pPr>
                  <w:r w:rsidRPr="006812CF">
                    <w:rPr>
                      <w:rFonts w:ascii="Times New Roman" w:hAnsi="Times New Roman"/>
                      <w:sz w:val="20"/>
                      <w:szCs w:val="20"/>
                    </w:rPr>
                    <w:t>Dir. Tecnologia do Diálogo Social</w:t>
                  </w:r>
                </w:p>
              </w:txbxContent>
            </v:textbox>
          </v:rect>
        </w:pict>
      </w:r>
      <w:r>
        <w:rPr>
          <w:noProof/>
          <w:lang w:eastAsia="pt-BR"/>
        </w:rPr>
        <w:pict>
          <v:rect id="_x0000_s1030" style="position:absolute;left:0;text-align:left;margin-left:116.4pt;margin-top:17.65pt;width:99pt;height:29.55pt;z-index:251654144">
            <v:textbox style="mso-next-textbox:#_x0000_s1030">
              <w:txbxContent>
                <w:p w:rsidR="00DD31B9" w:rsidRPr="006812CF" w:rsidRDefault="00DD31B9" w:rsidP="00CE3680">
                  <w:pPr>
                    <w:spacing w:line="240" w:lineRule="auto"/>
                    <w:jc w:val="center"/>
                    <w:rPr>
                      <w:rFonts w:ascii="Times New Roman" w:hAnsi="Times New Roman"/>
                      <w:sz w:val="20"/>
                      <w:szCs w:val="20"/>
                    </w:rPr>
                  </w:pPr>
                  <w:r w:rsidRPr="006812CF">
                    <w:rPr>
                      <w:rFonts w:ascii="Times New Roman" w:hAnsi="Times New Roman"/>
                      <w:sz w:val="20"/>
                      <w:szCs w:val="20"/>
                    </w:rPr>
                    <w:t>Diretoria de Gestão do CDES</w:t>
                  </w:r>
                </w:p>
              </w:txbxContent>
            </v:textbox>
          </v:rect>
        </w:pict>
      </w:r>
      <w:r>
        <w:rPr>
          <w:noProof/>
        </w:rPr>
        <w:pict>
          <v:rect id="_x0000_s1029" style="position:absolute;left:0;text-align:left;margin-left:-18.55pt;margin-top:17.65pt;width:126pt;height:29.55pt;z-index:251653120">
            <v:textbox style="mso-next-textbox:#_x0000_s1029">
              <w:txbxContent>
                <w:p w:rsidR="00DD31B9" w:rsidRPr="006812CF" w:rsidRDefault="00DD31B9" w:rsidP="00CE3680">
                  <w:pPr>
                    <w:spacing w:line="240" w:lineRule="auto"/>
                    <w:jc w:val="center"/>
                    <w:rPr>
                      <w:rFonts w:ascii="Times New Roman" w:hAnsi="Times New Roman"/>
                      <w:sz w:val="20"/>
                      <w:szCs w:val="20"/>
                    </w:rPr>
                  </w:pPr>
                  <w:r w:rsidRPr="006812CF">
                    <w:rPr>
                      <w:rFonts w:ascii="Times New Roman" w:hAnsi="Times New Roman"/>
                      <w:sz w:val="20"/>
                      <w:szCs w:val="20"/>
                    </w:rPr>
                    <w:t>Secretário da SEDES/ Secretário Adjunto</w:t>
                  </w:r>
                </w:p>
              </w:txbxContent>
            </v:textbox>
          </v:rect>
        </w:pict>
      </w:r>
    </w:p>
    <w:p w:rsidR="00CE3680" w:rsidRDefault="00CE3680" w:rsidP="00CE3680">
      <w:pPr>
        <w:spacing w:line="360" w:lineRule="auto"/>
        <w:ind w:firstLine="708"/>
        <w:jc w:val="both"/>
      </w:pPr>
    </w:p>
    <w:p w:rsidR="00CE3680" w:rsidRDefault="00DB7322" w:rsidP="00CE3680">
      <w:pPr>
        <w:spacing w:line="360" w:lineRule="auto"/>
        <w:ind w:firstLine="708"/>
        <w:jc w:val="both"/>
      </w:pPr>
      <w:r>
        <w:rPr>
          <w:noProof/>
          <w:lang w:eastAsia="pt-BR"/>
        </w:rPr>
        <w:pict>
          <v:rect id="_x0000_s1033" style="position:absolute;left:0;text-align:left;margin-left:107.45pt;margin-top:3pt;width:224.95pt;height:30.05pt;z-index:251657216">
            <v:textbox style="mso-next-textbox:#_x0000_s1033">
              <w:txbxContent>
                <w:p w:rsidR="00DD31B9" w:rsidRPr="006812CF" w:rsidRDefault="00DD31B9" w:rsidP="00CE3680">
                  <w:pPr>
                    <w:spacing w:line="240" w:lineRule="auto"/>
                    <w:jc w:val="center"/>
                    <w:rPr>
                      <w:rFonts w:ascii="Times New Roman" w:hAnsi="Times New Roman"/>
                      <w:sz w:val="20"/>
                      <w:szCs w:val="20"/>
                    </w:rPr>
                  </w:pPr>
                  <w:r w:rsidRPr="006812CF">
                    <w:rPr>
                      <w:rFonts w:ascii="Times New Roman" w:hAnsi="Times New Roman"/>
                      <w:sz w:val="20"/>
                      <w:szCs w:val="20"/>
                    </w:rPr>
                    <w:t>CONSELHO DE DESENVOLVIMENTO ECONÔMICO E SOCIAL</w:t>
                  </w:r>
                </w:p>
              </w:txbxContent>
            </v:textbox>
          </v:rect>
        </w:pict>
      </w:r>
    </w:p>
    <w:p w:rsidR="00CE3680" w:rsidRDefault="00CE3680" w:rsidP="007B4975">
      <w:pPr>
        <w:spacing w:after="0" w:line="360" w:lineRule="auto"/>
        <w:ind w:firstLine="708"/>
        <w:jc w:val="center"/>
        <w:rPr>
          <w:rFonts w:ascii="Times New Roman" w:hAnsi="Times New Roman"/>
          <w:b/>
          <w:sz w:val="20"/>
          <w:szCs w:val="20"/>
        </w:rPr>
      </w:pPr>
    </w:p>
    <w:p w:rsidR="00CE3680" w:rsidRPr="00A92C7C" w:rsidRDefault="00CE3680" w:rsidP="00CE3680">
      <w:pPr>
        <w:spacing w:line="240" w:lineRule="auto"/>
        <w:ind w:firstLine="708"/>
        <w:jc w:val="center"/>
        <w:rPr>
          <w:rFonts w:ascii="Times New Roman" w:hAnsi="Times New Roman"/>
          <w:sz w:val="18"/>
          <w:szCs w:val="18"/>
        </w:rPr>
      </w:pPr>
      <w:r w:rsidRPr="00A92C7C">
        <w:rPr>
          <w:rFonts w:ascii="Times New Roman" w:hAnsi="Times New Roman"/>
          <w:b/>
          <w:sz w:val="18"/>
          <w:szCs w:val="18"/>
        </w:rPr>
        <w:t>Fonte:</w:t>
      </w:r>
      <w:r w:rsidRPr="00A92C7C">
        <w:rPr>
          <w:rFonts w:ascii="Times New Roman" w:hAnsi="Times New Roman"/>
          <w:sz w:val="18"/>
          <w:szCs w:val="18"/>
        </w:rPr>
        <w:t xml:space="preserve"> Site da Secretaria de Relações Institucionais.</w:t>
      </w:r>
      <w:r w:rsidRPr="00A92C7C">
        <w:rPr>
          <w:rStyle w:val="Refdenotaderodap"/>
          <w:rFonts w:ascii="Times New Roman" w:hAnsi="Times New Roman"/>
          <w:sz w:val="18"/>
          <w:szCs w:val="18"/>
        </w:rPr>
        <w:footnoteReference w:id="113"/>
      </w:r>
      <w:r w:rsidRPr="00A92C7C">
        <w:rPr>
          <w:rFonts w:ascii="Times New Roman" w:hAnsi="Times New Roman"/>
          <w:sz w:val="18"/>
          <w:szCs w:val="18"/>
        </w:rPr>
        <w:t xml:space="preserve"> Elaboração própria</w:t>
      </w:r>
    </w:p>
    <w:p w:rsidR="00CE3680" w:rsidRDefault="00CE3680" w:rsidP="00CE3680">
      <w:pPr>
        <w:spacing w:after="0" w:line="360" w:lineRule="auto"/>
        <w:ind w:firstLine="708"/>
        <w:jc w:val="both"/>
        <w:rPr>
          <w:rFonts w:ascii="Times New Roman" w:hAnsi="Times New Roman"/>
          <w:sz w:val="24"/>
          <w:szCs w:val="24"/>
        </w:rPr>
      </w:pPr>
    </w:p>
    <w:p w:rsidR="00CE3680" w:rsidRDefault="00CE3680" w:rsidP="00CE3680">
      <w:pPr>
        <w:spacing w:line="360" w:lineRule="auto"/>
        <w:ind w:firstLine="708"/>
        <w:jc w:val="both"/>
        <w:rPr>
          <w:rFonts w:ascii="Times New Roman" w:hAnsi="Times New Roman"/>
          <w:sz w:val="24"/>
          <w:szCs w:val="24"/>
        </w:rPr>
      </w:pPr>
      <w:r>
        <w:rPr>
          <w:rFonts w:ascii="Times New Roman" w:hAnsi="Times New Roman"/>
          <w:sz w:val="24"/>
          <w:szCs w:val="24"/>
        </w:rPr>
        <w:t xml:space="preserve">A mudança de posição na hierarquia da agora denominada Secretaria do Conselho de Desenvolvimento Econômico e Social no interior do aparato estatal intencionava aproximar o CDES do Congresso Nacional já que dentre as atribuições carreadas pela SRI destacava-se a de mediação entre o Legislativo e o Executivo, especialmente no que tange a sua responsabilidade pela negociação da agenda legislativa do Executivo (art. 2º, Inciso II da lei 11204/05). A SEDES perdeu o </w:t>
      </w:r>
      <w:r>
        <w:rPr>
          <w:rFonts w:ascii="Times New Roman" w:hAnsi="Times New Roman"/>
          <w:i/>
          <w:sz w:val="24"/>
          <w:szCs w:val="24"/>
        </w:rPr>
        <w:t xml:space="preserve">status </w:t>
      </w:r>
      <w:r>
        <w:rPr>
          <w:rFonts w:ascii="Times New Roman" w:hAnsi="Times New Roman"/>
          <w:sz w:val="24"/>
          <w:szCs w:val="24"/>
        </w:rPr>
        <w:t xml:space="preserve">de ministério e a SRI assumiu esta condição. </w:t>
      </w:r>
      <w:r w:rsidRPr="006664E5">
        <w:rPr>
          <w:rFonts w:ascii="Times New Roman" w:hAnsi="Times New Roman"/>
          <w:i/>
          <w:sz w:val="24"/>
          <w:szCs w:val="24"/>
        </w:rPr>
        <w:t>O Ministro Chefe da SRI assumiu o papel de secretário executivo da SEDES.</w:t>
      </w:r>
      <w:r>
        <w:rPr>
          <w:rFonts w:ascii="Times New Roman" w:hAnsi="Times New Roman"/>
          <w:sz w:val="24"/>
          <w:szCs w:val="24"/>
        </w:rPr>
        <w:t xml:space="preserve"> Na Ata da 13ª Reunião do CDES encontramos a posição do Secretário Executivo Jaques Wagner sobre a nova estrutura:</w:t>
      </w:r>
    </w:p>
    <w:p w:rsidR="00CE3680" w:rsidRPr="00DC5E89" w:rsidRDefault="00CE3680" w:rsidP="00CE3680">
      <w:pPr>
        <w:autoSpaceDE w:val="0"/>
        <w:autoSpaceDN w:val="0"/>
        <w:adjustRightInd w:val="0"/>
        <w:spacing w:after="0" w:line="240" w:lineRule="auto"/>
        <w:ind w:left="2268"/>
        <w:jc w:val="both"/>
        <w:rPr>
          <w:rFonts w:ascii="Times New Roman" w:hAnsi="Times New Roman"/>
          <w:sz w:val="20"/>
          <w:szCs w:val="20"/>
        </w:rPr>
      </w:pPr>
      <w:r w:rsidRPr="00DC5E89">
        <w:rPr>
          <w:rFonts w:ascii="Times New Roman" w:hAnsi="Times New Roman"/>
          <w:sz w:val="20"/>
          <w:szCs w:val="20"/>
        </w:rPr>
        <w:t xml:space="preserve">Eu quero dizer que acho que essa fusão </w:t>
      </w:r>
      <w:r>
        <w:rPr>
          <w:rFonts w:ascii="Times New Roman" w:hAnsi="Times New Roman"/>
          <w:sz w:val="20"/>
          <w:szCs w:val="20"/>
        </w:rPr>
        <w:t>[da SEDES com a Coordenação Política</w:t>
      </w:r>
      <w:r w:rsidR="00D90D8D">
        <w:rPr>
          <w:rFonts w:ascii="Times New Roman" w:hAnsi="Times New Roman"/>
          <w:sz w:val="20"/>
          <w:szCs w:val="20"/>
        </w:rPr>
        <w:t>, que trata da relação do Executivo com o Parlamento e com os entes da Federação</w:t>
      </w:r>
      <w:r>
        <w:rPr>
          <w:rFonts w:ascii="Times New Roman" w:hAnsi="Times New Roman"/>
          <w:sz w:val="20"/>
          <w:szCs w:val="20"/>
        </w:rPr>
        <w:t xml:space="preserve">] </w:t>
      </w:r>
      <w:r w:rsidRPr="00DC5E89">
        <w:rPr>
          <w:rFonts w:ascii="Times New Roman" w:hAnsi="Times New Roman"/>
          <w:sz w:val="20"/>
          <w:szCs w:val="20"/>
        </w:rPr>
        <w:t xml:space="preserve">tem lógica na busca do governo de </w:t>
      </w:r>
      <w:r w:rsidRPr="00822D69">
        <w:rPr>
          <w:rFonts w:ascii="Times New Roman" w:hAnsi="Times New Roman"/>
          <w:b/>
          <w:sz w:val="20"/>
          <w:szCs w:val="20"/>
        </w:rPr>
        <w:t>melhor prática de gestão</w:t>
      </w:r>
      <w:r w:rsidRPr="00DC5E89">
        <w:rPr>
          <w:rFonts w:ascii="Times New Roman" w:hAnsi="Times New Roman"/>
          <w:sz w:val="20"/>
          <w:szCs w:val="20"/>
        </w:rPr>
        <w:t xml:space="preserve">, como uma tentativa de reduzir estruturas que por ventura estavam se superpondo.Mas entendo também que foi feito, dentro da Secretaria, algo que já discutimos aqui no Conselho, nas palavras da Maria João, do Conselho Econômico e Social Europeu, quando fizemos um debate sobre desenvolvimento, onde ela dizia que </w:t>
      </w:r>
      <w:r w:rsidRPr="00822D69">
        <w:rPr>
          <w:rFonts w:ascii="Times New Roman" w:hAnsi="Times New Roman"/>
          <w:b/>
          <w:sz w:val="20"/>
          <w:szCs w:val="20"/>
        </w:rPr>
        <w:t>os Conselhos da Europa têm um papel de discutir as idéias enquanto elas são maturadas pelo Executivo</w:t>
      </w:r>
      <w:r w:rsidRPr="00DC5E89">
        <w:rPr>
          <w:rFonts w:ascii="Times New Roman" w:hAnsi="Times New Roman"/>
          <w:sz w:val="20"/>
          <w:szCs w:val="20"/>
        </w:rPr>
        <w:t>, e que o Parlamento, evidentemente, é quem decide. Então, de uma certa forma, na nova Secretaria de Relações Institucionais, o Presidente juntou essas duas partes. Eu bebo na fonte da opinião de vocês, ao mesmo tempo em que vou fazer o debate, seja com governadores ou com o Parlamento.</w:t>
      </w:r>
      <w:r>
        <w:rPr>
          <w:rFonts w:ascii="Times New Roman" w:hAnsi="Times New Roman"/>
          <w:sz w:val="20"/>
          <w:szCs w:val="20"/>
        </w:rPr>
        <w:t xml:space="preserve"> (ATA da 13ª Reunião Plenária, 25/08/2005, p. 2).</w:t>
      </w:r>
    </w:p>
    <w:p w:rsidR="00CE3680" w:rsidRDefault="00CE3680" w:rsidP="00CE3680">
      <w:pPr>
        <w:autoSpaceDE w:val="0"/>
        <w:autoSpaceDN w:val="0"/>
        <w:adjustRightInd w:val="0"/>
        <w:spacing w:after="0" w:line="240" w:lineRule="auto"/>
        <w:rPr>
          <w:rFonts w:ascii="Tahoma" w:hAnsi="Tahoma" w:cs="Tahoma"/>
          <w:sz w:val="19"/>
          <w:szCs w:val="19"/>
        </w:rPr>
      </w:pPr>
    </w:p>
    <w:p w:rsidR="00CE3680" w:rsidRDefault="00016576" w:rsidP="00CE3680">
      <w:pPr>
        <w:spacing w:line="360" w:lineRule="auto"/>
        <w:ind w:firstLine="708"/>
        <w:jc w:val="both"/>
        <w:rPr>
          <w:rFonts w:ascii="Times New Roman" w:hAnsi="Times New Roman"/>
          <w:sz w:val="24"/>
          <w:szCs w:val="24"/>
        </w:rPr>
      </w:pPr>
      <w:r>
        <w:rPr>
          <w:rFonts w:ascii="Times New Roman" w:hAnsi="Times New Roman"/>
          <w:sz w:val="24"/>
          <w:szCs w:val="24"/>
        </w:rPr>
        <w:t>Em entrevista a</w:t>
      </w:r>
      <w:r w:rsidR="00CE3680">
        <w:rPr>
          <w:rFonts w:ascii="Times New Roman" w:hAnsi="Times New Roman"/>
          <w:sz w:val="24"/>
          <w:szCs w:val="24"/>
        </w:rPr>
        <w:t xml:space="preserve"> Ribeiro, o gestor da SEDES afirmou que a mudança teria feito com que a SEDES e o CDES “deixassem de ser estruturas soltas dentro da Presidência e passassem a integrar o ‘coração do governo’”.</w:t>
      </w:r>
      <w:r w:rsidR="00CE3680">
        <w:rPr>
          <w:rStyle w:val="Refdenotaderodap"/>
          <w:rFonts w:ascii="Times New Roman" w:hAnsi="Times New Roman"/>
          <w:sz w:val="24"/>
          <w:szCs w:val="24"/>
        </w:rPr>
        <w:footnoteReference w:id="114"/>
      </w:r>
      <w:r w:rsidR="00CE3680">
        <w:rPr>
          <w:rFonts w:ascii="Times New Roman" w:hAnsi="Times New Roman"/>
          <w:sz w:val="24"/>
          <w:szCs w:val="24"/>
        </w:rPr>
        <w:t xml:space="preserve"> Afirma a autora que “assim, o Conselho teria se ‘diluído’ na agenda de governo, gerando maior ‘estabilidade institucional’”. Outro depoimento de gestora pública d</w:t>
      </w:r>
      <w:r w:rsidR="005A75F4">
        <w:rPr>
          <w:rFonts w:ascii="Times New Roman" w:hAnsi="Times New Roman"/>
          <w:sz w:val="24"/>
          <w:szCs w:val="24"/>
        </w:rPr>
        <w:t>a SEDES</w:t>
      </w:r>
      <w:r>
        <w:rPr>
          <w:rFonts w:ascii="Times New Roman" w:hAnsi="Times New Roman"/>
          <w:sz w:val="24"/>
          <w:szCs w:val="24"/>
        </w:rPr>
        <w:t xml:space="preserve"> a</w:t>
      </w:r>
      <w:r w:rsidR="00CE3680">
        <w:rPr>
          <w:rFonts w:ascii="Times New Roman" w:hAnsi="Times New Roman"/>
          <w:sz w:val="24"/>
          <w:szCs w:val="24"/>
        </w:rPr>
        <w:t xml:space="preserve"> De</w:t>
      </w:r>
      <w:r w:rsidR="006664E5">
        <w:rPr>
          <w:rFonts w:ascii="Times New Roman" w:hAnsi="Times New Roman"/>
          <w:sz w:val="24"/>
          <w:szCs w:val="24"/>
        </w:rPr>
        <w:t xml:space="preserve"> Toni, assevera que o poder do C</w:t>
      </w:r>
      <w:r w:rsidR="00CE3680">
        <w:rPr>
          <w:rFonts w:ascii="Times New Roman" w:hAnsi="Times New Roman"/>
          <w:sz w:val="24"/>
          <w:szCs w:val="24"/>
        </w:rPr>
        <w:t>onselho no governo Lula estava relacionado ao seu posicionamento na estrutura do Palácio do Planalto:</w:t>
      </w:r>
    </w:p>
    <w:p w:rsidR="00CE3680" w:rsidRPr="00AB6D9B" w:rsidRDefault="00CE3680" w:rsidP="00CE3680">
      <w:pPr>
        <w:autoSpaceDE w:val="0"/>
        <w:autoSpaceDN w:val="0"/>
        <w:adjustRightInd w:val="0"/>
        <w:spacing w:line="240" w:lineRule="auto"/>
        <w:ind w:left="2268"/>
        <w:jc w:val="both"/>
        <w:rPr>
          <w:rFonts w:ascii="Times New Roman" w:hAnsi="Times New Roman"/>
          <w:sz w:val="24"/>
          <w:szCs w:val="24"/>
        </w:rPr>
      </w:pPr>
      <w:r w:rsidRPr="00AB6D9B">
        <w:rPr>
          <w:rFonts w:ascii="Times New Roman" w:hAnsi="Times New Roman"/>
          <w:sz w:val="20"/>
          <w:szCs w:val="20"/>
        </w:rPr>
        <w:t xml:space="preserve">Em 2004 </w:t>
      </w:r>
      <w:r w:rsidR="00D90D8D">
        <w:rPr>
          <w:rFonts w:ascii="Times New Roman" w:hAnsi="Times New Roman"/>
          <w:sz w:val="20"/>
          <w:szCs w:val="20"/>
        </w:rPr>
        <w:t xml:space="preserve">[na verdade foi em julho de 2005] </w:t>
      </w:r>
      <w:r w:rsidRPr="00AB6D9B">
        <w:rPr>
          <w:rFonts w:ascii="Times New Roman" w:hAnsi="Times New Roman"/>
          <w:sz w:val="20"/>
          <w:szCs w:val="20"/>
        </w:rPr>
        <w:t xml:space="preserve">passamos a ter o Conselho, a Secretaria de Assuntos Federativos e a Secretaria de Relações Institucionais sob a mesma coordenação e o Ministro das Relações Institucionais passou a participar da Coordenação de Governo. Ele passa praticamente a coordenar o tripé da governabilidade, as relações com o Congresso, e com a Federação. Então o que acontecia com as pautas do Conselho? </w:t>
      </w:r>
      <w:r w:rsidRPr="00AB6D9B">
        <w:rPr>
          <w:rFonts w:ascii="Times New Roman" w:hAnsi="Times New Roman"/>
          <w:b/>
          <w:bCs/>
          <w:sz w:val="20"/>
          <w:szCs w:val="20"/>
        </w:rPr>
        <w:t>Elas “vazavam” para a Coordenação de Governo</w:t>
      </w:r>
      <w:r w:rsidRPr="00AB6D9B">
        <w:rPr>
          <w:rFonts w:ascii="Times New Roman" w:hAnsi="Times New Roman"/>
          <w:sz w:val="20"/>
          <w:szCs w:val="20"/>
        </w:rPr>
        <w:t xml:space="preserve">, para o </w:t>
      </w:r>
      <w:r w:rsidRPr="00AB6D9B">
        <w:rPr>
          <w:rFonts w:ascii="Times New Roman" w:hAnsi="Times New Roman"/>
          <w:i/>
          <w:iCs/>
          <w:sz w:val="20"/>
          <w:szCs w:val="20"/>
        </w:rPr>
        <w:t xml:space="preserve">briefing </w:t>
      </w:r>
      <w:r w:rsidRPr="00AB6D9B">
        <w:rPr>
          <w:rFonts w:ascii="Times New Roman" w:hAnsi="Times New Roman"/>
          <w:sz w:val="20"/>
          <w:szCs w:val="20"/>
        </w:rPr>
        <w:t xml:space="preserve">diário do Presidente [...] </w:t>
      </w:r>
      <w:r w:rsidRPr="00AB6D9B">
        <w:rPr>
          <w:rFonts w:ascii="Times New Roman" w:hAnsi="Times New Roman"/>
          <w:b/>
          <w:bCs/>
          <w:sz w:val="20"/>
          <w:szCs w:val="20"/>
        </w:rPr>
        <w:t xml:space="preserve">nós tínhamos uma ampla rede de conexões </w:t>
      </w:r>
      <w:r w:rsidRPr="00AB6D9B">
        <w:rPr>
          <w:rFonts w:ascii="Times New Roman" w:hAnsi="Times New Roman"/>
          <w:sz w:val="20"/>
          <w:szCs w:val="20"/>
        </w:rPr>
        <w:t>do Presidente com o Congresso, com a Sociedade e com</w:t>
      </w:r>
      <w:r w:rsidR="00016576">
        <w:rPr>
          <w:rFonts w:ascii="Times New Roman" w:hAnsi="Times New Roman"/>
          <w:sz w:val="20"/>
          <w:szCs w:val="20"/>
        </w:rPr>
        <w:t xml:space="preserve"> os estados da Federação. (E</w:t>
      </w:r>
      <w:r w:rsidRPr="00AB6D9B">
        <w:rPr>
          <w:rFonts w:ascii="Times New Roman" w:hAnsi="Times New Roman"/>
          <w:sz w:val="20"/>
          <w:szCs w:val="20"/>
        </w:rPr>
        <w:t>nt</w:t>
      </w:r>
      <w:r>
        <w:rPr>
          <w:rFonts w:ascii="Times New Roman" w:hAnsi="Times New Roman"/>
          <w:sz w:val="20"/>
          <w:szCs w:val="20"/>
        </w:rPr>
        <w:t>revista ao autor, 19. Out. 2011</w:t>
      </w:r>
      <w:r w:rsidRPr="00AB6D9B">
        <w:rPr>
          <w:rFonts w:ascii="Times New Roman" w:hAnsi="Times New Roman"/>
          <w:sz w:val="20"/>
          <w:szCs w:val="20"/>
        </w:rPr>
        <w:t>)</w:t>
      </w:r>
      <w:r>
        <w:rPr>
          <w:rFonts w:ascii="Times New Roman" w:hAnsi="Times New Roman"/>
          <w:sz w:val="20"/>
          <w:szCs w:val="20"/>
        </w:rPr>
        <w:t>.</w:t>
      </w:r>
      <w:r>
        <w:rPr>
          <w:rStyle w:val="Refdenotaderodap"/>
          <w:rFonts w:ascii="Times New Roman" w:hAnsi="Times New Roman"/>
          <w:sz w:val="20"/>
          <w:szCs w:val="20"/>
        </w:rPr>
        <w:footnoteReference w:id="115"/>
      </w:r>
    </w:p>
    <w:p w:rsidR="00CE3680" w:rsidRDefault="00CE3680" w:rsidP="00CE3680">
      <w:pPr>
        <w:spacing w:line="360" w:lineRule="auto"/>
        <w:ind w:firstLine="708"/>
        <w:jc w:val="both"/>
        <w:rPr>
          <w:rFonts w:ascii="Times New Roman" w:hAnsi="Times New Roman"/>
          <w:sz w:val="24"/>
          <w:szCs w:val="24"/>
        </w:rPr>
      </w:pPr>
      <w:r>
        <w:rPr>
          <w:rFonts w:ascii="Times New Roman" w:hAnsi="Times New Roman"/>
          <w:sz w:val="24"/>
          <w:szCs w:val="24"/>
        </w:rPr>
        <w:t>Segundo Costa, as competências da SRI eram as mesmas inicialmente previstas à Casa Civil como órgão de coordenação política e, para que a defesa do conteúdo das proposições de autoria do Presidente da República obtivesse êxito, presumia-se que</w:t>
      </w:r>
    </w:p>
    <w:p w:rsidR="00CE3680" w:rsidRDefault="00CE3680" w:rsidP="00CE3680">
      <w:pPr>
        <w:spacing w:line="240" w:lineRule="auto"/>
        <w:ind w:left="2268"/>
        <w:jc w:val="both"/>
        <w:rPr>
          <w:rFonts w:ascii="Times New Roman" w:hAnsi="Times New Roman"/>
          <w:sz w:val="20"/>
          <w:szCs w:val="20"/>
        </w:rPr>
      </w:pPr>
      <w:r w:rsidRPr="00412AA3">
        <w:rPr>
          <w:rFonts w:ascii="Times New Roman" w:hAnsi="Times New Roman"/>
          <w:sz w:val="20"/>
          <w:szCs w:val="20"/>
        </w:rPr>
        <w:t>houve</w:t>
      </w:r>
      <w:r>
        <w:rPr>
          <w:rFonts w:ascii="Times New Roman" w:hAnsi="Times New Roman"/>
          <w:sz w:val="20"/>
          <w:szCs w:val="20"/>
        </w:rPr>
        <w:t>[sse]</w:t>
      </w:r>
      <w:r w:rsidRPr="00412AA3">
        <w:rPr>
          <w:rFonts w:ascii="Times New Roman" w:hAnsi="Times New Roman"/>
          <w:sz w:val="20"/>
          <w:szCs w:val="20"/>
        </w:rPr>
        <w:t xml:space="preserve">, anteriormente, algum grau de consulta a segmentos da sociedade e a cada setor do governo envolvido com a matéria. Ao menos </w:t>
      </w:r>
      <w:r w:rsidRPr="005A75F4">
        <w:rPr>
          <w:rFonts w:ascii="Times New Roman" w:hAnsi="Times New Roman"/>
          <w:b/>
          <w:sz w:val="20"/>
          <w:szCs w:val="20"/>
        </w:rPr>
        <w:t>seria recomendável a construção de um mínimo consenso interno e apoio político externo à pauta legislativa do governo</w:t>
      </w:r>
      <w:r w:rsidRPr="00412AA3">
        <w:rPr>
          <w:rFonts w:ascii="Times New Roman" w:hAnsi="Times New Roman"/>
          <w:sz w:val="20"/>
          <w:szCs w:val="20"/>
        </w:rPr>
        <w:t>, com vistas a lhe dar su</w:t>
      </w:r>
      <w:r>
        <w:rPr>
          <w:rFonts w:ascii="Times New Roman" w:hAnsi="Times New Roman"/>
          <w:sz w:val="20"/>
          <w:szCs w:val="20"/>
        </w:rPr>
        <w:t>bstância e viabilidade política.</w:t>
      </w:r>
      <w:r>
        <w:rPr>
          <w:rStyle w:val="Refdenotaderodap"/>
          <w:rFonts w:ascii="Times New Roman" w:hAnsi="Times New Roman"/>
          <w:sz w:val="20"/>
          <w:szCs w:val="20"/>
        </w:rPr>
        <w:footnoteReference w:id="116"/>
      </w:r>
    </w:p>
    <w:p w:rsidR="00CE3680" w:rsidRDefault="00CE3680" w:rsidP="00D90D8D">
      <w:pPr>
        <w:spacing w:after="0" w:line="360" w:lineRule="auto"/>
        <w:jc w:val="both"/>
        <w:rPr>
          <w:rFonts w:ascii="Times New Roman" w:hAnsi="Times New Roman"/>
          <w:sz w:val="20"/>
          <w:szCs w:val="20"/>
        </w:rPr>
      </w:pPr>
      <w:r>
        <w:rPr>
          <w:rFonts w:ascii="Times New Roman" w:hAnsi="Times New Roman"/>
          <w:sz w:val="24"/>
          <w:szCs w:val="24"/>
        </w:rPr>
        <w:tab/>
      </w:r>
      <w:r w:rsidR="00D90D8D">
        <w:rPr>
          <w:rFonts w:ascii="Times New Roman" w:hAnsi="Times New Roman"/>
          <w:sz w:val="24"/>
          <w:szCs w:val="24"/>
        </w:rPr>
        <w:t>De acordo com esta lógica, o</w:t>
      </w:r>
      <w:r>
        <w:rPr>
          <w:rFonts w:ascii="Times New Roman" w:hAnsi="Times New Roman"/>
          <w:sz w:val="24"/>
          <w:szCs w:val="24"/>
        </w:rPr>
        <w:t xml:space="preserve"> novo arranjo institucional </w:t>
      </w:r>
      <w:r w:rsidR="005A75F4">
        <w:rPr>
          <w:rFonts w:ascii="Times New Roman" w:hAnsi="Times New Roman"/>
          <w:sz w:val="24"/>
          <w:szCs w:val="24"/>
        </w:rPr>
        <w:t xml:space="preserve">intencionava </w:t>
      </w:r>
      <w:r>
        <w:rPr>
          <w:rFonts w:ascii="Times New Roman" w:hAnsi="Times New Roman"/>
          <w:sz w:val="24"/>
          <w:szCs w:val="24"/>
        </w:rPr>
        <w:t>reposicion</w:t>
      </w:r>
      <w:r w:rsidR="005A75F4">
        <w:rPr>
          <w:rFonts w:ascii="Times New Roman" w:hAnsi="Times New Roman"/>
          <w:sz w:val="24"/>
          <w:szCs w:val="24"/>
        </w:rPr>
        <w:t>ar</w:t>
      </w:r>
      <w:r>
        <w:rPr>
          <w:rFonts w:ascii="Times New Roman" w:hAnsi="Times New Roman"/>
          <w:sz w:val="24"/>
          <w:szCs w:val="24"/>
        </w:rPr>
        <w:t xml:space="preserve"> os órgãos que nucleavam o Executivo de tal forma que atendesse melhor </w:t>
      </w:r>
      <w:r w:rsidR="00016576">
        <w:rPr>
          <w:rFonts w:ascii="Times New Roman" w:hAnsi="Times New Roman"/>
          <w:sz w:val="24"/>
          <w:szCs w:val="24"/>
        </w:rPr>
        <w:t>à</w:t>
      </w:r>
      <w:r>
        <w:rPr>
          <w:rFonts w:ascii="Times New Roman" w:hAnsi="Times New Roman"/>
          <w:sz w:val="24"/>
          <w:szCs w:val="24"/>
        </w:rPr>
        <w:t xml:space="preserve">s demandas do próprio governo </w:t>
      </w:r>
      <w:r w:rsidR="00BF61AD">
        <w:rPr>
          <w:rFonts w:ascii="Times New Roman" w:hAnsi="Times New Roman"/>
          <w:sz w:val="24"/>
          <w:szCs w:val="24"/>
        </w:rPr>
        <w:t>em face a</w:t>
      </w:r>
      <w:r>
        <w:rPr>
          <w:rFonts w:ascii="Times New Roman" w:hAnsi="Times New Roman"/>
          <w:sz w:val="24"/>
          <w:szCs w:val="24"/>
        </w:rPr>
        <w:t>o Legislativo, ao mesmo tempo em que buscava, numa só tacada, garantir maior legitimidade das proposições do Conselho perante o Legislativo</w:t>
      </w:r>
      <w:r w:rsidR="005A75F4">
        <w:rPr>
          <w:rFonts w:ascii="Times New Roman" w:hAnsi="Times New Roman"/>
          <w:sz w:val="24"/>
          <w:szCs w:val="24"/>
        </w:rPr>
        <w:t xml:space="preserve"> e</w:t>
      </w:r>
      <w:r>
        <w:rPr>
          <w:rFonts w:ascii="Times New Roman" w:hAnsi="Times New Roman"/>
          <w:sz w:val="24"/>
          <w:szCs w:val="24"/>
        </w:rPr>
        <w:t xml:space="preserve"> os demais órgãos do Executivo, </w:t>
      </w:r>
      <w:r w:rsidR="005A75F4">
        <w:rPr>
          <w:rFonts w:ascii="Times New Roman" w:hAnsi="Times New Roman"/>
          <w:sz w:val="24"/>
          <w:szCs w:val="24"/>
        </w:rPr>
        <w:t>o que permitiria valorizar os trabalhos realizados pelos</w:t>
      </w:r>
      <w:r>
        <w:rPr>
          <w:rFonts w:ascii="Times New Roman" w:hAnsi="Times New Roman"/>
          <w:sz w:val="24"/>
          <w:szCs w:val="24"/>
        </w:rPr>
        <w:t xml:space="preserve"> cons</w:t>
      </w:r>
      <w:r w:rsidR="00AC2641">
        <w:rPr>
          <w:rFonts w:ascii="Times New Roman" w:hAnsi="Times New Roman"/>
          <w:sz w:val="24"/>
          <w:szCs w:val="24"/>
        </w:rPr>
        <w:t>elheiros. Este último ponto foimuito</w:t>
      </w:r>
      <w:r>
        <w:rPr>
          <w:rFonts w:ascii="Times New Roman" w:hAnsi="Times New Roman"/>
          <w:sz w:val="24"/>
          <w:szCs w:val="24"/>
        </w:rPr>
        <w:t xml:space="preserve"> importante, tendo em vista as insatisfações manifestadas por muitos conselheiros em relação à efetividade das proposições coletivamente produzidas nos Grupos Temáticos e aprovadas nas plenárias do Conselho. </w:t>
      </w:r>
    </w:p>
    <w:p w:rsidR="00F3703D" w:rsidRPr="00094D22" w:rsidRDefault="005A75F4" w:rsidP="00725379">
      <w:pPr>
        <w:spacing w:after="0" w:line="360" w:lineRule="auto"/>
        <w:ind w:firstLine="708"/>
        <w:jc w:val="both"/>
        <w:rPr>
          <w:rFonts w:ascii="Times New Roman" w:hAnsi="Times New Roman"/>
          <w:sz w:val="24"/>
          <w:szCs w:val="24"/>
        </w:rPr>
      </w:pPr>
      <w:r w:rsidRPr="00094D22">
        <w:rPr>
          <w:rFonts w:ascii="Times New Roman" w:hAnsi="Times New Roman"/>
          <w:sz w:val="24"/>
          <w:szCs w:val="24"/>
        </w:rPr>
        <w:t xml:space="preserve">A interpretação dos autores sobre realocação do CDES na estrutura institucional do Executivo aponta para um </w:t>
      </w:r>
      <w:r w:rsidR="00AC2641" w:rsidRPr="00094D22">
        <w:rPr>
          <w:rFonts w:ascii="Times New Roman" w:hAnsi="Times New Roman"/>
          <w:sz w:val="24"/>
          <w:szCs w:val="24"/>
        </w:rPr>
        <w:t>empoderamento do CDES a partir de seu enraizamento no núcleo decisório do Executivo</w:t>
      </w:r>
      <w:r w:rsidRPr="00094D22">
        <w:rPr>
          <w:rFonts w:ascii="Times New Roman" w:hAnsi="Times New Roman"/>
          <w:sz w:val="24"/>
          <w:szCs w:val="24"/>
        </w:rPr>
        <w:t>. O fato concreto é que o CDES</w:t>
      </w:r>
      <w:r w:rsidR="00725379" w:rsidRPr="00094D22">
        <w:rPr>
          <w:rFonts w:ascii="Times New Roman" w:hAnsi="Times New Roman"/>
          <w:sz w:val="24"/>
          <w:szCs w:val="24"/>
        </w:rPr>
        <w:t xml:space="preserve"> e sua Secretaria</w:t>
      </w:r>
      <w:r w:rsidRPr="00094D22">
        <w:rPr>
          <w:rFonts w:ascii="Times New Roman" w:hAnsi="Times New Roman"/>
          <w:sz w:val="24"/>
          <w:szCs w:val="24"/>
        </w:rPr>
        <w:t>, na estrutura anterior, estava</w:t>
      </w:r>
      <w:r w:rsidR="00725379" w:rsidRPr="00094D22">
        <w:rPr>
          <w:rFonts w:ascii="Times New Roman" w:hAnsi="Times New Roman"/>
          <w:sz w:val="24"/>
          <w:szCs w:val="24"/>
        </w:rPr>
        <w:t>m</w:t>
      </w:r>
      <w:r w:rsidRPr="00094D22">
        <w:rPr>
          <w:rFonts w:ascii="Times New Roman" w:hAnsi="Times New Roman"/>
          <w:sz w:val="24"/>
          <w:szCs w:val="24"/>
        </w:rPr>
        <w:t xml:space="preserve"> diretamente vinculado</w:t>
      </w:r>
      <w:r w:rsidR="00725379" w:rsidRPr="00094D22">
        <w:rPr>
          <w:rFonts w:ascii="Times New Roman" w:hAnsi="Times New Roman"/>
          <w:sz w:val="24"/>
          <w:szCs w:val="24"/>
        </w:rPr>
        <w:t>s</w:t>
      </w:r>
      <w:r w:rsidRPr="00094D22">
        <w:rPr>
          <w:rFonts w:ascii="Times New Roman" w:hAnsi="Times New Roman"/>
          <w:sz w:val="24"/>
          <w:szCs w:val="24"/>
        </w:rPr>
        <w:t xml:space="preserve"> ao Gabinete da Presidência da República e </w:t>
      </w:r>
      <w:r w:rsidRPr="00094D22">
        <w:rPr>
          <w:rFonts w:ascii="Times New Roman" w:hAnsi="Times New Roman"/>
          <w:i/>
          <w:sz w:val="24"/>
          <w:szCs w:val="24"/>
        </w:rPr>
        <w:t>ca</w:t>
      </w:r>
      <w:r w:rsidR="00725379" w:rsidRPr="00094D22">
        <w:rPr>
          <w:rFonts w:ascii="Times New Roman" w:hAnsi="Times New Roman"/>
          <w:i/>
          <w:sz w:val="24"/>
          <w:szCs w:val="24"/>
        </w:rPr>
        <w:t>íram</w:t>
      </w:r>
      <w:r w:rsidR="00D90D8D" w:rsidRPr="00094D22">
        <w:rPr>
          <w:rFonts w:ascii="Times New Roman" w:hAnsi="Times New Roman"/>
          <w:i/>
          <w:sz w:val="24"/>
          <w:szCs w:val="24"/>
        </w:rPr>
        <w:t>na</w:t>
      </w:r>
      <w:r w:rsidRPr="00094D22">
        <w:rPr>
          <w:rFonts w:ascii="Times New Roman" w:hAnsi="Times New Roman"/>
          <w:i/>
          <w:sz w:val="24"/>
          <w:szCs w:val="24"/>
        </w:rPr>
        <w:t xml:space="preserve"> hierarquia</w:t>
      </w:r>
      <w:r w:rsidRPr="00094D22">
        <w:rPr>
          <w:rFonts w:ascii="Times New Roman" w:hAnsi="Times New Roman"/>
          <w:sz w:val="24"/>
          <w:szCs w:val="24"/>
        </w:rPr>
        <w:t xml:space="preserve"> (a SEDES perdeu </w:t>
      </w:r>
      <w:r w:rsidRPr="00094D22">
        <w:rPr>
          <w:rFonts w:ascii="Times New Roman" w:hAnsi="Times New Roman"/>
          <w:i/>
          <w:sz w:val="24"/>
          <w:szCs w:val="24"/>
        </w:rPr>
        <w:t xml:space="preserve">status </w:t>
      </w:r>
      <w:r w:rsidRPr="00094D22">
        <w:rPr>
          <w:rFonts w:ascii="Times New Roman" w:hAnsi="Times New Roman"/>
          <w:sz w:val="24"/>
          <w:szCs w:val="24"/>
        </w:rPr>
        <w:t xml:space="preserve">de ministério) </w:t>
      </w:r>
      <w:r w:rsidR="000E1BC9" w:rsidRPr="00094D22">
        <w:rPr>
          <w:rFonts w:ascii="Times New Roman" w:hAnsi="Times New Roman"/>
          <w:sz w:val="24"/>
          <w:szCs w:val="24"/>
        </w:rPr>
        <w:t>d</w:t>
      </w:r>
      <w:r w:rsidRPr="00094D22">
        <w:rPr>
          <w:rFonts w:ascii="Times New Roman" w:hAnsi="Times New Roman"/>
          <w:sz w:val="24"/>
          <w:szCs w:val="24"/>
        </w:rPr>
        <w:t>o Executivo passando a pertencer</w:t>
      </w:r>
      <w:r w:rsidR="00725379" w:rsidRPr="00094D22">
        <w:rPr>
          <w:rFonts w:ascii="Times New Roman" w:hAnsi="Times New Roman"/>
          <w:sz w:val="24"/>
          <w:szCs w:val="24"/>
        </w:rPr>
        <w:t>em</w:t>
      </w:r>
      <w:r w:rsidR="00213CFE" w:rsidRPr="00094D22">
        <w:rPr>
          <w:rFonts w:ascii="Times New Roman" w:hAnsi="Times New Roman"/>
          <w:sz w:val="24"/>
          <w:szCs w:val="24"/>
        </w:rPr>
        <w:t>à</w:t>
      </w:r>
      <w:r w:rsidRPr="00094D22">
        <w:rPr>
          <w:rFonts w:ascii="Times New Roman" w:hAnsi="Times New Roman"/>
          <w:sz w:val="24"/>
          <w:szCs w:val="24"/>
        </w:rPr>
        <w:t xml:space="preserve"> Secretaria de Relações Institucionais</w:t>
      </w:r>
      <w:r w:rsidR="00725379" w:rsidRPr="00094D22">
        <w:rPr>
          <w:rFonts w:ascii="Times New Roman" w:hAnsi="Times New Roman"/>
          <w:sz w:val="24"/>
          <w:szCs w:val="24"/>
        </w:rPr>
        <w:t xml:space="preserve">, recém-criada. Formalmente, isto é, a partir do desenho institucional inaugurado com o novo posicionamento dos órgãos </w:t>
      </w:r>
      <w:r w:rsidR="00174E54" w:rsidRPr="00094D22">
        <w:rPr>
          <w:rFonts w:ascii="Times New Roman" w:hAnsi="Times New Roman"/>
          <w:sz w:val="24"/>
          <w:szCs w:val="24"/>
        </w:rPr>
        <w:t>no Executivo</w:t>
      </w:r>
      <w:r w:rsidR="00725379" w:rsidRPr="00094D22">
        <w:rPr>
          <w:rFonts w:ascii="Times New Roman" w:hAnsi="Times New Roman"/>
          <w:sz w:val="24"/>
          <w:szCs w:val="24"/>
        </w:rPr>
        <w:t xml:space="preserve">, </w:t>
      </w:r>
      <w:r w:rsidR="00174E54" w:rsidRPr="00094D22">
        <w:rPr>
          <w:rFonts w:ascii="Times New Roman" w:hAnsi="Times New Roman"/>
          <w:sz w:val="24"/>
          <w:szCs w:val="24"/>
        </w:rPr>
        <w:t xml:space="preserve">foi </w:t>
      </w:r>
      <w:r w:rsidR="00ED779A" w:rsidRPr="00094D22">
        <w:rPr>
          <w:rFonts w:ascii="Times New Roman" w:hAnsi="Times New Roman"/>
          <w:sz w:val="24"/>
          <w:szCs w:val="24"/>
        </w:rPr>
        <w:t>facilitado</w:t>
      </w:r>
      <w:r w:rsidR="008731AE" w:rsidRPr="00094D22">
        <w:rPr>
          <w:rFonts w:ascii="Times New Roman" w:hAnsi="Times New Roman"/>
          <w:sz w:val="24"/>
          <w:szCs w:val="24"/>
        </w:rPr>
        <w:t xml:space="preserve"> ao CDESestabelecer pontes com o Congresso Nacional</w:t>
      </w:r>
      <w:r w:rsidR="00ED779A" w:rsidRPr="00094D22">
        <w:rPr>
          <w:rFonts w:ascii="Times New Roman" w:hAnsi="Times New Roman"/>
          <w:sz w:val="24"/>
          <w:szCs w:val="24"/>
        </w:rPr>
        <w:t xml:space="preserve"> n</w:t>
      </w:r>
      <w:r w:rsidR="008731AE" w:rsidRPr="00094D22">
        <w:rPr>
          <w:rFonts w:ascii="Times New Roman" w:hAnsi="Times New Roman"/>
          <w:sz w:val="24"/>
          <w:szCs w:val="24"/>
        </w:rPr>
        <w:t xml:space="preserve">a proposição </w:t>
      </w:r>
      <w:r w:rsidR="00ED779A" w:rsidRPr="00094D22">
        <w:rPr>
          <w:rFonts w:ascii="Times New Roman" w:hAnsi="Times New Roman"/>
          <w:sz w:val="24"/>
          <w:szCs w:val="24"/>
        </w:rPr>
        <w:t xml:space="preserve">e implementação </w:t>
      </w:r>
      <w:r w:rsidR="008731AE" w:rsidRPr="00094D22">
        <w:rPr>
          <w:rFonts w:ascii="Times New Roman" w:hAnsi="Times New Roman"/>
          <w:sz w:val="24"/>
          <w:szCs w:val="24"/>
        </w:rPr>
        <w:t>de medidas julgadas adequadas para o “desenvolvimento com inclusão social”</w:t>
      </w:r>
      <w:r w:rsidR="00174E54" w:rsidRPr="00094D22">
        <w:rPr>
          <w:rFonts w:ascii="Times New Roman" w:hAnsi="Times New Roman"/>
          <w:sz w:val="24"/>
          <w:szCs w:val="24"/>
        </w:rPr>
        <w:t>,</w:t>
      </w:r>
      <w:r w:rsidR="00ED779A" w:rsidRPr="00094D22">
        <w:rPr>
          <w:rFonts w:ascii="Times New Roman" w:hAnsi="Times New Roman"/>
          <w:sz w:val="24"/>
          <w:szCs w:val="24"/>
        </w:rPr>
        <w:t xml:space="preserve"> já que o próprio ministro da SRI passou acumular as funções de estabelecer conexõe</w:t>
      </w:r>
      <w:r w:rsidR="00725379" w:rsidRPr="00094D22">
        <w:rPr>
          <w:rFonts w:ascii="Times New Roman" w:hAnsi="Times New Roman"/>
          <w:sz w:val="24"/>
          <w:szCs w:val="24"/>
        </w:rPr>
        <w:t>s do Executivo com o Congresso,</w:t>
      </w:r>
      <w:r w:rsidR="00ED779A" w:rsidRPr="00094D22">
        <w:rPr>
          <w:rFonts w:ascii="Times New Roman" w:hAnsi="Times New Roman"/>
          <w:sz w:val="24"/>
          <w:szCs w:val="24"/>
        </w:rPr>
        <w:t xml:space="preserve"> de </w:t>
      </w:r>
      <w:r w:rsidR="00F3703D" w:rsidRPr="00094D22">
        <w:rPr>
          <w:rFonts w:ascii="Times New Roman" w:hAnsi="Times New Roman"/>
          <w:sz w:val="24"/>
          <w:szCs w:val="24"/>
        </w:rPr>
        <w:t>coordenar o CDES</w:t>
      </w:r>
      <w:r w:rsidR="00725379" w:rsidRPr="00094D22">
        <w:rPr>
          <w:rFonts w:ascii="Times New Roman" w:hAnsi="Times New Roman"/>
          <w:sz w:val="24"/>
          <w:szCs w:val="24"/>
        </w:rPr>
        <w:t>(</w:t>
      </w:r>
      <w:r w:rsidR="00F3703D" w:rsidRPr="00094D22">
        <w:rPr>
          <w:rFonts w:ascii="Times New Roman" w:hAnsi="Times New Roman"/>
          <w:sz w:val="24"/>
          <w:szCs w:val="24"/>
        </w:rPr>
        <w:t>na função de</w:t>
      </w:r>
      <w:r w:rsidR="00ED779A" w:rsidRPr="00094D22">
        <w:rPr>
          <w:rFonts w:ascii="Times New Roman" w:hAnsi="Times New Roman"/>
          <w:sz w:val="24"/>
          <w:szCs w:val="24"/>
        </w:rPr>
        <w:t xml:space="preserve"> secret</w:t>
      </w:r>
      <w:r w:rsidR="00F3703D" w:rsidRPr="00094D22">
        <w:rPr>
          <w:rFonts w:ascii="Times New Roman" w:hAnsi="Times New Roman"/>
          <w:sz w:val="24"/>
          <w:szCs w:val="24"/>
        </w:rPr>
        <w:t>ário</w:t>
      </w:r>
      <w:r w:rsidR="00ED779A" w:rsidRPr="00094D22">
        <w:rPr>
          <w:rFonts w:ascii="Times New Roman" w:hAnsi="Times New Roman"/>
          <w:sz w:val="24"/>
          <w:szCs w:val="24"/>
        </w:rPr>
        <w:t xml:space="preserve"> executivo</w:t>
      </w:r>
      <w:r w:rsidR="00725379" w:rsidRPr="00094D22">
        <w:rPr>
          <w:rFonts w:ascii="Times New Roman" w:hAnsi="Times New Roman"/>
          <w:sz w:val="24"/>
          <w:szCs w:val="24"/>
        </w:rPr>
        <w:t>) e de lidar com prefeitos e governadores de todo o país</w:t>
      </w:r>
      <w:r w:rsidR="00F3703D" w:rsidRPr="00094D22">
        <w:rPr>
          <w:rFonts w:ascii="Times New Roman" w:hAnsi="Times New Roman"/>
          <w:sz w:val="24"/>
          <w:szCs w:val="24"/>
        </w:rPr>
        <w:t>.</w:t>
      </w:r>
    </w:p>
    <w:p w:rsidR="00453664" w:rsidRPr="00094D22" w:rsidRDefault="00174E54" w:rsidP="00725379">
      <w:pPr>
        <w:spacing w:after="0" w:line="360" w:lineRule="auto"/>
        <w:ind w:firstLine="708"/>
        <w:jc w:val="both"/>
        <w:rPr>
          <w:rFonts w:ascii="Times New Roman" w:hAnsi="Times New Roman"/>
          <w:sz w:val="24"/>
          <w:szCs w:val="24"/>
        </w:rPr>
      </w:pPr>
      <w:r w:rsidRPr="00094D22">
        <w:rPr>
          <w:rFonts w:ascii="Times New Roman" w:hAnsi="Times New Roman"/>
          <w:sz w:val="24"/>
          <w:szCs w:val="24"/>
        </w:rPr>
        <w:t>Segundo Ronaldo Coutinho Garcia, então Subsecretário da SEDES,</w:t>
      </w:r>
      <w:r w:rsidR="00016576">
        <w:rPr>
          <w:rFonts w:ascii="Times New Roman" w:hAnsi="Times New Roman"/>
          <w:sz w:val="24"/>
          <w:szCs w:val="24"/>
        </w:rPr>
        <w:t xml:space="preserve">a </w:t>
      </w:r>
      <w:r w:rsidR="00453664" w:rsidRPr="00094D22">
        <w:rPr>
          <w:rFonts w:ascii="Times New Roman" w:hAnsi="Times New Roman"/>
          <w:sz w:val="24"/>
          <w:szCs w:val="24"/>
        </w:rPr>
        <w:t>junção da Secretaria de Coordenação Política com a Secretaria de Assun</w:t>
      </w:r>
      <w:r w:rsidR="00016576">
        <w:rPr>
          <w:rFonts w:ascii="Times New Roman" w:hAnsi="Times New Roman"/>
          <w:sz w:val="24"/>
          <w:szCs w:val="24"/>
        </w:rPr>
        <w:t>tos Institucionais, da qual resu</w:t>
      </w:r>
      <w:r w:rsidR="00453664" w:rsidRPr="00094D22">
        <w:rPr>
          <w:rFonts w:ascii="Times New Roman" w:hAnsi="Times New Roman"/>
          <w:sz w:val="24"/>
          <w:szCs w:val="24"/>
        </w:rPr>
        <w:t>ltou a SRI</w:t>
      </w:r>
    </w:p>
    <w:p w:rsidR="00174E54" w:rsidRPr="00094D22" w:rsidRDefault="00453664" w:rsidP="00453664">
      <w:pPr>
        <w:spacing w:line="240" w:lineRule="auto"/>
        <w:ind w:left="2268"/>
        <w:jc w:val="both"/>
        <w:rPr>
          <w:rFonts w:ascii="Times New Roman" w:hAnsi="Times New Roman"/>
        </w:rPr>
      </w:pPr>
      <w:r w:rsidRPr="00094D22">
        <w:rPr>
          <w:rFonts w:ascii="Times New Roman" w:hAnsi="Times New Roman"/>
        </w:rPr>
        <w:t>(...) trouxe preocupações adicionais aos conselheiros, ao entenderem que as atribuições do ministro-chefe da SRI, principalmente em uma época na qual ocorria a mais grave crise política até então enfrentada pelo governo, iriam necessariamente concorrer com a atenção que o CDES mereceria, em particular no momento em que se completava a Agenda. As novas tarefas do ministro, em verdade, eram muito exigentes em tempo, cuidados e atenções, pois lidar com prefeitos e governadores e, principalmente, com parlamentares, naquele momento, procurando refazer a base congressual do governo e viabilizar as votações de interesse, não era algo delegável.</w:t>
      </w:r>
      <w:r w:rsidRPr="00094D22">
        <w:rPr>
          <w:rStyle w:val="Refdenotaderodap"/>
          <w:rFonts w:ascii="Times New Roman" w:hAnsi="Times New Roman"/>
        </w:rPr>
        <w:footnoteReference w:id="117"/>
      </w:r>
    </w:p>
    <w:p w:rsidR="00C1495D" w:rsidRPr="00094D22" w:rsidRDefault="00F30616" w:rsidP="00CE3680">
      <w:pPr>
        <w:spacing w:after="0" w:line="360" w:lineRule="auto"/>
        <w:ind w:firstLine="708"/>
        <w:jc w:val="both"/>
        <w:rPr>
          <w:rFonts w:ascii="Times New Roman" w:hAnsi="Times New Roman"/>
          <w:sz w:val="24"/>
          <w:szCs w:val="24"/>
        </w:rPr>
      </w:pPr>
      <w:r w:rsidRPr="00094D22">
        <w:rPr>
          <w:rFonts w:ascii="Times New Roman" w:hAnsi="Times New Roman"/>
          <w:sz w:val="24"/>
          <w:szCs w:val="24"/>
        </w:rPr>
        <w:t>A</w:t>
      </w:r>
      <w:r w:rsidR="00C1495D" w:rsidRPr="00094D22">
        <w:rPr>
          <w:rFonts w:ascii="Times New Roman" w:hAnsi="Times New Roman"/>
          <w:sz w:val="24"/>
          <w:szCs w:val="24"/>
        </w:rPr>
        <w:t xml:space="preserve"> mudança institucional no Executivo estava diretamente ligada à grave crise política advinda do “escândalo do mensalão”</w:t>
      </w:r>
      <w:r w:rsidRPr="00094D22">
        <w:rPr>
          <w:rFonts w:ascii="Times New Roman" w:hAnsi="Times New Roman"/>
          <w:sz w:val="24"/>
          <w:szCs w:val="24"/>
        </w:rPr>
        <w:t xml:space="preserve"> que ele enfrentava</w:t>
      </w:r>
      <w:r w:rsidR="00C1495D" w:rsidRPr="00094D22">
        <w:rPr>
          <w:rFonts w:ascii="Times New Roman" w:hAnsi="Times New Roman"/>
          <w:sz w:val="24"/>
          <w:szCs w:val="24"/>
        </w:rPr>
        <w:t>, deflagrada em junho de 2005, um mês antes da reforma institucional. Naquela conjuntura</w:t>
      </w:r>
      <w:r w:rsidRPr="00094D22">
        <w:rPr>
          <w:rFonts w:ascii="Times New Roman" w:hAnsi="Times New Roman"/>
          <w:sz w:val="24"/>
          <w:szCs w:val="24"/>
        </w:rPr>
        <w:t xml:space="preserve">,o troca-troca de ministros (alguns acusados de atuar diretamente na crise) </w:t>
      </w:r>
      <w:r w:rsidR="000E1BC9" w:rsidRPr="00094D22">
        <w:rPr>
          <w:rFonts w:ascii="Times New Roman" w:hAnsi="Times New Roman"/>
          <w:sz w:val="24"/>
          <w:szCs w:val="24"/>
        </w:rPr>
        <w:t>e a reforma na organização da Presidência da República, era uma tentativa de resposta imediata à população por parte do governo.</w:t>
      </w:r>
    </w:p>
    <w:p w:rsidR="008731AE" w:rsidRPr="00094D22" w:rsidRDefault="000E1BC9" w:rsidP="00CE3680">
      <w:pPr>
        <w:spacing w:after="0" w:line="360" w:lineRule="auto"/>
        <w:ind w:firstLine="708"/>
        <w:jc w:val="both"/>
        <w:rPr>
          <w:rFonts w:ascii="Times New Roman" w:hAnsi="Times New Roman"/>
          <w:sz w:val="24"/>
          <w:szCs w:val="24"/>
        </w:rPr>
      </w:pPr>
      <w:r w:rsidRPr="00094D22">
        <w:rPr>
          <w:rFonts w:ascii="Times New Roman" w:hAnsi="Times New Roman"/>
          <w:sz w:val="24"/>
          <w:szCs w:val="24"/>
        </w:rPr>
        <w:t>A</w:t>
      </w:r>
      <w:r w:rsidR="008731AE" w:rsidRPr="00094D22">
        <w:rPr>
          <w:rFonts w:ascii="Times New Roman" w:hAnsi="Times New Roman"/>
          <w:sz w:val="24"/>
          <w:szCs w:val="24"/>
        </w:rPr>
        <w:t xml:space="preserve"> intencionalidade de aproximar o Conselho </w:t>
      </w:r>
      <w:r w:rsidR="007A2F7C" w:rsidRPr="00094D22">
        <w:rPr>
          <w:rFonts w:ascii="Times New Roman" w:hAnsi="Times New Roman"/>
          <w:sz w:val="24"/>
          <w:szCs w:val="24"/>
        </w:rPr>
        <w:t xml:space="preserve">com </w:t>
      </w:r>
      <w:r w:rsidR="00765A8B" w:rsidRPr="00094D22">
        <w:rPr>
          <w:rFonts w:ascii="Times New Roman" w:hAnsi="Times New Roman"/>
          <w:sz w:val="24"/>
          <w:szCs w:val="24"/>
        </w:rPr>
        <w:t xml:space="preserve">o Congresso Nacional, </w:t>
      </w:r>
      <w:r w:rsidR="00ED779A" w:rsidRPr="00094D22">
        <w:rPr>
          <w:rFonts w:ascii="Times New Roman" w:hAnsi="Times New Roman"/>
          <w:sz w:val="24"/>
          <w:szCs w:val="24"/>
        </w:rPr>
        <w:t>para além da alegada busca de “melhor prática de gestão”, nas palavras d</w:t>
      </w:r>
      <w:r w:rsidR="00765A8B" w:rsidRPr="00094D22">
        <w:rPr>
          <w:rFonts w:ascii="Times New Roman" w:hAnsi="Times New Roman"/>
          <w:sz w:val="24"/>
          <w:szCs w:val="24"/>
        </w:rPr>
        <w:t>o secretário</w:t>
      </w:r>
      <w:r w:rsidR="00ED779A" w:rsidRPr="00094D22">
        <w:rPr>
          <w:rFonts w:ascii="Times New Roman" w:hAnsi="Times New Roman"/>
          <w:sz w:val="24"/>
          <w:szCs w:val="24"/>
        </w:rPr>
        <w:t xml:space="preserve"> Jaques Wagner, </w:t>
      </w:r>
      <w:r w:rsidR="00765A8B" w:rsidRPr="00094D22">
        <w:rPr>
          <w:rFonts w:ascii="Times New Roman" w:hAnsi="Times New Roman"/>
          <w:sz w:val="24"/>
          <w:szCs w:val="24"/>
        </w:rPr>
        <w:t>emergia num contexto de</w:t>
      </w:r>
      <w:r w:rsidR="008731AE" w:rsidRPr="00094D22">
        <w:rPr>
          <w:rFonts w:ascii="Times New Roman" w:hAnsi="Times New Roman"/>
          <w:sz w:val="24"/>
          <w:szCs w:val="24"/>
        </w:rPr>
        <w:t xml:space="preserve"> repetidas queixas dos conselheiros sobre a efetividade das propostas </w:t>
      </w:r>
      <w:r w:rsidR="007A2F7C" w:rsidRPr="00094D22">
        <w:rPr>
          <w:rFonts w:ascii="Times New Roman" w:hAnsi="Times New Roman"/>
          <w:sz w:val="24"/>
          <w:szCs w:val="24"/>
        </w:rPr>
        <w:t xml:space="preserve">encaminhadas pelo </w:t>
      </w:r>
      <w:r w:rsidR="008731AE" w:rsidRPr="00094D22">
        <w:rPr>
          <w:rFonts w:ascii="Times New Roman" w:hAnsi="Times New Roman"/>
          <w:sz w:val="24"/>
          <w:szCs w:val="24"/>
        </w:rPr>
        <w:t>CDES</w:t>
      </w:r>
      <w:r w:rsidR="00ED779A" w:rsidRPr="00094D22">
        <w:rPr>
          <w:rFonts w:ascii="Times New Roman" w:hAnsi="Times New Roman"/>
          <w:sz w:val="24"/>
          <w:szCs w:val="24"/>
        </w:rPr>
        <w:t>. Tratava-se de um momento difícil para o Conselho, pois ao lado das dúvidas</w:t>
      </w:r>
      <w:r w:rsidR="00F3703D" w:rsidRPr="00094D22">
        <w:rPr>
          <w:rFonts w:ascii="Times New Roman" w:hAnsi="Times New Roman"/>
          <w:sz w:val="24"/>
          <w:szCs w:val="24"/>
        </w:rPr>
        <w:t>, declaradas pelos conselheiros,</w:t>
      </w:r>
      <w:r w:rsidR="00ED779A" w:rsidRPr="00094D22">
        <w:rPr>
          <w:rFonts w:ascii="Times New Roman" w:hAnsi="Times New Roman"/>
          <w:sz w:val="24"/>
          <w:szCs w:val="24"/>
        </w:rPr>
        <w:t xml:space="preserve"> sobre </w:t>
      </w:r>
      <w:r w:rsidR="00F3703D" w:rsidRPr="00094D22">
        <w:rPr>
          <w:rFonts w:ascii="Times New Roman" w:hAnsi="Times New Roman"/>
          <w:sz w:val="24"/>
          <w:szCs w:val="24"/>
        </w:rPr>
        <w:t>a efetividade de seu</w:t>
      </w:r>
      <w:r w:rsidR="00ED779A" w:rsidRPr="00094D22">
        <w:rPr>
          <w:rFonts w:ascii="Times New Roman" w:hAnsi="Times New Roman"/>
          <w:sz w:val="24"/>
          <w:szCs w:val="24"/>
        </w:rPr>
        <w:t xml:space="preserve"> papel legal de propor medidas e </w:t>
      </w:r>
      <w:r w:rsidR="00016576">
        <w:rPr>
          <w:rFonts w:ascii="Times New Roman" w:hAnsi="Times New Roman"/>
          <w:sz w:val="24"/>
          <w:szCs w:val="24"/>
        </w:rPr>
        <w:t xml:space="preserve">de </w:t>
      </w:r>
      <w:r w:rsidR="00ED779A" w:rsidRPr="00094D22">
        <w:rPr>
          <w:rFonts w:ascii="Times New Roman" w:hAnsi="Times New Roman"/>
          <w:sz w:val="24"/>
          <w:szCs w:val="24"/>
        </w:rPr>
        <w:t xml:space="preserve">assessorar </w:t>
      </w:r>
      <w:r w:rsidR="00F3703D" w:rsidRPr="00094D22">
        <w:rPr>
          <w:rFonts w:ascii="Times New Roman" w:hAnsi="Times New Roman"/>
          <w:sz w:val="24"/>
          <w:szCs w:val="24"/>
        </w:rPr>
        <w:t>as decisões do Executivo,</w:t>
      </w:r>
      <w:r w:rsidR="00CB6754" w:rsidRPr="00094D22">
        <w:rPr>
          <w:rFonts w:ascii="Times New Roman" w:hAnsi="Times New Roman"/>
          <w:sz w:val="24"/>
          <w:szCs w:val="24"/>
        </w:rPr>
        <w:t xml:space="preserve"> aliadas à</w:t>
      </w:r>
      <w:r w:rsidR="00F3703D" w:rsidRPr="00094D22">
        <w:rPr>
          <w:rFonts w:ascii="Times New Roman" w:hAnsi="Times New Roman"/>
          <w:sz w:val="24"/>
          <w:szCs w:val="24"/>
        </w:rPr>
        <w:t xml:space="preserve"> manutenção da</w:t>
      </w:r>
      <w:r w:rsidR="00765A8B" w:rsidRPr="00094D22">
        <w:rPr>
          <w:rFonts w:ascii="Times New Roman" w:hAnsi="Times New Roman"/>
          <w:sz w:val="24"/>
          <w:szCs w:val="24"/>
        </w:rPr>
        <w:t xml:space="preserve"> forte</w:t>
      </w:r>
      <w:r w:rsidR="00F3703D" w:rsidRPr="00094D22">
        <w:rPr>
          <w:rFonts w:ascii="Times New Roman" w:hAnsi="Times New Roman"/>
          <w:sz w:val="24"/>
          <w:szCs w:val="24"/>
        </w:rPr>
        <w:t xml:space="preserve"> política econômica monetarista do governo</w:t>
      </w:r>
      <w:r w:rsidR="00CB6754" w:rsidRPr="00094D22">
        <w:rPr>
          <w:rFonts w:ascii="Times New Roman" w:hAnsi="Times New Roman"/>
          <w:sz w:val="24"/>
          <w:szCs w:val="24"/>
        </w:rPr>
        <w:t>,</w:t>
      </w:r>
      <w:r w:rsidR="00F3703D" w:rsidRPr="00094D22">
        <w:rPr>
          <w:rFonts w:ascii="Times New Roman" w:hAnsi="Times New Roman"/>
          <w:sz w:val="24"/>
          <w:szCs w:val="24"/>
        </w:rPr>
        <w:t xml:space="preserve"> também </w:t>
      </w:r>
      <w:r w:rsidR="00765A8B" w:rsidRPr="00094D22">
        <w:rPr>
          <w:rFonts w:ascii="Times New Roman" w:hAnsi="Times New Roman"/>
          <w:sz w:val="24"/>
          <w:szCs w:val="24"/>
        </w:rPr>
        <w:t>alvo de</w:t>
      </w:r>
      <w:r w:rsidR="00F3703D" w:rsidRPr="00094D22">
        <w:rPr>
          <w:rFonts w:ascii="Times New Roman" w:hAnsi="Times New Roman"/>
          <w:sz w:val="24"/>
          <w:szCs w:val="24"/>
        </w:rPr>
        <w:t xml:space="preserve"> explícitas </w:t>
      </w:r>
      <w:r w:rsidR="00CB6754" w:rsidRPr="00094D22">
        <w:rPr>
          <w:rFonts w:ascii="Times New Roman" w:hAnsi="Times New Roman"/>
          <w:sz w:val="24"/>
          <w:szCs w:val="24"/>
        </w:rPr>
        <w:t>instatisfações</w:t>
      </w:r>
      <w:r w:rsidR="00F3703D" w:rsidRPr="00094D22">
        <w:rPr>
          <w:rFonts w:ascii="Times New Roman" w:hAnsi="Times New Roman"/>
          <w:sz w:val="24"/>
          <w:szCs w:val="24"/>
        </w:rPr>
        <w:t xml:space="preserve"> por parte d</w:t>
      </w:r>
      <w:r w:rsidR="00765A8B" w:rsidRPr="00094D22">
        <w:rPr>
          <w:rFonts w:ascii="Times New Roman" w:hAnsi="Times New Roman"/>
          <w:sz w:val="24"/>
          <w:szCs w:val="24"/>
        </w:rPr>
        <w:t>e muitos</w:t>
      </w:r>
      <w:r w:rsidR="00F3703D" w:rsidRPr="00094D22">
        <w:rPr>
          <w:rFonts w:ascii="Times New Roman" w:hAnsi="Times New Roman"/>
          <w:sz w:val="24"/>
          <w:szCs w:val="24"/>
        </w:rPr>
        <w:t xml:space="preserve"> consel</w:t>
      </w:r>
      <w:r w:rsidRPr="00094D22">
        <w:rPr>
          <w:rFonts w:ascii="Times New Roman" w:hAnsi="Times New Roman"/>
          <w:sz w:val="24"/>
          <w:szCs w:val="24"/>
        </w:rPr>
        <w:t xml:space="preserve">heiros nas reuniões plenárias e </w:t>
      </w:r>
      <w:r w:rsidR="00CB6754" w:rsidRPr="00094D22">
        <w:rPr>
          <w:rFonts w:ascii="Times New Roman" w:hAnsi="Times New Roman"/>
          <w:sz w:val="24"/>
          <w:szCs w:val="24"/>
        </w:rPr>
        <w:t>a</w:t>
      </w:r>
      <w:r w:rsidRPr="00094D22">
        <w:rPr>
          <w:rFonts w:ascii="Times New Roman" w:hAnsi="Times New Roman"/>
          <w:sz w:val="24"/>
          <w:szCs w:val="24"/>
        </w:rPr>
        <w:t>o</w:t>
      </w:r>
      <w:r w:rsidR="00CB6754" w:rsidRPr="00094D22">
        <w:rPr>
          <w:rFonts w:ascii="Times New Roman" w:hAnsi="Times New Roman"/>
          <w:sz w:val="24"/>
          <w:szCs w:val="24"/>
        </w:rPr>
        <w:t xml:space="preserve"> sucessivo adiamento do</w:t>
      </w:r>
      <w:r w:rsidRPr="00094D22">
        <w:rPr>
          <w:rFonts w:ascii="Times New Roman" w:hAnsi="Times New Roman"/>
          <w:sz w:val="24"/>
          <w:szCs w:val="24"/>
        </w:rPr>
        <w:t xml:space="preserve"> lançamento da Agenda Nacional de Desenvolvimento (encarada como uma nova plataforma para o desenvolvimento do país)</w:t>
      </w:r>
      <w:r w:rsidR="00CB6754" w:rsidRPr="00094D22">
        <w:rPr>
          <w:rFonts w:ascii="Times New Roman" w:hAnsi="Times New Roman"/>
          <w:sz w:val="24"/>
          <w:szCs w:val="24"/>
        </w:rPr>
        <w:t xml:space="preserve"> em virtude da grave crise política inaugurada, a reforma institucional trazia preocupações</w:t>
      </w:r>
      <w:r w:rsidR="00430CEB" w:rsidRPr="00094D22">
        <w:rPr>
          <w:rFonts w:ascii="Times New Roman" w:hAnsi="Times New Roman"/>
          <w:sz w:val="24"/>
          <w:szCs w:val="24"/>
        </w:rPr>
        <w:t>.</w:t>
      </w:r>
    </w:p>
    <w:p w:rsidR="00B537D2" w:rsidRPr="00094D22" w:rsidRDefault="00765A8B" w:rsidP="00430CEB">
      <w:pPr>
        <w:spacing w:after="0" w:line="360" w:lineRule="auto"/>
        <w:ind w:firstLine="708"/>
        <w:jc w:val="both"/>
        <w:rPr>
          <w:rFonts w:ascii="Times New Roman" w:hAnsi="Times New Roman"/>
          <w:sz w:val="24"/>
          <w:szCs w:val="24"/>
        </w:rPr>
      </w:pPr>
      <w:r w:rsidRPr="00094D22">
        <w:rPr>
          <w:rFonts w:ascii="Times New Roman" w:hAnsi="Times New Roman"/>
          <w:sz w:val="24"/>
          <w:szCs w:val="24"/>
        </w:rPr>
        <w:t xml:space="preserve">Apesar </w:t>
      </w:r>
      <w:r w:rsidR="00B93A65" w:rsidRPr="00094D22">
        <w:rPr>
          <w:rFonts w:ascii="Times New Roman" w:hAnsi="Times New Roman"/>
          <w:sz w:val="24"/>
          <w:szCs w:val="24"/>
        </w:rPr>
        <w:t>da mudança institucional aludida</w:t>
      </w:r>
      <w:r w:rsidR="00CB6754" w:rsidRPr="00094D22">
        <w:rPr>
          <w:rFonts w:ascii="Times New Roman" w:hAnsi="Times New Roman"/>
          <w:sz w:val="24"/>
          <w:szCs w:val="24"/>
        </w:rPr>
        <w:t xml:space="preserve"> e de sua defesa como forma de fortalecimento do Conselho no âmbito do Executivo</w:t>
      </w:r>
      <w:r w:rsidRPr="00094D22">
        <w:rPr>
          <w:rFonts w:ascii="Times New Roman" w:hAnsi="Times New Roman"/>
          <w:sz w:val="24"/>
          <w:szCs w:val="24"/>
        </w:rPr>
        <w:t xml:space="preserve">, </w:t>
      </w:r>
      <w:r w:rsidR="00CB6754" w:rsidRPr="00094D22">
        <w:rPr>
          <w:rFonts w:ascii="Times New Roman" w:hAnsi="Times New Roman"/>
          <w:sz w:val="24"/>
          <w:szCs w:val="24"/>
        </w:rPr>
        <w:t xml:space="preserve">o fato é que </w:t>
      </w:r>
      <w:r w:rsidR="00AB53BF" w:rsidRPr="00094D22">
        <w:rPr>
          <w:rFonts w:ascii="Times New Roman" w:hAnsi="Times New Roman"/>
          <w:sz w:val="24"/>
          <w:szCs w:val="24"/>
        </w:rPr>
        <w:t>a pretensão de aproximação entre o CDES e o Congresso não surtiu efeitos satisfatórios. A</w:t>
      </w:r>
      <w:r w:rsidR="00B93A65" w:rsidRPr="00094D22">
        <w:rPr>
          <w:rFonts w:ascii="Times New Roman" w:hAnsi="Times New Roman"/>
          <w:sz w:val="24"/>
          <w:szCs w:val="24"/>
        </w:rPr>
        <w:t xml:space="preserve"> pesquisa </w:t>
      </w:r>
      <w:r w:rsidR="00430CEB" w:rsidRPr="00094D22">
        <w:rPr>
          <w:rFonts w:ascii="Times New Roman" w:hAnsi="Times New Roman"/>
          <w:sz w:val="24"/>
          <w:szCs w:val="24"/>
        </w:rPr>
        <w:t>documental</w:t>
      </w:r>
      <w:r w:rsidR="00B93A65" w:rsidRPr="00094D22">
        <w:rPr>
          <w:rFonts w:ascii="Times New Roman" w:hAnsi="Times New Roman"/>
          <w:sz w:val="24"/>
          <w:szCs w:val="24"/>
        </w:rPr>
        <w:t xml:space="preserve"> do Conselho </w:t>
      </w:r>
      <w:r w:rsidR="00FA0403" w:rsidRPr="00094D22">
        <w:rPr>
          <w:rFonts w:ascii="Times New Roman" w:hAnsi="Times New Roman"/>
          <w:sz w:val="24"/>
          <w:szCs w:val="24"/>
        </w:rPr>
        <w:t xml:space="preserve">durante os dois governos Lula da Silva </w:t>
      </w:r>
      <w:r w:rsidR="00B93A65" w:rsidRPr="00094D22">
        <w:rPr>
          <w:rFonts w:ascii="Times New Roman" w:hAnsi="Times New Roman"/>
          <w:sz w:val="24"/>
          <w:szCs w:val="24"/>
        </w:rPr>
        <w:t xml:space="preserve">nos mostra que </w:t>
      </w:r>
      <w:r w:rsidRPr="00094D22">
        <w:rPr>
          <w:rFonts w:ascii="Times New Roman" w:hAnsi="Times New Roman"/>
          <w:sz w:val="24"/>
          <w:szCs w:val="24"/>
        </w:rPr>
        <w:t xml:space="preserve">a relação </w:t>
      </w:r>
      <w:r w:rsidR="00C51B94" w:rsidRPr="00094D22">
        <w:rPr>
          <w:rFonts w:ascii="Times New Roman" w:hAnsi="Times New Roman"/>
          <w:sz w:val="24"/>
          <w:szCs w:val="24"/>
        </w:rPr>
        <w:t xml:space="preserve">do CDES </w:t>
      </w:r>
      <w:r w:rsidRPr="00094D22">
        <w:rPr>
          <w:rFonts w:ascii="Times New Roman" w:hAnsi="Times New Roman"/>
          <w:sz w:val="24"/>
          <w:szCs w:val="24"/>
        </w:rPr>
        <w:t xml:space="preserve">com o Congresso Nacional </w:t>
      </w:r>
      <w:r w:rsidR="00AB53BF" w:rsidRPr="00094D22">
        <w:rPr>
          <w:rFonts w:ascii="Times New Roman" w:hAnsi="Times New Roman"/>
          <w:sz w:val="24"/>
          <w:szCs w:val="24"/>
        </w:rPr>
        <w:t>não conseguiu sedimentar organicidade</w:t>
      </w:r>
      <w:r w:rsidRPr="00094D22">
        <w:rPr>
          <w:rFonts w:ascii="Times New Roman" w:hAnsi="Times New Roman"/>
          <w:sz w:val="24"/>
          <w:szCs w:val="24"/>
        </w:rPr>
        <w:t xml:space="preserve">, no sentido de </w:t>
      </w:r>
      <w:r w:rsidR="00C51B94" w:rsidRPr="00094D22">
        <w:rPr>
          <w:rFonts w:ascii="Times New Roman" w:hAnsi="Times New Roman"/>
          <w:sz w:val="24"/>
          <w:szCs w:val="24"/>
        </w:rPr>
        <w:t xml:space="preserve">realizar </w:t>
      </w:r>
      <w:r w:rsidRPr="00094D22">
        <w:rPr>
          <w:rFonts w:ascii="Times New Roman" w:hAnsi="Times New Roman"/>
          <w:sz w:val="24"/>
          <w:szCs w:val="24"/>
        </w:rPr>
        <w:t xml:space="preserve">um trabalho efetivo de parceria, cooperação e diálogo permanente. Pode-se sem dúvida afirmar que a proximidade e interlocução entre as duas instituições foi </w:t>
      </w:r>
      <w:r w:rsidR="00B93A65" w:rsidRPr="00094D22">
        <w:rPr>
          <w:rFonts w:ascii="Times New Roman" w:hAnsi="Times New Roman"/>
          <w:sz w:val="24"/>
          <w:szCs w:val="24"/>
        </w:rPr>
        <w:t xml:space="preserve"> frouxa </w:t>
      </w:r>
      <w:r w:rsidRPr="00094D22">
        <w:rPr>
          <w:rFonts w:ascii="Times New Roman" w:hAnsi="Times New Roman"/>
          <w:sz w:val="24"/>
          <w:szCs w:val="24"/>
        </w:rPr>
        <w:t>e esporádica</w:t>
      </w:r>
      <w:r w:rsidR="00825BCE" w:rsidRPr="00094D22">
        <w:rPr>
          <w:rFonts w:ascii="Times New Roman" w:hAnsi="Times New Roman"/>
          <w:sz w:val="24"/>
          <w:szCs w:val="24"/>
        </w:rPr>
        <w:t xml:space="preserve">, em </w:t>
      </w:r>
      <w:r w:rsidR="00AB53BF" w:rsidRPr="00094D22">
        <w:rPr>
          <w:rFonts w:ascii="Times New Roman" w:hAnsi="Times New Roman"/>
          <w:sz w:val="24"/>
          <w:szCs w:val="24"/>
        </w:rPr>
        <w:t>ações conjunturais</w:t>
      </w:r>
      <w:r w:rsidR="00FA0403" w:rsidRPr="00094D22">
        <w:rPr>
          <w:rFonts w:ascii="Times New Roman" w:hAnsi="Times New Roman"/>
          <w:sz w:val="24"/>
          <w:szCs w:val="24"/>
        </w:rPr>
        <w:t xml:space="preserve">e </w:t>
      </w:r>
      <w:r w:rsidR="00825BCE" w:rsidRPr="00094D22">
        <w:rPr>
          <w:rFonts w:ascii="Times New Roman" w:hAnsi="Times New Roman"/>
          <w:sz w:val="24"/>
          <w:szCs w:val="24"/>
        </w:rPr>
        <w:t>pontua</w:t>
      </w:r>
      <w:r w:rsidR="00AB53BF" w:rsidRPr="00094D22">
        <w:rPr>
          <w:rFonts w:ascii="Times New Roman" w:hAnsi="Times New Roman"/>
          <w:sz w:val="24"/>
          <w:szCs w:val="24"/>
        </w:rPr>
        <w:t>is</w:t>
      </w:r>
      <w:r w:rsidRPr="00094D22">
        <w:rPr>
          <w:rFonts w:ascii="Times New Roman" w:hAnsi="Times New Roman"/>
          <w:sz w:val="24"/>
          <w:szCs w:val="24"/>
        </w:rPr>
        <w:t>. A leitura dos Relatórios de Atividades do Conselho, entre os anos 2003 e 2010, traduz de forma inequívoca as r</w:t>
      </w:r>
      <w:r w:rsidR="00AB53BF" w:rsidRPr="00094D22">
        <w:rPr>
          <w:rFonts w:ascii="Times New Roman" w:hAnsi="Times New Roman"/>
          <w:sz w:val="24"/>
          <w:szCs w:val="24"/>
        </w:rPr>
        <w:t>ara</w:t>
      </w:r>
      <w:r w:rsidRPr="00094D22">
        <w:rPr>
          <w:rFonts w:ascii="Times New Roman" w:hAnsi="Times New Roman"/>
          <w:sz w:val="24"/>
          <w:szCs w:val="24"/>
        </w:rPr>
        <w:t xml:space="preserve">s ocasiõesde conexão entre o CDES e o Congresso: dentre as </w:t>
      </w:r>
      <w:r w:rsidRPr="00094D22">
        <w:rPr>
          <w:rFonts w:ascii="Times New Roman" w:hAnsi="Times New Roman"/>
          <w:i/>
          <w:sz w:val="24"/>
          <w:szCs w:val="24"/>
        </w:rPr>
        <w:t>centenas</w:t>
      </w:r>
      <w:r w:rsidRPr="00094D22">
        <w:rPr>
          <w:rFonts w:ascii="Times New Roman" w:hAnsi="Times New Roman"/>
          <w:sz w:val="24"/>
          <w:szCs w:val="24"/>
        </w:rPr>
        <w:t xml:space="preserve"> atividades realizadas (Workshops, Seminários, Colóquios, Congressos, Mesas Redondas, Painéis, Conferências, dentre outros eventos) pouquíssimas foram realizadas em conjunto (em parceria, promoção ou apoio) com a Câmara dos Deputados ou com Senado Federal, ou com as instâncias organizativas e/ou deliberativas internas de ambas as Casas Legislativas. </w:t>
      </w:r>
    </w:p>
    <w:p w:rsidR="00765A8B" w:rsidRPr="00094D22" w:rsidRDefault="00765A8B" w:rsidP="00825BCE">
      <w:pPr>
        <w:autoSpaceDE w:val="0"/>
        <w:autoSpaceDN w:val="0"/>
        <w:adjustRightInd w:val="0"/>
        <w:spacing w:after="0" w:line="360" w:lineRule="auto"/>
        <w:ind w:firstLine="708"/>
        <w:jc w:val="both"/>
        <w:rPr>
          <w:rFonts w:ascii="Times New Roman" w:hAnsi="Times New Roman"/>
          <w:sz w:val="24"/>
          <w:szCs w:val="24"/>
        </w:rPr>
      </w:pPr>
      <w:r w:rsidRPr="00094D22">
        <w:rPr>
          <w:rFonts w:ascii="Times New Roman" w:hAnsi="Times New Roman"/>
          <w:sz w:val="24"/>
          <w:szCs w:val="24"/>
        </w:rPr>
        <w:t xml:space="preserve">Algumas destas atividades, organizadas pela SEDES, contaram com a presença de deputados federais no debate, </w:t>
      </w:r>
      <w:r w:rsidR="00016576">
        <w:rPr>
          <w:rFonts w:ascii="Times New Roman" w:hAnsi="Times New Roman"/>
          <w:sz w:val="24"/>
          <w:szCs w:val="24"/>
        </w:rPr>
        <w:t>por exemplo, d</w:t>
      </w:r>
      <w:r w:rsidRPr="00094D22">
        <w:rPr>
          <w:rFonts w:ascii="Times New Roman" w:hAnsi="Times New Roman"/>
          <w:sz w:val="24"/>
          <w:szCs w:val="24"/>
        </w:rPr>
        <w:t>o Seminário sobre a Reforma Política, ocorrido em junho de 2007, que contou com a intervenção do relator do Projeto de Lei da Reforma Política, deputado Ronaldo Caiado (DEM/GO), o qual “disse acreditar que não será fácil a aprovação de uma Constituinte [para a realização da Reforma Política], medida que exige apoio de um grande número de parlamentares”.</w:t>
      </w:r>
      <w:r w:rsidRPr="00094D22">
        <w:rPr>
          <w:rStyle w:val="Refdenotaderodap"/>
          <w:rFonts w:ascii="Times New Roman" w:hAnsi="Times New Roman"/>
          <w:sz w:val="24"/>
          <w:szCs w:val="24"/>
        </w:rPr>
        <w:footnoteReference w:id="118"/>
      </w:r>
      <w:r w:rsidR="00B537D2" w:rsidRPr="00094D22">
        <w:rPr>
          <w:rFonts w:ascii="Times New Roman" w:hAnsi="Times New Roman"/>
          <w:sz w:val="24"/>
          <w:szCs w:val="24"/>
        </w:rPr>
        <w:t xml:space="preserve">Em 2008, houve também uma reunião por ocasião da entrega do Parecer sobre Reforma Tributária do CDES aos presidentes do Senado (Garibaldi </w:t>
      </w:r>
      <w:r w:rsidR="00016576">
        <w:rPr>
          <w:rFonts w:ascii="Times New Roman" w:hAnsi="Times New Roman"/>
          <w:sz w:val="24"/>
          <w:szCs w:val="24"/>
        </w:rPr>
        <w:t>Alves Filho) e da Câmara (Arlind</w:t>
      </w:r>
      <w:r w:rsidR="00B537D2" w:rsidRPr="00094D22">
        <w:rPr>
          <w:rFonts w:ascii="Times New Roman" w:hAnsi="Times New Roman"/>
          <w:sz w:val="24"/>
          <w:szCs w:val="24"/>
        </w:rPr>
        <w:t>o Chinaglia), elaborado pelo GT Reforma Tributária.</w:t>
      </w:r>
      <w:r w:rsidR="00B537D2" w:rsidRPr="00094D22">
        <w:rPr>
          <w:rStyle w:val="Refdenotaderodap"/>
          <w:rFonts w:ascii="Times New Roman" w:hAnsi="Times New Roman"/>
          <w:sz w:val="24"/>
          <w:szCs w:val="24"/>
        </w:rPr>
        <w:footnoteReference w:id="119"/>
      </w:r>
      <w:r w:rsidR="00825BCE" w:rsidRPr="00094D22">
        <w:rPr>
          <w:rFonts w:ascii="Times New Roman" w:hAnsi="Times New Roman"/>
          <w:sz w:val="24"/>
          <w:szCs w:val="24"/>
        </w:rPr>
        <w:t xml:space="preserve"> Por fim, em 2009</w:t>
      </w:r>
      <w:r w:rsidR="00E31259" w:rsidRPr="00094D22">
        <w:rPr>
          <w:rFonts w:ascii="Times New Roman" w:hAnsi="Times New Roman"/>
          <w:sz w:val="24"/>
          <w:szCs w:val="24"/>
        </w:rPr>
        <w:t>, por iniciativa do Senado</w:t>
      </w:r>
      <w:r w:rsidR="00825BCE" w:rsidRPr="00094D22">
        <w:rPr>
          <w:rFonts w:ascii="Times New Roman" w:hAnsi="Times New Roman"/>
          <w:sz w:val="24"/>
          <w:szCs w:val="24"/>
        </w:rPr>
        <w:t xml:space="preserve">, os conselheiros do CDES membros do Comitê Gestor, e os conselheiros ligados à construção civil foram convidados pela Comissão de Acompanhamento da Crise Financeira e Empregabilidade do Senado Federal para participar da 4ª reunião da comissão. O objetivo foi levar aos participantes </w:t>
      </w:r>
      <w:r w:rsidR="00016576">
        <w:rPr>
          <w:rFonts w:ascii="Times New Roman" w:hAnsi="Times New Roman"/>
          <w:sz w:val="24"/>
          <w:szCs w:val="24"/>
        </w:rPr>
        <w:t>as atividades que o Conselho vinha</w:t>
      </w:r>
      <w:r w:rsidR="00825BCE" w:rsidRPr="00094D22">
        <w:rPr>
          <w:rFonts w:ascii="Times New Roman" w:hAnsi="Times New Roman"/>
          <w:sz w:val="24"/>
          <w:szCs w:val="24"/>
        </w:rPr>
        <w:t xml:space="preserve"> realizando para o monitoramento da crise econômica mundial.</w:t>
      </w:r>
      <w:r w:rsidR="00825BCE" w:rsidRPr="00094D22">
        <w:rPr>
          <w:rStyle w:val="Refdenotaderodap"/>
          <w:rFonts w:ascii="Times New Roman" w:hAnsi="Times New Roman"/>
          <w:sz w:val="24"/>
          <w:szCs w:val="24"/>
        </w:rPr>
        <w:footnoteReference w:id="120"/>
      </w:r>
    </w:p>
    <w:p w:rsidR="00C31B89" w:rsidRPr="00094D22" w:rsidRDefault="00765A8B" w:rsidP="00016576">
      <w:pPr>
        <w:spacing w:after="0" w:line="360" w:lineRule="auto"/>
        <w:ind w:firstLine="708"/>
        <w:jc w:val="both"/>
        <w:rPr>
          <w:rFonts w:ascii="Times New Roman" w:hAnsi="Times New Roman"/>
          <w:sz w:val="24"/>
          <w:szCs w:val="24"/>
        </w:rPr>
      </w:pPr>
      <w:r w:rsidRPr="00094D22">
        <w:rPr>
          <w:rFonts w:ascii="Times New Roman" w:hAnsi="Times New Roman"/>
          <w:sz w:val="24"/>
          <w:szCs w:val="24"/>
        </w:rPr>
        <w:t xml:space="preserve">As relações </w:t>
      </w:r>
      <w:r w:rsidR="00B93A65" w:rsidRPr="00094D22">
        <w:rPr>
          <w:rFonts w:ascii="Times New Roman" w:hAnsi="Times New Roman"/>
          <w:sz w:val="24"/>
          <w:szCs w:val="24"/>
        </w:rPr>
        <w:t>entre o</w:t>
      </w:r>
      <w:r w:rsidRPr="00094D22">
        <w:rPr>
          <w:rFonts w:ascii="Times New Roman" w:hAnsi="Times New Roman"/>
          <w:sz w:val="24"/>
          <w:szCs w:val="24"/>
        </w:rPr>
        <w:t xml:space="preserve"> CDES </w:t>
      </w:r>
      <w:r w:rsidR="00B93A65" w:rsidRPr="00094D22">
        <w:rPr>
          <w:rFonts w:ascii="Times New Roman" w:hAnsi="Times New Roman"/>
          <w:sz w:val="24"/>
          <w:szCs w:val="24"/>
        </w:rPr>
        <w:t xml:space="preserve">e </w:t>
      </w:r>
      <w:r w:rsidRPr="00094D22">
        <w:rPr>
          <w:rFonts w:ascii="Times New Roman" w:hAnsi="Times New Roman"/>
          <w:sz w:val="24"/>
          <w:szCs w:val="24"/>
        </w:rPr>
        <w:t xml:space="preserve">o Congresso Nacional </w:t>
      </w:r>
      <w:r w:rsidR="00B93A65" w:rsidRPr="00094D22">
        <w:rPr>
          <w:rFonts w:ascii="Times New Roman" w:hAnsi="Times New Roman"/>
          <w:sz w:val="24"/>
          <w:szCs w:val="24"/>
        </w:rPr>
        <w:t xml:space="preserve">eramrealizadas </w:t>
      </w:r>
      <w:r w:rsidRPr="00094D22">
        <w:rPr>
          <w:rFonts w:ascii="Times New Roman" w:hAnsi="Times New Roman"/>
          <w:sz w:val="24"/>
          <w:szCs w:val="24"/>
        </w:rPr>
        <w:t xml:space="preserve">primordialmente de </w:t>
      </w:r>
      <w:r w:rsidRPr="00094D22">
        <w:rPr>
          <w:rFonts w:ascii="Times New Roman" w:hAnsi="Times New Roman"/>
          <w:i/>
          <w:sz w:val="24"/>
          <w:szCs w:val="24"/>
        </w:rPr>
        <w:t>maneira indireta</w:t>
      </w:r>
      <w:r w:rsidRPr="00094D22">
        <w:rPr>
          <w:rFonts w:ascii="Times New Roman" w:hAnsi="Times New Roman"/>
          <w:sz w:val="24"/>
          <w:szCs w:val="24"/>
        </w:rPr>
        <w:t xml:space="preserve">, isto é, por meio de </w:t>
      </w:r>
      <w:r w:rsidR="00B93A65" w:rsidRPr="00094D22">
        <w:rPr>
          <w:rFonts w:ascii="Times New Roman" w:hAnsi="Times New Roman"/>
          <w:sz w:val="24"/>
          <w:szCs w:val="24"/>
        </w:rPr>
        <w:t xml:space="preserve">contínuas </w:t>
      </w:r>
      <w:r w:rsidRPr="00094D22">
        <w:rPr>
          <w:rFonts w:ascii="Times New Roman" w:hAnsi="Times New Roman"/>
          <w:sz w:val="24"/>
          <w:szCs w:val="24"/>
        </w:rPr>
        <w:t>pressões e cobrança</w:t>
      </w:r>
      <w:r w:rsidR="00B93A65" w:rsidRPr="00094D22">
        <w:rPr>
          <w:rFonts w:ascii="Times New Roman" w:hAnsi="Times New Roman"/>
          <w:sz w:val="24"/>
          <w:szCs w:val="24"/>
        </w:rPr>
        <w:t>s</w:t>
      </w:r>
      <w:r w:rsidRPr="00094D22">
        <w:rPr>
          <w:rFonts w:ascii="Times New Roman" w:hAnsi="Times New Roman"/>
          <w:sz w:val="24"/>
          <w:szCs w:val="24"/>
        </w:rPr>
        <w:t xml:space="preserve"> de empenhojunto ao Executivo (Presidente, Ministros e Secretário-Executivo do CDES) e à </w:t>
      </w:r>
      <w:r w:rsidR="00F928B3" w:rsidRPr="00094D22">
        <w:rPr>
          <w:rFonts w:ascii="Times New Roman" w:hAnsi="Times New Roman"/>
          <w:sz w:val="24"/>
          <w:szCs w:val="24"/>
        </w:rPr>
        <w:t>SEDES</w:t>
      </w:r>
      <w:r w:rsidR="00B93A65" w:rsidRPr="00094D22">
        <w:rPr>
          <w:rFonts w:ascii="Times New Roman" w:hAnsi="Times New Roman"/>
          <w:sz w:val="24"/>
          <w:szCs w:val="24"/>
        </w:rPr>
        <w:t>, nas reuniões plenárias.</w:t>
      </w:r>
      <w:r w:rsidRPr="00094D22">
        <w:rPr>
          <w:rStyle w:val="Refdenotaderodap"/>
          <w:rFonts w:ascii="Times New Roman" w:hAnsi="Times New Roman"/>
          <w:sz w:val="24"/>
          <w:szCs w:val="24"/>
        </w:rPr>
        <w:footnoteReference w:id="121"/>
      </w:r>
      <w:r w:rsidR="00874850" w:rsidRPr="00094D22">
        <w:rPr>
          <w:rFonts w:ascii="Times New Roman" w:hAnsi="Times New Roman"/>
          <w:sz w:val="24"/>
          <w:szCs w:val="24"/>
        </w:rPr>
        <w:t>Eram</w:t>
      </w:r>
      <w:r w:rsidR="00B93A65" w:rsidRPr="00094D22">
        <w:rPr>
          <w:rFonts w:ascii="Times New Roman" w:hAnsi="Times New Roman"/>
          <w:sz w:val="24"/>
          <w:szCs w:val="24"/>
        </w:rPr>
        <w:t xml:space="preserve"> ocasiões</w:t>
      </w:r>
      <w:r w:rsidR="00874850" w:rsidRPr="00094D22">
        <w:rPr>
          <w:rFonts w:ascii="Times New Roman" w:hAnsi="Times New Roman"/>
          <w:sz w:val="24"/>
          <w:szCs w:val="24"/>
        </w:rPr>
        <w:t xml:space="preserve"> as quais</w:t>
      </w:r>
      <w:r w:rsidRPr="00094D22">
        <w:rPr>
          <w:rFonts w:ascii="Times New Roman" w:hAnsi="Times New Roman"/>
          <w:sz w:val="24"/>
          <w:szCs w:val="24"/>
        </w:rPr>
        <w:t xml:space="preserve"> os conselheiros apresentavam preocupações quanto à celeridade da tramitação e </w:t>
      </w:r>
      <w:r w:rsidR="00B93A65" w:rsidRPr="00094D22">
        <w:rPr>
          <w:rFonts w:ascii="Times New Roman" w:hAnsi="Times New Roman"/>
          <w:sz w:val="24"/>
          <w:szCs w:val="24"/>
        </w:rPr>
        <w:t xml:space="preserve">da </w:t>
      </w:r>
      <w:r w:rsidRPr="00094D22">
        <w:rPr>
          <w:rFonts w:ascii="Times New Roman" w:hAnsi="Times New Roman"/>
          <w:sz w:val="24"/>
          <w:szCs w:val="24"/>
        </w:rPr>
        <w:t>aprovação de algumas propostas enviadas ao Congresso e que haviam sido debatidas no Conselho.</w:t>
      </w:r>
      <w:r w:rsidR="00FA5292" w:rsidRPr="00094D22">
        <w:rPr>
          <w:rFonts w:ascii="Times New Roman" w:hAnsi="Times New Roman"/>
          <w:sz w:val="24"/>
          <w:szCs w:val="24"/>
        </w:rPr>
        <w:t xml:space="preserve"> Procuravam também apontar, jogar luz, propor ou mesmo reforçar, pressionar ou cobrar temas e agendas a serem incluídas pelo Executivo junto ao Congresso Nacional </w:t>
      </w:r>
      <w:r w:rsidR="00C31B89" w:rsidRPr="00094D22">
        <w:rPr>
          <w:rFonts w:ascii="Times New Roman" w:hAnsi="Times New Roman"/>
          <w:sz w:val="24"/>
          <w:szCs w:val="24"/>
        </w:rPr>
        <w:t>à luz do que entendiam como sendo “o melhor para a sociedade brasileira”, mas resgatando suas propostas. P</w:t>
      </w:r>
      <w:r w:rsidR="00FA5292" w:rsidRPr="00094D22">
        <w:rPr>
          <w:rFonts w:ascii="Times New Roman" w:hAnsi="Times New Roman"/>
          <w:sz w:val="24"/>
          <w:szCs w:val="24"/>
        </w:rPr>
        <w:t>ara tanto, estavam atentos ao que se debatia e tramitava no Legislativo federal.</w:t>
      </w:r>
      <w:r w:rsidR="00C31B89" w:rsidRPr="00094D22">
        <w:rPr>
          <w:rFonts w:ascii="Times New Roman" w:hAnsi="Times New Roman"/>
          <w:sz w:val="24"/>
          <w:szCs w:val="24"/>
        </w:rPr>
        <w:t xml:space="preserve"> Além </w:t>
      </w:r>
      <w:r w:rsidR="005C5B29" w:rsidRPr="00094D22">
        <w:rPr>
          <w:rFonts w:ascii="Times New Roman" w:hAnsi="Times New Roman"/>
          <w:sz w:val="24"/>
          <w:szCs w:val="24"/>
        </w:rPr>
        <w:t>do secretário-executivo da</w:t>
      </w:r>
      <w:r w:rsidR="00F928B3" w:rsidRPr="00094D22">
        <w:rPr>
          <w:rFonts w:ascii="Times New Roman" w:hAnsi="Times New Roman"/>
          <w:sz w:val="24"/>
          <w:szCs w:val="24"/>
        </w:rPr>
        <w:t>SEDES</w:t>
      </w:r>
      <w:r w:rsidR="00C31B89" w:rsidRPr="00094D22">
        <w:rPr>
          <w:rFonts w:ascii="Times New Roman" w:hAnsi="Times New Roman"/>
          <w:sz w:val="24"/>
          <w:szCs w:val="24"/>
        </w:rPr>
        <w:t>, dois destacados</w:t>
      </w:r>
      <w:r w:rsidR="00A34480" w:rsidRPr="00094D22">
        <w:rPr>
          <w:rStyle w:val="Refdenotaderodap"/>
          <w:rFonts w:ascii="Times New Roman" w:hAnsi="Times New Roman"/>
          <w:sz w:val="24"/>
          <w:szCs w:val="24"/>
        </w:rPr>
        <w:footnoteReference w:id="122"/>
      </w:r>
      <w:r w:rsidR="00C31B89" w:rsidRPr="00094D22">
        <w:rPr>
          <w:rFonts w:ascii="Times New Roman" w:hAnsi="Times New Roman"/>
          <w:sz w:val="24"/>
          <w:szCs w:val="24"/>
        </w:rPr>
        <w:t xml:space="preserve"> conselheiros mantinham </w:t>
      </w:r>
      <w:r w:rsidR="0055496A" w:rsidRPr="00094D22">
        <w:rPr>
          <w:rFonts w:ascii="Times New Roman" w:hAnsi="Times New Roman"/>
          <w:sz w:val="24"/>
          <w:szCs w:val="24"/>
        </w:rPr>
        <w:t xml:space="preserve">ou mantiveram </w:t>
      </w:r>
      <w:r w:rsidR="00C31B89" w:rsidRPr="00094D22">
        <w:rPr>
          <w:rFonts w:ascii="Times New Roman" w:hAnsi="Times New Roman"/>
          <w:sz w:val="24"/>
          <w:szCs w:val="24"/>
        </w:rPr>
        <w:t xml:space="preserve">trânsito com o Congresso: o ex-governador e </w:t>
      </w:r>
      <w:r w:rsidR="002C2FBF" w:rsidRPr="00094D22">
        <w:rPr>
          <w:rFonts w:ascii="Times New Roman" w:hAnsi="Times New Roman"/>
          <w:sz w:val="24"/>
          <w:szCs w:val="24"/>
        </w:rPr>
        <w:t>ex-</w:t>
      </w:r>
      <w:r w:rsidR="00C31B89" w:rsidRPr="00094D22">
        <w:rPr>
          <w:rFonts w:ascii="Times New Roman" w:hAnsi="Times New Roman"/>
          <w:sz w:val="24"/>
          <w:szCs w:val="24"/>
        </w:rPr>
        <w:t>deputado federal Germano Rigotto</w:t>
      </w:r>
      <w:r w:rsidR="00251345" w:rsidRPr="00094D22">
        <w:rPr>
          <w:rStyle w:val="Refdenotaderodap"/>
          <w:rFonts w:ascii="Times New Roman" w:hAnsi="Times New Roman"/>
          <w:sz w:val="24"/>
          <w:szCs w:val="24"/>
        </w:rPr>
        <w:footnoteReference w:id="123"/>
      </w:r>
      <w:r w:rsidR="00C31B89" w:rsidRPr="00094D22">
        <w:rPr>
          <w:rFonts w:ascii="Times New Roman" w:hAnsi="Times New Roman"/>
          <w:sz w:val="24"/>
          <w:szCs w:val="24"/>
        </w:rPr>
        <w:t xml:space="preserve"> (conselheiro </w:t>
      </w:r>
      <w:r w:rsidR="00251345" w:rsidRPr="00094D22">
        <w:rPr>
          <w:rFonts w:ascii="Times New Roman" w:hAnsi="Times New Roman"/>
          <w:sz w:val="24"/>
          <w:szCs w:val="24"/>
        </w:rPr>
        <w:t xml:space="preserve">que conduziu </w:t>
      </w:r>
      <w:r w:rsidR="00C31B89" w:rsidRPr="00094D22">
        <w:rPr>
          <w:rFonts w:ascii="Times New Roman" w:hAnsi="Times New Roman"/>
          <w:sz w:val="24"/>
          <w:szCs w:val="24"/>
        </w:rPr>
        <w:t xml:space="preserve">o debate </w:t>
      </w:r>
      <w:r w:rsidR="00251345" w:rsidRPr="00094D22">
        <w:rPr>
          <w:rFonts w:ascii="Times New Roman" w:hAnsi="Times New Roman"/>
          <w:sz w:val="24"/>
          <w:szCs w:val="24"/>
        </w:rPr>
        <w:t>no GT Reforma Tributária d</w:t>
      </w:r>
      <w:r w:rsidR="00C31B89" w:rsidRPr="00094D22">
        <w:rPr>
          <w:rFonts w:ascii="Times New Roman" w:hAnsi="Times New Roman"/>
          <w:sz w:val="24"/>
          <w:szCs w:val="24"/>
        </w:rPr>
        <w:t xml:space="preserve">o CDES) e o então deputado federal </w:t>
      </w:r>
      <w:r w:rsidR="002C2FBF" w:rsidRPr="00094D22">
        <w:rPr>
          <w:rFonts w:ascii="Times New Roman" w:hAnsi="Times New Roman"/>
          <w:sz w:val="24"/>
          <w:szCs w:val="24"/>
        </w:rPr>
        <w:t xml:space="preserve">(PTB-SP) </w:t>
      </w:r>
      <w:r w:rsidR="00C31B89" w:rsidRPr="00094D22">
        <w:rPr>
          <w:rFonts w:ascii="Times New Roman" w:hAnsi="Times New Roman"/>
          <w:sz w:val="24"/>
          <w:szCs w:val="24"/>
        </w:rPr>
        <w:t>e presidente da CNI Arm</w:t>
      </w:r>
      <w:r w:rsidR="0055496A" w:rsidRPr="00094D22">
        <w:rPr>
          <w:rFonts w:ascii="Times New Roman" w:hAnsi="Times New Roman"/>
          <w:sz w:val="24"/>
          <w:szCs w:val="24"/>
        </w:rPr>
        <w:t>ando Monteiro Neto, apesar de não ter sido co</w:t>
      </w:r>
      <w:r w:rsidR="00016576">
        <w:rPr>
          <w:rFonts w:ascii="Times New Roman" w:hAnsi="Times New Roman"/>
          <w:sz w:val="24"/>
          <w:szCs w:val="24"/>
        </w:rPr>
        <w:t>nvocado formalmente para integrar a plenária do Conselho.</w:t>
      </w:r>
      <w:r w:rsidR="0055496A" w:rsidRPr="00094D22">
        <w:rPr>
          <w:rStyle w:val="Refdenotaderodap"/>
          <w:rFonts w:ascii="Times New Roman" w:hAnsi="Times New Roman"/>
          <w:sz w:val="24"/>
          <w:szCs w:val="24"/>
        </w:rPr>
        <w:footnoteReference w:id="124"/>
      </w:r>
    </w:p>
    <w:p w:rsidR="00765A8B" w:rsidRPr="00094D22" w:rsidRDefault="00A52F4D" w:rsidP="002C2FBF">
      <w:pPr>
        <w:spacing w:after="0" w:line="360" w:lineRule="auto"/>
        <w:ind w:firstLine="708"/>
        <w:jc w:val="both"/>
        <w:rPr>
          <w:rFonts w:ascii="Times New Roman" w:hAnsi="Times New Roman"/>
          <w:sz w:val="24"/>
          <w:szCs w:val="24"/>
        </w:rPr>
      </w:pPr>
      <w:r w:rsidRPr="00094D22">
        <w:rPr>
          <w:rFonts w:ascii="Times New Roman" w:hAnsi="Times New Roman"/>
          <w:sz w:val="24"/>
          <w:szCs w:val="24"/>
        </w:rPr>
        <w:t>A aprovação de demandas</w:t>
      </w:r>
      <w:r w:rsidR="00825BCE" w:rsidRPr="00094D22">
        <w:rPr>
          <w:rFonts w:ascii="Times New Roman" w:hAnsi="Times New Roman"/>
          <w:sz w:val="24"/>
          <w:szCs w:val="24"/>
        </w:rPr>
        <w:t xml:space="preserve"> apresentadas nas plenárias e </w:t>
      </w:r>
      <w:r w:rsidR="00083432" w:rsidRPr="00094D22">
        <w:rPr>
          <w:rFonts w:ascii="Times New Roman" w:hAnsi="Times New Roman"/>
          <w:sz w:val="24"/>
          <w:szCs w:val="24"/>
        </w:rPr>
        <w:t xml:space="preserve">nos </w:t>
      </w:r>
      <w:r w:rsidR="00825BCE" w:rsidRPr="00094D22">
        <w:rPr>
          <w:rFonts w:ascii="Times New Roman" w:hAnsi="Times New Roman"/>
          <w:sz w:val="24"/>
          <w:szCs w:val="24"/>
        </w:rPr>
        <w:t>GTs do Conselho</w:t>
      </w:r>
      <w:r w:rsidR="00083432" w:rsidRPr="00094D22">
        <w:rPr>
          <w:rFonts w:ascii="Times New Roman" w:hAnsi="Times New Roman"/>
          <w:sz w:val="24"/>
          <w:szCs w:val="24"/>
        </w:rPr>
        <w:t xml:space="preserve"> pelo Congresso Nacional</w:t>
      </w:r>
      <w:r w:rsidRPr="00094D22">
        <w:rPr>
          <w:rFonts w:ascii="Times New Roman" w:hAnsi="Times New Roman"/>
          <w:sz w:val="24"/>
          <w:szCs w:val="24"/>
        </w:rPr>
        <w:t>, muitas empresariais,</w:t>
      </w:r>
      <w:r w:rsidR="000D550E" w:rsidRPr="00094D22">
        <w:rPr>
          <w:rFonts w:ascii="Times New Roman" w:hAnsi="Times New Roman"/>
          <w:sz w:val="24"/>
          <w:szCs w:val="24"/>
        </w:rPr>
        <w:t>assegurava</w:t>
      </w:r>
      <w:r w:rsidR="00825BCE" w:rsidRPr="00094D22">
        <w:rPr>
          <w:rFonts w:ascii="Times New Roman" w:hAnsi="Times New Roman"/>
          <w:sz w:val="24"/>
          <w:szCs w:val="24"/>
        </w:rPr>
        <w:t>m</w:t>
      </w:r>
      <w:r w:rsidR="000D550E" w:rsidRPr="00094D22">
        <w:rPr>
          <w:rFonts w:ascii="Times New Roman" w:hAnsi="Times New Roman"/>
          <w:sz w:val="24"/>
          <w:szCs w:val="24"/>
        </w:rPr>
        <w:t xml:space="preserve"> sua legitimidade, mas </w:t>
      </w:r>
      <w:r w:rsidR="00825BCE" w:rsidRPr="00094D22">
        <w:rPr>
          <w:rFonts w:ascii="Times New Roman" w:hAnsi="Times New Roman"/>
          <w:sz w:val="24"/>
          <w:szCs w:val="24"/>
        </w:rPr>
        <w:t>era</w:t>
      </w:r>
      <w:r w:rsidR="000D550E" w:rsidRPr="00094D22">
        <w:rPr>
          <w:rFonts w:ascii="Times New Roman" w:hAnsi="Times New Roman"/>
          <w:sz w:val="24"/>
          <w:szCs w:val="24"/>
        </w:rPr>
        <w:t xml:space="preserve"> evidente que grandes questões largamente debatidas e encaminhadas </w:t>
      </w:r>
      <w:r w:rsidR="00825BCE" w:rsidRPr="00094D22">
        <w:rPr>
          <w:rFonts w:ascii="Times New Roman" w:hAnsi="Times New Roman"/>
          <w:sz w:val="24"/>
          <w:szCs w:val="24"/>
        </w:rPr>
        <w:t>pelo CDES ao Executivo continuaram</w:t>
      </w:r>
      <w:r w:rsidR="00FE1EEE" w:rsidRPr="00094D22">
        <w:rPr>
          <w:rFonts w:ascii="Times New Roman" w:hAnsi="Times New Roman"/>
          <w:sz w:val="24"/>
          <w:szCs w:val="24"/>
        </w:rPr>
        <w:t>em</w:t>
      </w:r>
      <w:r w:rsidR="000D550E" w:rsidRPr="00094D22">
        <w:rPr>
          <w:rFonts w:ascii="Times New Roman" w:hAnsi="Times New Roman"/>
          <w:sz w:val="24"/>
          <w:szCs w:val="24"/>
        </w:rPr>
        <w:t xml:space="preserve"> c</w:t>
      </w:r>
      <w:r w:rsidR="00FE1EEE" w:rsidRPr="00094D22">
        <w:rPr>
          <w:rFonts w:ascii="Times New Roman" w:hAnsi="Times New Roman"/>
          <w:sz w:val="24"/>
          <w:szCs w:val="24"/>
        </w:rPr>
        <w:t>ompasso de espera</w:t>
      </w:r>
      <w:r w:rsidR="002C2FBF" w:rsidRPr="00094D22">
        <w:rPr>
          <w:rFonts w:ascii="Times New Roman" w:hAnsi="Times New Roman"/>
          <w:sz w:val="24"/>
          <w:szCs w:val="24"/>
        </w:rPr>
        <w:t xml:space="preserve"> durante todo o segundo governo Lula da Silva.</w:t>
      </w:r>
      <w:r w:rsidR="00FE1EEE" w:rsidRPr="00094D22">
        <w:rPr>
          <w:rFonts w:ascii="Times New Roman" w:hAnsi="Times New Roman"/>
          <w:sz w:val="24"/>
          <w:szCs w:val="24"/>
        </w:rPr>
        <w:t xml:space="preserve"> Nesse quesito, dois temas importantes </w:t>
      </w:r>
      <w:r w:rsidR="00B60783" w:rsidRPr="00094D22">
        <w:rPr>
          <w:rFonts w:ascii="Times New Roman" w:hAnsi="Times New Roman"/>
          <w:sz w:val="24"/>
          <w:szCs w:val="24"/>
        </w:rPr>
        <w:t>se destacaram</w:t>
      </w:r>
      <w:r w:rsidR="00FE1EEE" w:rsidRPr="00094D22">
        <w:rPr>
          <w:rFonts w:ascii="Times New Roman" w:hAnsi="Times New Roman"/>
          <w:sz w:val="24"/>
          <w:szCs w:val="24"/>
        </w:rPr>
        <w:t>:a</w:t>
      </w:r>
      <w:r w:rsidR="007E4782" w:rsidRPr="00094D22">
        <w:rPr>
          <w:rFonts w:ascii="Times New Roman" w:hAnsi="Times New Roman"/>
          <w:sz w:val="24"/>
          <w:szCs w:val="24"/>
        </w:rPr>
        <w:t xml:space="preserve"> PEC </w:t>
      </w:r>
      <w:r w:rsidR="00765A8B" w:rsidRPr="00094D22">
        <w:rPr>
          <w:rFonts w:ascii="Times New Roman" w:hAnsi="Times New Roman"/>
          <w:sz w:val="24"/>
          <w:szCs w:val="24"/>
        </w:rPr>
        <w:t>da Reforma T</w:t>
      </w:r>
      <w:r w:rsidR="007E4782" w:rsidRPr="00094D22">
        <w:rPr>
          <w:rFonts w:ascii="Times New Roman" w:hAnsi="Times New Roman"/>
          <w:sz w:val="24"/>
          <w:szCs w:val="24"/>
        </w:rPr>
        <w:t>ributária</w:t>
      </w:r>
      <w:r w:rsidR="007E4782" w:rsidRPr="00094D22">
        <w:rPr>
          <w:rStyle w:val="Refdenotaderodap"/>
          <w:rFonts w:ascii="Times New Roman" w:hAnsi="Times New Roman"/>
          <w:sz w:val="24"/>
          <w:szCs w:val="24"/>
        </w:rPr>
        <w:footnoteReference w:id="125"/>
      </w:r>
      <w:r w:rsidR="007E4782" w:rsidRPr="00094D22">
        <w:rPr>
          <w:rFonts w:ascii="Times New Roman" w:hAnsi="Times New Roman"/>
          <w:sz w:val="24"/>
          <w:szCs w:val="24"/>
        </w:rPr>
        <w:t xml:space="preserve"> e o Projeto de Lei da </w:t>
      </w:r>
      <w:r w:rsidR="00765A8B" w:rsidRPr="00094D22">
        <w:rPr>
          <w:rFonts w:ascii="Times New Roman" w:hAnsi="Times New Roman"/>
          <w:sz w:val="24"/>
          <w:szCs w:val="24"/>
        </w:rPr>
        <w:t>Reforma Política</w:t>
      </w:r>
      <w:r w:rsidR="000D550E" w:rsidRPr="00094D22">
        <w:rPr>
          <w:rFonts w:ascii="Times New Roman" w:hAnsi="Times New Roman"/>
          <w:sz w:val="24"/>
          <w:szCs w:val="24"/>
        </w:rPr>
        <w:t xml:space="preserve"> enviadas ao Congresso Nacional</w:t>
      </w:r>
      <w:r w:rsidR="002C2FBF" w:rsidRPr="00094D22">
        <w:rPr>
          <w:rFonts w:ascii="Times New Roman" w:hAnsi="Times New Roman"/>
          <w:sz w:val="24"/>
          <w:szCs w:val="24"/>
        </w:rPr>
        <w:t xml:space="preserve"> e</w:t>
      </w:r>
      <w:r w:rsidR="00765A8B" w:rsidRPr="00094D22">
        <w:rPr>
          <w:rFonts w:ascii="Times New Roman" w:hAnsi="Times New Roman"/>
          <w:sz w:val="24"/>
          <w:szCs w:val="24"/>
        </w:rPr>
        <w:t xml:space="preserve"> que não obtiveram êxito em sua aprovação.</w:t>
      </w:r>
    </w:p>
    <w:p w:rsidR="00965A2F" w:rsidRPr="00094D22" w:rsidRDefault="00CB6754" w:rsidP="00965A2F">
      <w:pPr>
        <w:spacing w:after="0" w:line="360" w:lineRule="auto"/>
        <w:ind w:firstLine="708"/>
        <w:jc w:val="both"/>
        <w:rPr>
          <w:rFonts w:ascii="Times New Roman" w:hAnsi="Times New Roman"/>
          <w:sz w:val="24"/>
          <w:szCs w:val="24"/>
        </w:rPr>
      </w:pPr>
      <w:r w:rsidRPr="00094D22">
        <w:rPr>
          <w:rFonts w:ascii="Times New Roman" w:hAnsi="Times New Roman"/>
          <w:sz w:val="24"/>
          <w:szCs w:val="24"/>
        </w:rPr>
        <w:t xml:space="preserve">Nossa pesquisa não conseguiu </w:t>
      </w:r>
      <w:r w:rsidR="00F32BD0" w:rsidRPr="00094D22">
        <w:rPr>
          <w:rFonts w:ascii="Times New Roman" w:hAnsi="Times New Roman"/>
          <w:sz w:val="24"/>
          <w:szCs w:val="24"/>
        </w:rPr>
        <w:t xml:space="preserve">trazer </w:t>
      </w:r>
      <w:r w:rsidRPr="00094D22">
        <w:rPr>
          <w:rFonts w:ascii="Times New Roman" w:hAnsi="Times New Roman"/>
          <w:sz w:val="24"/>
          <w:szCs w:val="24"/>
        </w:rPr>
        <w:t xml:space="preserve">elementos suficientes para explicar o distanciamento entre o Congresso e o CDES. </w:t>
      </w:r>
      <w:r w:rsidR="00CB4EB8" w:rsidRPr="00094D22">
        <w:rPr>
          <w:rFonts w:ascii="Times New Roman" w:hAnsi="Times New Roman"/>
          <w:sz w:val="24"/>
          <w:szCs w:val="24"/>
        </w:rPr>
        <w:t xml:space="preserve">O CDES precisava (e assim o fez) que o Executivo atuasse em favor de suas demandas junto ao Congresso, mas esse não se reportava ao Conselho como órgão decisivo na estrutura da Presidência. </w:t>
      </w:r>
    </w:p>
    <w:p w:rsidR="00891CA3" w:rsidRPr="00094D22" w:rsidRDefault="002C2FBF" w:rsidP="00891CA3">
      <w:pPr>
        <w:spacing w:line="360" w:lineRule="auto"/>
        <w:ind w:firstLine="708"/>
        <w:jc w:val="both"/>
        <w:rPr>
          <w:rFonts w:ascii="Times New Roman" w:hAnsi="Times New Roman"/>
          <w:sz w:val="24"/>
          <w:szCs w:val="24"/>
        </w:rPr>
      </w:pPr>
      <w:r w:rsidRPr="00094D22">
        <w:rPr>
          <w:rFonts w:ascii="Times New Roman" w:hAnsi="Times New Roman"/>
          <w:sz w:val="24"/>
          <w:szCs w:val="24"/>
        </w:rPr>
        <w:t>Por fim, cabe mencionar que não havia relações entre o CD</w:t>
      </w:r>
      <w:r w:rsidR="00891CA3" w:rsidRPr="00094D22">
        <w:rPr>
          <w:rFonts w:ascii="Times New Roman" w:hAnsi="Times New Roman"/>
          <w:sz w:val="24"/>
          <w:szCs w:val="24"/>
        </w:rPr>
        <w:t>ES e as estruturas partidárias</w:t>
      </w:r>
      <w:r w:rsidR="00E31259" w:rsidRPr="00094D22">
        <w:rPr>
          <w:rFonts w:ascii="Times New Roman" w:hAnsi="Times New Roman"/>
          <w:sz w:val="24"/>
          <w:szCs w:val="24"/>
        </w:rPr>
        <w:t xml:space="preserve"> oficiais</w:t>
      </w:r>
      <w:r w:rsidRPr="00094D22">
        <w:rPr>
          <w:rFonts w:ascii="Times New Roman" w:hAnsi="Times New Roman"/>
          <w:sz w:val="24"/>
          <w:szCs w:val="24"/>
        </w:rPr>
        <w:t>, se</w:t>
      </w:r>
      <w:r w:rsidR="00891CA3" w:rsidRPr="00094D22">
        <w:rPr>
          <w:rFonts w:ascii="Times New Roman" w:hAnsi="Times New Roman"/>
          <w:sz w:val="24"/>
          <w:szCs w:val="24"/>
        </w:rPr>
        <w:t>ja</w:t>
      </w:r>
      <w:r w:rsidRPr="00094D22">
        <w:rPr>
          <w:rFonts w:ascii="Times New Roman" w:hAnsi="Times New Roman"/>
          <w:sz w:val="24"/>
          <w:szCs w:val="24"/>
        </w:rPr>
        <w:t xml:space="preserve"> qual fo</w:t>
      </w:r>
      <w:r w:rsidR="00F94CBF">
        <w:rPr>
          <w:rFonts w:ascii="Times New Roman" w:hAnsi="Times New Roman"/>
          <w:sz w:val="24"/>
          <w:szCs w:val="24"/>
        </w:rPr>
        <w:t>sse</w:t>
      </w:r>
      <w:r w:rsidRPr="00094D22">
        <w:rPr>
          <w:rFonts w:ascii="Times New Roman" w:hAnsi="Times New Roman"/>
          <w:sz w:val="24"/>
          <w:szCs w:val="24"/>
        </w:rPr>
        <w:t xml:space="preserve"> o espectro político-ideológico das agremiações, com a exceção do Partido dos Trabalhadores, obviamente, no que t</w:t>
      </w:r>
      <w:r w:rsidR="009D3E57" w:rsidRPr="00094D22">
        <w:rPr>
          <w:rFonts w:ascii="Times New Roman" w:hAnsi="Times New Roman"/>
          <w:sz w:val="24"/>
          <w:szCs w:val="24"/>
        </w:rPr>
        <w:t>ange aos conselheiros cut</w:t>
      </w:r>
      <w:r w:rsidR="00965A2F">
        <w:rPr>
          <w:rFonts w:ascii="Times New Roman" w:hAnsi="Times New Roman"/>
          <w:sz w:val="24"/>
          <w:szCs w:val="24"/>
        </w:rPr>
        <w:t xml:space="preserve">istas, alguns membros staff governamental e, provavelmente, da </w:t>
      </w:r>
      <w:r w:rsidRPr="00094D22">
        <w:rPr>
          <w:rFonts w:ascii="Times New Roman" w:hAnsi="Times New Roman"/>
          <w:sz w:val="24"/>
          <w:szCs w:val="24"/>
        </w:rPr>
        <w:t xml:space="preserve">Secretaria. </w:t>
      </w:r>
      <w:r w:rsidR="007E2439" w:rsidRPr="00094D22">
        <w:rPr>
          <w:rFonts w:ascii="Times New Roman" w:hAnsi="Times New Roman"/>
          <w:sz w:val="24"/>
          <w:szCs w:val="24"/>
        </w:rPr>
        <w:t xml:space="preserve">Mesmo assim, tais </w:t>
      </w:r>
      <w:r w:rsidR="00E519E2" w:rsidRPr="00094D22">
        <w:rPr>
          <w:rFonts w:ascii="Times New Roman" w:hAnsi="Times New Roman"/>
          <w:sz w:val="24"/>
          <w:szCs w:val="24"/>
        </w:rPr>
        <w:t>sujeitos</w:t>
      </w:r>
      <w:r w:rsidR="007E2439" w:rsidRPr="00094D22">
        <w:rPr>
          <w:rFonts w:ascii="Times New Roman" w:hAnsi="Times New Roman"/>
          <w:sz w:val="24"/>
          <w:szCs w:val="24"/>
        </w:rPr>
        <w:t xml:space="preserve"> não </w:t>
      </w:r>
      <w:r w:rsidR="00E519E2" w:rsidRPr="00094D22">
        <w:rPr>
          <w:rFonts w:ascii="Times New Roman" w:hAnsi="Times New Roman"/>
          <w:sz w:val="24"/>
          <w:szCs w:val="24"/>
        </w:rPr>
        <w:t>se expunham como membro</w:t>
      </w:r>
      <w:r w:rsidR="00F94CBF">
        <w:rPr>
          <w:rFonts w:ascii="Times New Roman" w:hAnsi="Times New Roman"/>
          <w:sz w:val="24"/>
          <w:szCs w:val="24"/>
        </w:rPr>
        <w:t>s</w:t>
      </w:r>
      <w:r w:rsidR="00E519E2" w:rsidRPr="00094D22">
        <w:rPr>
          <w:rFonts w:ascii="Times New Roman" w:hAnsi="Times New Roman"/>
          <w:sz w:val="24"/>
          <w:szCs w:val="24"/>
        </w:rPr>
        <w:t xml:space="preserve"> do PT, isto é, o partido, </w:t>
      </w:r>
      <w:r w:rsidR="00DA365F" w:rsidRPr="00094D22">
        <w:rPr>
          <w:rFonts w:ascii="Times New Roman" w:hAnsi="Times New Roman"/>
          <w:sz w:val="24"/>
          <w:szCs w:val="24"/>
        </w:rPr>
        <w:t>enquanto</w:t>
      </w:r>
      <w:r w:rsidR="00E519E2" w:rsidRPr="00094D22">
        <w:rPr>
          <w:rFonts w:ascii="Times New Roman" w:hAnsi="Times New Roman"/>
          <w:sz w:val="24"/>
          <w:szCs w:val="24"/>
        </w:rPr>
        <w:t xml:space="preserve"> articulação e voz política, não comparecia organizativamente: encontros, eventos, tensões e conflitos</w:t>
      </w:r>
      <w:r w:rsidR="006B5C00" w:rsidRPr="00094D22">
        <w:rPr>
          <w:rFonts w:ascii="Times New Roman" w:hAnsi="Times New Roman"/>
          <w:sz w:val="24"/>
          <w:szCs w:val="24"/>
        </w:rPr>
        <w:t xml:space="preserve">, intervenções citando o partido </w:t>
      </w:r>
      <w:r w:rsidR="00E519E2" w:rsidRPr="00094D22">
        <w:rPr>
          <w:rFonts w:ascii="Times New Roman" w:hAnsi="Times New Roman"/>
          <w:sz w:val="24"/>
          <w:szCs w:val="24"/>
        </w:rPr>
        <w:t xml:space="preserve">não eram </w:t>
      </w:r>
      <w:r w:rsidR="006B5C00" w:rsidRPr="00094D22">
        <w:rPr>
          <w:rFonts w:ascii="Times New Roman" w:hAnsi="Times New Roman"/>
          <w:sz w:val="24"/>
          <w:szCs w:val="24"/>
        </w:rPr>
        <w:t>trazidas</w:t>
      </w:r>
      <w:r w:rsidR="00E519E2" w:rsidRPr="00094D22">
        <w:rPr>
          <w:rFonts w:ascii="Times New Roman" w:hAnsi="Times New Roman"/>
          <w:sz w:val="24"/>
          <w:szCs w:val="24"/>
        </w:rPr>
        <w:t xml:space="preserve">. </w:t>
      </w:r>
      <w:r w:rsidR="00965A2F">
        <w:rPr>
          <w:rFonts w:ascii="Times New Roman" w:hAnsi="Times New Roman"/>
          <w:sz w:val="24"/>
          <w:szCs w:val="24"/>
        </w:rPr>
        <w:t xml:space="preserve">O CDES diluía a figura partidária e não promovia e nem consolidava posições </w:t>
      </w:r>
      <w:r w:rsidR="00317A2A">
        <w:rPr>
          <w:rFonts w:ascii="Times New Roman" w:hAnsi="Times New Roman"/>
          <w:sz w:val="24"/>
          <w:szCs w:val="24"/>
        </w:rPr>
        <w:t xml:space="preserve">e </w:t>
      </w:r>
      <w:r w:rsidR="00965A2F">
        <w:rPr>
          <w:rFonts w:ascii="Times New Roman" w:hAnsi="Times New Roman"/>
          <w:sz w:val="24"/>
          <w:szCs w:val="24"/>
        </w:rPr>
        <w:t>definições de t</w:t>
      </w:r>
      <w:r w:rsidR="00F94CBF">
        <w:rPr>
          <w:rFonts w:ascii="Times New Roman" w:hAnsi="Times New Roman"/>
          <w:sz w:val="24"/>
          <w:szCs w:val="24"/>
        </w:rPr>
        <w:t>ipo político-partidária em seu i</w:t>
      </w:r>
      <w:r w:rsidR="00965A2F">
        <w:rPr>
          <w:rFonts w:ascii="Times New Roman" w:hAnsi="Times New Roman"/>
          <w:sz w:val="24"/>
          <w:szCs w:val="24"/>
        </w:rPr>
        <w:t>nterior.</w:t>
      </w:r>
      <w:r w:rsidR="006B5C00" w:rsidRPr="00094D22">
        <w:rPr>
          <w:rFonts w:ascii="Times New Roman" w:hAnsi="Times New Roman"/>
          <w:sz w:val="24"/>
          <w:szCs w:val="24"/>
        </w:rPr>
        <w:t>Havia um estrondoso silêncio e um apagamento da importância da organização político-partidária no CDES, principalmente no que tange aos membros do PT que ali compareciam</w:t>
      </w:r>
      <w:r w:rsidR="00DA365F" w:rsidRPr="00094D22">
        <w:rPr>
          <w:rFonts w:ascii="Times New Roman" w:hAnsi="Times New Roman"/>
          <w:sz w:val="24"/>
          <w:szCs w:val="24"/>
        </w:rPr>
        <w:t>, situação que também se repetia em relação aos poucos integrantes de outros partidos</w:t>
      </w:r>
      <w:r w:rsidR="006B5C00" w:rsidRPr="00094D22">
        <w:rPr>
          <w:rFonts w:ascii="Times New Roman" w:hAnsi="Times New Roman"/>
          <w:sz w:val="24"/>
          <w:szCs w:val="24"/>
        </w:rPr>
        <w:t>.</w:t>
      </w:r>
      <w:r w:rsidR="00DA365F" w:rsidRPr="00094D22">
        <w:rPr>
          <w:rStyle w:val="Refdenotaderodap"/>
          <w:rFonts w:ascii="Times New Roman" w:hAnsi="Times New Roman"/>
          <w:sz w:val="24"/>
          <w:szCs w:val="24"/>
        </w:rPr>
        <w:footnoteReference w:id="126"/>
      </w:r>
    </w:p>
    <w:p w:rsidR="00CE3680" w:rsidRDefault="00CE3680" w:rsidP="00CE3680">
      <w:pPr>
        <w:rPr>
          <w:rFonts w:ascii="Times New Roman" w:hAnsi="Times New Roman"/>
          <w:b/>
          <w:sz w:val="24"/>
          <w:szCs w:val="24"/>
        </w:rPr>
      </w:pPr>
      <w:r>
        <w:rPr>
          <w:rFonts w:ascii="Times New Roman" w:hAnsi="Times New Roman"/>
          <w:b/>
          <w:sz w:val="24"/>
          <w:szCs w:val="24"/>
        </w:rPr>
        <w:t>1.4</w:t>
      </w:r>
      <w:r w:rsidRPr="00190945">
        <w:rPr>
          <w:rFonts w:ascii="Times New Roman" w:hAnsi="Times New Roman"/>
          <w:b/>
          <w:sz w:val="24"/>
          <w:szCs w:val="24"/>
        </w:rPr>
        <w:t xml:space="preserve"> - Os Grupos de Trabalho e de Acompanhamento</w:t>
      </w:r>
    </w:p>
    <w:p w:rsidR="00E60202" w:rsidRPr="00190945" w:rsidRDefault="00E60202" w:rsidP="00E31259">
      <w:pPr>
        <w:spacing w:after="0" w:line="360" w:lineRule="auto"/>
        <w:ind w:firstLine="708"/>
        <w:jc w:val="both"/>
        <w:rPr>
          <w:rFonts w:ascii="Times New Roman" w:hAnsi="Times New Roman"/>
          <w:b/>
          <w:sz w:val="24"/>
          <w:szCs w:val="24"/>
        </w:rPr>
      </w:pPr>
      <w:r>
        <w:rPr>
          <w:rFonts w:ascii="Times New Roman" w:hAnsi="Times New Roman"/>
          <w:sz w:val="24"/>
          <w:szCs w:val="24"/>
        </w:rPr>
        <w:t xml:space="preserve">Muito mais impactante do que uma reformulação institucional do Conselho foi o lançamento salvacionista, protagonizado pelo Secretário Jaques Wagner, da proposta de construção de uma </w:t>
      </w:r>
      <w:r w:rsidRPr="00BE54D3">
        <w:rPr>
          <w:rFonts w:ascii="Times New Roman" w:hAnsi="Times New Roman"/>
          <w:i/>
          <w:sz w:val="24"/>
          <w:szCs w:val="24"/>
        </w:rPr>
        <w:t>Agenda Nacional de Desenvolvimento</w:t>
      </w:r>
      <w:r>
        <w:rPr>
          <w:rFonts w:ascii="Times New Roman" w:hAnsi="Times New Roman"/>
          <w:sz w:val="24"/>
          <w:szCs w:val="24"/>
        </w:rPr>
        <w:t xml:space="preserve"> (AND) para o país, a ser confeccionada pelo CDES entre julho de 2004 a agosto de 2005. O processo de discussões e de trabalhos que envolveu a construção desta agenda no interior do Conselho foi um importante instrumento de produção de elementos estruturantes de um projeto burguês (sobretudo empresarial) ainda em gestação, ao mesmo tempo em que uma nova dinâmica de trabalho interna (aquilo que muitos autores denominam de “governança”) possibilitou uma liberação maior de forças econômico-sociais em defesa acordada de seus potenciais projetos de hegemonia, o que apareceu e propagandeou-se como construção mútua (CDES e SEDES) de autonomia e liberdade de iniciativa aos conselheiros </w:t>
      </w:r>
      <w:r w:rsidR="00BF61AD">
        <w:rPr>
          <w:rFonts w:ascii="Times New Roman" w:hAnsi="Times New Roman"/>
          <w:sz w:val="24"/>
          <w:szCs w:val="24"/>
        </w:rPr>
        <w:t>diante d</w:t>
      </w:r>
      <w:r>
        <w:rPr>
          <w:rFonts w:ascii="Times New Roman" w:hAnsi="Times New Roman"/>
          <w:sz w:val="24"/>
          <w:szCs w:val="24"/>
        </w:rPr>
        <w:t>o governo.</w:t>
      </w:r>
      <w:r w:rsidR="00E31259">
        <w:rPr>
          <w:rFonts w:ascii="Times New Roman" w:hAnsi="Times New Roman"/>
          <w:sz w:val="24"/>
          <w:szCs w:val="24"/>
        </w:rPr>
        <w:t xml:space="preserve"> O processo de construção da AND e seu conteúdo será analisado no capítulo 3.</w:t>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 xml:space="preserve">Um dos instrumentos determinantes nesta liberação de forças dentro do CDES, naquele momento, via construção da AND, foi o revigoramento dos Grupos de Trabalho (GT’s). As contrarreformas iniciais já tinham sido aprovadas – ainda que o “debate” no CDES tenha sido pragmaticamente realizado “a toque de caixa” - e o governo dava provas cabais de que assumira a administração da máquina estatal posicionando-se em defesa e facilitando a direção da </w:t>
      </w:r>
      <w:r w:rsidRPr="00EF158F">
        <w:rPr>
          <w:rFonts w:ascii="Times New Roman" w:hAnsi="Times New Roman"/>
          <w:i/>
          <w:sz w:val="24"/>
          <w:szCs w:val="24"/>
        </w:rPr>
        <w:t>grande política</w:t>
      </w:r>
      <w:r w:rsidRPr="00FF274B">
        <w:rPr>
          <w:rFonts w:ascii="Times New Roman" w:hAnsi="Times New Roman"/>
          <w:i/>
          <w:sz w:val="24"/>
          <w:szCs w:val="24"/>
        </w:rPr>
        <w:t>do grande capital monopolista</w:t>
      </w:r>
      <w:r>
        <w:rPr>
          <w:rFonts w:ascii="Times New Roman" w:hAnsi="Times New Roman"/>
          <w:sz w:val="24"/>
          <w:szCs w:val="24"/>
        </w:rPr>
        <w:t xml:space="preserve">, removendo obstáculos postos por forças político-sociais renitentes e abrindo novas frentes de expansão capital-imperialistas, sem, contudo, dirimir graves e crescentes contradições no interior do bloco no poder. </w:t>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 xml:space="preserve">Desta maneira, definidos, ou melhor, reconfirmados os alinhamentos centrais da política macroeconômica do país e atravessado o momento das contrarreformas, tratava-se de levar a cabo a formatação de uma agenda “desenvolvimentista” das e para as forças do capital, costurada por dentro do aparato estatal, se bem que originalmente produzida e demandada desde os anos 1990 pelos principais aparelhos privados de hegemonia </w:t>
      </w:r>
      <w:r w:rsidR="00F23503">
        <w:rPr>
          <w:rFonts w:ascii="Times New Roman" w:hAnsi="Times New Roman"/>
          <w:sz w:val="24"/>
          <w:szCs w:val="24"/>
        </w:rPr>
        <w:t>empresariais (</w:t>
      </w:r>
      <w:r w:rsidR="000834BC">
        <w:rPr>
          <w:rFonts w:ascii="Times New Roman" w:hAnsi="Times New Roman"/>
          <w:sz w:val="24"/>
          <w:szCs w:val="24"/>
        </w:rPr>
        <w:t>FIESP</w:t>
      </w:r>
      <w:r w:rsidR="00F23503">
        <w:rPr>
          <w:rFonts w:ascii="Times New Roman" w:hAnsi="Times New Roman"/>
          <w:sz w:val="24"/>
          <w:szCs w:val="24"/>
        </w:rPr>
        <w:t>, CNI e IEDI</w:t>
      </w:r>
      <w:r>
        <w:rPr>
          <w:rFonts w:ascii="Times New Roman" w:hAnsi="Times New Roman"/>
          <w:sz w:val="24"/>
          <w:szCs w:val="24"/>
        </w:rPr>
        <w:t xml:space="preserve"> principalmente) e, a partir certo momento, em aliança com as mais destacadas Centrais Sindicais (CUT e FS). Estes </w:t>
      </w:r>
      <w:r w:rsidR="00F94CBF">
        <w:rPr>
          <w:rFonts w:ascii="Times New Roman" w:hAnsi="Times New Roman"/>
          <w:sz w:val="24"/>
          <w:szCs w:val="24"/>
        </w:rPr>
        <w:t>sujeitos</w:t>
      </w:r>
      <w:r>
        <w:rPr>
          <w:rFonts w:ascii="Times New Roman" w:hAnsi="Times New Roman"/>
          <w:sz w:val="24"/>
          <w:szCs w:val="24"/>
        </w:rPr>
        <w:t xml:space="preserve"> sociais coletivos estavam presentes no CDES, conheciam e trabalhavam sob os limites definidos para esta agenda, ainda que sob tensões e reclames permanentes. Diga-se, tensões intraburguesas e também aquelas trazidas pelas experiência</w:t>
      </w:r>
      <w:r w:rsidR="00F94CBF">
        <w:rPr>
          <w:rFonts w:ascii="Times New Roman" w:hAnsi="Times New Roman"/>
          <w:sz w:val="24"/>
          <w:szCs w:val="24"/>
        </w:rPr>
        <w:t>s de luta dos subalternos como revelou</w:t>
      </w:r>
      <w:r>
        <w:rPr>
          <w:rFonts w:ascii="Times New Roman" w:hAnsi="Times New Roman"/>
          <w:sz w:val="24"/>
          <w:szCs w:val="24"/>
        </w:rPr>
        <w:t xml:space="preserve"> a fala militante da conselheira suplente Jurema Werneck no “1º Painel: Como empreender o desenvolvimento que interessa ao conjunto da sociedade brasileira” da “Mesa Redonda: Diálogo Social – Alavanca para o Desenvolvimento”, em agosto de 2004:</w:t>
      </w:r>
    </w:p>
    <w:p w:rsidR="00CE3680" w:rsidRPr="008A4B94" w:rsidRDefault="00CE3680" w:rsidP="00CE3680">
      <w:pPr>
        <w:spacing w:after="0" w:line="240" w:lineRule="auto"/>
        <w:ind w:left="2268"/>
        <w:jc w:val="both"/>
        <w:rPr>
          <w:rFonts w:ascii="Times New Roman" w:hAnsi="Times New Roman"/>
          <w:sz w:val="20"/>
          <w:szCs w:val="20"/>
        </w:rPr>
      </w:pPr>
      <w:r w:rsidRPr="008A4B94">
        <w:rPr>
          <w:rFonts w:ascii="Times New Roman" w:hAnsi="Times New Roman"/>
          <w:sz w:val="20"/>
          <w:szCs w:val="20"/>
        </w:rPr>
        <w:t xml:space="preserve">(...) é preciso lembrar que participamos tanto da formulação quanto do resultado do desenvolvimento brasileiro, de forma diferenciada. E como diferenciada aqui eu quero dizer </w:t>
      </w:r>
      <w:r w:rsidRPr="004A27FC">
        <w:rPr>
          <w:rFonts w:ascii="Times New Roman" w:hAnsi="Times New Roman"/>
          <w:sz w:val="20"/>
          <w:szCs w:val="20"/>
        </w:rPr>
        <w:t>hierarquizada</w:t>
      </w:r>
      <w:r w:rsidRPr="008A4B94">
        <w:rPr>
          <w:rFonts w:ascii="Times New Roman" w:hAnsi="Times New Roman"/>
          <w:sz w:val="20"/>
          <w:szCs w:val="20"/>
        </w:rPr>
        <w:t xml:space="preserve"> e, desde o lugar que ocupo, </w:t>
      </w:r>
      <w:r w:rsidRPr="004A27FC">
        <w:rPr>
          <w:rFonts w:ascii="Times New Roman" w:hAnsi="Times New Roman"/>
          <w:sz w:val="20"/>
          <w:szCs w:val="20"/>
        </w:rPr>
        <w:t>inferiorizada</w:t>
      </w:r>
      <w:r w:rsidRPr="008A4B94">
        <w:rPr>
          <w:rFonts w:ascii="Times New Roman" w:hAnsi="Times New Roman"/>
          <w:sz w:val="20"/>
          <w:szCs w:val="20"/>
        </w:rPr>
        <w:t>, isso precisa ser considerado em qualquer discussão sobre desenvolvimento.</w:t>
      </w:r>
    </w:p>
    <w:p w:rsidR="00CE3680" w:rsidRPr="008A4B94" w:rsidRDefault="00CE3680" w:rsidP="00CE3680">
      <w:pPr>
        <w:spacing w:after="0" w:line="240" w:lineRule="auto"/>
        <w:ind w:left="2268"/>
        <w:jc w:val="both"/>
        <w:rPr>
          <w:rFonts w:ascii="Times New Roman" w:hAnsi="Times New Roman"/>
          <w:sz w:val="20"/>
          <w:szCs w:val="20"/>
        </w:rPr>
      </w:pPr>
      <w:r w:rsidRPr="008A4B94">
        <w:rPr>
          <w:rFonts w:ascii="Times New Roman" w:hAnsi="Times New Roman"/>
          <w:sz w:val="20"/>
          <w:szCs w:val="20"/>
        </w:rPr>
        <w:t>(...) Nós temos participado, sim, de forma inferiorizada. Nós mulheres, nós negros, nós pobres, nós tantos temos participado de forma inferiorizada, mas temos contribuído ao longo desse tempo todo. Só estamos aqui, no século XXI, diante de toda a violência que significa a desigualdade, porque trabalhamos e trabalhamos muito, ainda que em grande parte do tempo, de forma isolada. Passamos grande parte do tempo sem sentar à mesa do debate do desenvolvimento. Agora estamos aqui, e para estar aqui custou muita luta, custou muita gente que ficou para trás. Mas estamos aqui e é preciso considerar que temos de continuar aqui e cada vez mais.</w:t>
      </w:r>
    </w:p>
    <w:p w:rsidR="00CE3680" w:rsidRDefault="00CE3680" w:rsidP="00CE3680">
      <w:pPr>
        <w:spacing w:line="240" w:lineRule="auto"/>
        <w:ind w:left="2268"/>
        <w:jc w:val="both"/>
        <w:rPr>
          <w:rFonts w:ascii="Times New Roman" w:hAnsi="Times New Roman"/>
          <w:sz w:val="24"/>
          <w:szCs w:val="24"/>
        </w:rPr>
      </w:pPr>
      <w:r w:rsidRPr="008A4B94">
        <w:rPr>
          <w:rFonts w:ascii="Times New Roman" w:hAnsi="Times New Roman"/>
          <w:sz w:val="20"/>
          <w:szCs w:val="20"/>
        </w:rPr>
        <w:t>Eu represento uma legião de pessoas. Represento as mulheres organizadas, represento os negros organizados, de alguma forma represento os indígenas que não estão no</w:t>
      </w:r>
      <w:r>
        <w:rPr>
          <w:rFonts w:ascii="Times New Roman" w:hAnsi="Times New Roman"/>
          <w:sz w:val="20"/>
          <w:szCs w:val="20"/>
        </w:rPr>
        <w:t>s</w:t>
      </w:r>
      <w:r w:rsidRPr="008A4B94">
        <w:rPr>
          <w:rFonts w:ascii="Times New Roman" w:hAnsi="Times New Roman"/>
          <w:sz w:val="20"/>
          <w:szCs w:val="20"/>
        </w:rPr>
        <w:t xml:space="preserve"> Conselhos</w:t>
      </w:r>
      <w:r>
        <w:rPr>
          <w:rStyle w:val="Refdenotaderodap"/>
          <w:rFonts w:ascii="Times New Roman" w:hAnsi="Times New Roman"/>
          <w:sz w:val="20"/>
          <w:szCs w:val="20"/>
        </w:rPr>
        <w:footnoteReference w:id="127"/>
      </w:r>
      <w:r w:rsidRPr="008A4B94">
        <w:rPr>
          <w:rFonts w:ascii="Times New Roman" w:hAnsi="Times New Roman"/>
          <w:sz w:val="20"/>
          <w:szCs w:val="20"/>
        </w:rPr>
        <w:t>, represento as ONGs que são minoria</w:t>
      </w:r>
      <w:r>
        <w:rPr>
          <w:rFonts w:ascii="Times New Roman" w:hAnsi="Times New Roman"/>
          <w:sz w:val="20"/>
          <w:szCs w:val="20"/>
        </w:rPr>
        <w:t>, represento uma legião de tantos que vieram de favelas</w:t>
      </w:r>
      <w:r w:rsidRPr="008A4B94">
        <w:rPr>
          <w:rFonts w:ascii="Times New Roman" w:hAnsi="Times New Roman"/>
          <w:sz w:val="20"/>
          <w:szCs w:val="20"/>
        </w:rPr>
        <w:t xml:space="preserve"> (...)</w:t>
      </w:r>
      <w:r>
        <w:rPr>
          <w:rFonts w:ascii="Times New Roman" w:hAnsi="Times New Roman"/>
          <w:sz w:val="20"/>
          <w:szCs w:val="20"/>
        </w:rPr>
        <w:t>. Então, é preciso ampliar e reconhecer que necessitamos participar mais efetivamente, ter ressonância da luta que temos travado ao longo dos 500 anos até aqui</w:t>
      </w:r>
      <w:r w:rsidRPr="008A4B94">
        <w:rPr>
          <w:rFonts w:ascii="Times New Roman" w:hAnsi="Times New Roman"/>
          <w:sz w:val="20"/>
          <w:szCs w:val="20"/>
        </w:rPr>
        <w:t>.</w:t>
      </w:r>
      <w:r>
        <w:rPr>
          <w:rStyle w:val="Refdenotaderodap"/>
          <w:rFonts w:ascii="Times New Roman" w:hAnsi="Times New Roman"/>
          <w:sz w:val="20"/>
          <w:szCs w:val="20"/>
        </w:rPr>
        <w:footnoteReference w:id="128"/>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Foi dentro deste contexto que tomaram importância maior os Grupos ou Comissões de Trabalho ou Grupos Temáticos (GT’s). Desde 2003, os GT’s compunham a estrutura do CDES. Especialmente sobre o tema do “desenvolvimento” o GT “Fundamentos Estratégicos para o Desenvolvimento” vinha produzindo, desde 2003, “subsídios dispersos sobre o tema (...) mas estes não eram bem apropriados pelo governo, ou ainda estavam longe de ser uma proposta mais articulada e orgânica”.</w:t>
      </w:r>
      <w:r>
        <w:rPr>
          <w:rStyle w:val="Refdenotaderodap"/>
          <w:rFonts w:ascii="Times New Roman" w:hAnsi="Times New Roman"/>
          <w:sz w:val="24"/>
          <w:szCs w:val="24"/>
        </w:rPr>
        <w:footnoteReference w:id="129"/>
      </w:r>
      <w:r>
        <w:rPr>
          <w:rFonts w:ascii="Times New Roman" w:hAnsi="Times New Roman"/>
          <w:sz w:val="24"/>
          <w:szCs w:val="24"/>
        </w:rPr>
        <w:t xml:space="preserve"> Este GT incorporou, então, debates sobre temas correlatos e demandados pela Presidência, tais como o projeto das Parcerias Públicas e Privadas e a política industrial, servindo de plataforma mínima de debates consolidados para o impulsionamento inicial da AND, em meados de 2004.</w:t>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 xml:space="preserve"> Como instância interna, os GT’s tinham caráter temporário e destinavam-se, de acordo com o art. 3º do Regimento Interno do Conselho, </w:t>
      </w:r>
    </w:p>
    <w:p w:rsidR="00CE3680" w:rsidRDefault="00CE3680" w:rsidP="00CE3680">
      <w:pPr>
        <w:spacing w:line="240" w:lineRule="auto"/>
        <w:ind w:left="2268"/>
        <w:jc w:val="both"/>
        <w:rPr>
          <w:rFonts w:ascii="Times New Roman" w:hAnsi="Times New Roman"/>
          <w:sz w:val="24"/>
          <w:szCs w:val="24"/>
        </w:rPr>
      </w:pPr>
      <w:r w:rsidRPr="00383A5C">
        <w:rPr>
          <w:rFonts w:ascii="Times New Roman" w:hAnsi="Times New Roman"/>
          <w:sz w:val="20"/>
          <w:szCs w:val="20"/>
        </w:rPr>
        <w:t xml:space="preserve">ao estudo e elaboração de propostas sobre temas específicos, a serem submetidos à sua composição plenária, podendo requisitar, em caráter transitório, </w:t>
      </w:r>
      <w:r>
        <w:rPr>
          <w:rFonts w:ascii="Times New Roman" w:hAnsi="Times New Roman"/>
          <w:sz w:val="20"/>
          <w:szCs w:val="20"/>
        </w:rPr>
        <w:t>(...)</w:t>
      </w:r>
      <w:r w:rsidRPr="00383A5C">
        <w:rPr>
          <w:rFonts w:ascii="Times New Roman" w:hAnsi="Times New Roman"/>
          <w:sz w:val="20"/>
          <w:szCs w:val="20"/>
        </w:rPr>
        <w:t xml:space="preserve"> servidores de qualquer órgão ou entidade da Administração Pública Federal, necessários aos seus trabalhos</w:t>
      </w:r>
      <w:r>
        <w:rPr>
          <w:rFonts w:ascii="Times New Roman" w:hAnsi="Times New Roman"/>
          <w:sz w:val="24"/>
          <w:szCs w:val="24"/>
        </w:rPr>
        <w:t>.</w:t>
      </w:r>
    </w:p>
    <w:p w:rsidR="00CE3680" w:rsidRDefault="00CE3680" w:rsidP="00CE3680">
      <w:pPr>
        <w:spacing w:after="0" w:line="360" w:lineRule="auto"/>
        <w:jc w:val="both"/>
        <w:rPr>
          <w:rFonts w:ascii="Times New Roman" w:hAnsi="Times New Roman"/>
          <w:sz w:val="24"/>
          <w:szCs w:val="24"/>
        </w:rPr>
      </w:pPr>
      <w:r>
        <w:rPr>
          <w:rFonts w:ascii="Times New Roman" w:hAnsi="Times New Roman"/>
          <w:sz w:val="24"/>
          <w:szCs w:val="24"/>
        </w:rPr>
        <w:tab/>
        <w:t xml:space="preserve">Os GT’s </w:t>
      </w:r>
      <w:r w:rsidR="00F94CBF">
        <w:rPr>
          <w:rFonts w:ascii="Times New Roman" w:hAnsi="Times New Roman"/>
          <w:sz w:val="24"/>
          <w:szCs w:val="24"/>
        </w:rPr>
        <w:t>e</w:t>
      </w:r>
      <w:r>
        <w:rPr>
          <w:rFonts w:ascii="Times New Roman" w:hAnsi="Times New Roman"/>
          <w:sz w:val="24"/>
          <w:szCs w:val="24"/>
        </w:rPr>
        <w:t>ram formados para aprofundar temas propostos pelo governo ou deliberados pela plenária do CDES. Nos GT’s, segundo a página eletrônica do Conselho, “as questões são analisadas, os posicionamentos debatidos e os consensos localizados e encaminhados para deliberação do Pleno”.</w:t>
      </w:r>
      <w:r>
        <w:rPr>
          <w:rStyle w:val="Refdenotaderodap"/>
          <w:rFonts w:ascii="Times New Roman" w:hAnsi="Times New Roman"/>
          <w:sz w:val="24"/>
          <w:szCs w:val="24"/>
        </w:rPr>
        <w:footnoteReference w:id="130"/>
      </w:r>
      <w:r>
        <w:rPr>
          <w:rFonts w:ascii="Times New Roman" w:hAnsi="Times New Roman"/>
          <w:sz w:val="24"/>
          <w:szCs w:val="24"/>
        </w:rPr>
        <w:t xml:space="preserve"> De acordo com Kunrath, antes de serem formalmente instalados, os GT’s já aguarda</w:t>
      </w:r>
      <w:r w:rsidR="00F94CBF">
        <w:rPr>
          <w:rFonts w:ascii="Times New Roman" w:hAnsi="Times New Roman"/>
          <w:sz w:val="24"/>
          <w:szCs w:val="24"/>
        </w:rPr>
        <w:t>va</w:t>
      </w:r>
      <w:r>
        <w:rPr>
          <w:rFonts w:ascii="Times New Roman" w:hAnsi="Times New Roman"/>
          <w:sz w:val="24"/>
          <w:szCs w:val="24"/>
        </w:rPr>
        <w:t>m inscrições dos conselheiros interessados e, na medida em que um GT termina</w:t>
      </w:r>
      <w:r w:rsidR="00F94CBF">
        <w:rPr>
          <w:rFonts w:ascii="Times New Roman" w:hAnsi="Times New Roman"/>
          <w:sz w:val="24"/>
          <w:szCs w:val="24"/>
        </w:rPr>
        <w:t>va</w:t>
      </w:r>
      <w:r>
        <w:rPr>
          <w:rFonts w:ascii="Times New Roman" w:hAnsi="Times New Roman"/>
          <w:sz w:val="24"/>
          <w:szCs w:val="24"/>
        </w:rPr>
        <w:t xml:space="preserve"> seus trabalhos, com a apresentação de um parecer sobre dado</w:t>
      </w:r>
      <w:r w:rsidR="00F94CBF">
        <w:rPr>
          <w:rFonts w:ascii="Times New Roman" w:hAnsi="Times New Roman"/>
          <w:sz w:val="24"/>
          <w:szCs w:val="24"/>
        </w:rPr>
        <w:t xml:space="preserve"> tema ao plenário, seu tema poderia</w:t>
      </w:r>
      <w:r>
        <w:rPr>
          <w:rFonts w:ascii="Times New Roman" w:hAnsi="Times New Roman"/>
          <w:sz w:val="24"/>
          <w:szCs w:val="24"/>
        </w:rPr>
        <w:t xml:space="preserve"> ser s</w:t>
      </w:r>
      <w:r w:rsidR="00503346">
        <w:rPr>
          <w:rFonts w:ascii="Times New Roman" w:hAnsi="Times New Roman"/>
          <w:sz w:val="24"/>
          <w:szCs w:val="24"/>
        </w:rPr>
        <w:t>ubstituído ou seus membros</w:t>
      </w:r>
      <w:r>
        <w:rPr>
          <w:rFonts w:ascii="Times New Roman" w:hAnsi="Times New Roman"/>
          <w:sz w:val="24"/>
          <w:szCs w:val="24"/>
        </w:rPr>
        <w:t xml:space="preserve"> constituir novo grupo.</w:t>
      </w:r>
      <w:r>
        <w:rPr>
          <w:rStyle w:val="Refdenotaderodap"/>
          <w:rFonts w:ascii="Times New Roman" w:hAnsi="Times New Roman"/>
          <w:sz w:val="24"/>
          <w:szCs w:val="24"/>
        </w:rPr>
        <w:footnoteReference w:id="131"/>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 xml:space="preserve">Poder-se-ia instituir até nove GT’s, cujas reuniões eram convocadas pelo Secretário-Executivo ou pela maioria de seus membros, e seus trabalhos eram coordenados por um integrante da Administração Pública Federal, designado pela SEDES, sendo seu Relator o indicado pelo Ministro da área pertinente ao tema objeto de discussão (art. 3º, §1º Regimento Interno). Desta maneira, </w:t>
      </w:r>
      <w:r w:rsidRPr="0050514C">
        <w:rPr>
          <w:rFonts w:ascii="Times New Roman" w:hAnsi="Times New Roman"/>
          <w:sz w:val="24"/>
          <w:szCs w:val="24"/>
        </w:rPr>
        <w:t>era comum haver contribuições de especialistas em determinados assuntos e/ou áreas, de representante</w:t>
      </w:r>
      <w:r>
        <w:rPr>
          <w:rFonts w:ascii="Times New Roman" w:hAnsi="Times New Roman"/>
          <w:sz w:val="24"/>
          <w:szCs w:val="24"/>
        </w:rPr>
        <w:t>s</w:t>
      </w:r>
      <w:r w:rsidRPr="0050514C">
        <w:rPr>
          <w:rFonts w:ascii="Times New Roman" w:hAnsi="Times New Roman"/>
          <w:sz w:val="24"/>
          <w:szCs w:val="24"/>
        </w:rPr>
        <w:t xml:space="preserve"> d</w:t>
      </w:r>
      <w:r>
        <w:rPr>
          <w:rFonts w:ascii="Times New Roman" w:hAnsi="Times New Roman"/>
          <w:sz w:val="24"/>
          <w:szCs w:val="24"/>
        </w:rPr>
        <w:t>o</w:t>
      </w:r>
      <w:r w:rsidRPr="0050514C">
        <w:rPr>
          <w:rFonts w:ascii="Times New Roman" w:hAnsi="Times New Roman"/>
          <w:sz w:val="24"/>
          <w:szCs w:val="24"/>
        </w:rPr>
        <w:t xml:space="preserve"> governo e de outras instituições como forma de embasamento, aprofundamento ou melhoria das propostas dos GT</w:t>
      </w:r>
      <w:r>
        <w:rPr>
          <w:rFonts w:ascii="Times New Roman" w:hAnsi="Times New Roman"/>
          <w:sz w:val="24"/>
          <w:szCs w:val="24"/>
        </w:rPr>
        <w:t>’</w:t>
      </w:r>
      <w:r w:rsidRPr="0050514C">
        <w:rPr>
          <w:rFonts w:ascii="Times New Roman" w:hAnsi="Times New Roman"/>
          <w:sz w:val="24"/>
          <w:szCs w:val="24"/>
        </w:rPr>
        <w:t>s sobre os temas debatidos</w:t>
      </w:r>
      <w:r w:rsidR="00503346">
        <w:rPr>
          <w:rFonts w:ascii="Times New Roman" w:hAnsi="Times New Roman"/>
          <w:sz w:val="24"/>
          <w:szCs w:val="24"/>
        </w:rPr>
        <w:t xml:space="preserve"> ou de direcionamento das discussões à luz do que o governo esperava</w:t>
      </w:r>
      <w:r w:rsidRPr="0050514C">
        <w:rPr>
          <w:rFonts w:ascii="Times New Roman" w:hAnsi="Times New Roman"/>
          <w:sz w:val="24"/>
          <w:szCs w:val="24"/>
        </w:rPr>
        <w:t xml:space="preserve">. </w:t>
      </w:r>
      <w:r>
        <w:rPr>
          <w:rFonts w:ascii="Times New Roman" w:hAnsi="Times New Roman"/>
          <w:sz w:val="24"/>
          <w:szCs w:val="24"/>
        </w:rPr>
        <w:t>Os Grupos Temáticos se dividia</w:t>
      </w:r>
      <w:r w:rsidRPr="0050514C">
        <w:rPr>
          <w:rFonts w:ascii="Times New Roman" w:hAnsi="Times New Roman"/>
          <w:sz w:val="24"/>
          <w:szCs w:val="24"/>
        </w:rPr>
        <w:t>m em Subgrupos onde as discussões trata</w:t>
      </w:r>
      <w:r>
        <w:rPr>
          <w:rFonts w:ascii="Times New Roman" w:hAnsi="Times New Roman"/>
          <w:sz w:val="24"/>
          <w:szCs w:val="24"/>
        </w:rPr>
        <w:t>va</w:t>
      </w:r>
      <w:r w:rsidRPr="0050514C">
        <w:rPr>
          <w:rFonts w:ascii="Times New Roman" w:hAnsi="Times New Roman"/>
          <w:sz w:val="24"/>
          <w:szCs w:val="24"/>
        </w:rPr>
        <w:t>m de temas mais específicos relacionados ao</w:t>
      </w:r>
      <w:r>
        <w:rPr>
          <w:rFonts w:ascii="Times New Roman" w:hAnsi="Times New Roman"/>
          <w:sz w:val="24"/>
          <w:szCs w:val="24"/>
        </w:rPr>
        <w:t>s</w:t>
      </w:r>
      <w:r w:rsidRPr="0050514C">
        <w:rPr>
          <w:rFonts w:ascii="Times New Roman" w:hAnsi="Times New Roman"/>
          <w:sz w:val="24"/>
          <w:szCs w:val="24"/>
        </w:rPr>
        <w:t xml:space="preserve"> GT</w:t>
      </w:r>
      <w:r>
        <w:rPr>
          <w:rFonts w:ascii="Times New Roman" w:hAnsi="Times New Roman"/>
          <w:sz w:val="24"/>
          <w:szCs w:val="24"/>
        </w:rPr>
        <w:t>’s</w:t>
      </w:r>
      <w:r w:rsidRPr="0050514C">
        <w:rPr>
          <w:rFonts w:ascii="Times New Roman" w:hAnsi="Times New Roman"/>
          <w:sz w:val="24"/>
          <w:szCs w:val="24"/>
        </w:rPr>
        <w:t>.</w:t>
      </w:r>
      <w:r>
        <w:rPr>
          <w:rFonts w:ascii="Times New Roman" w:hAnsi="Times New Roman"/>
          <w:sz w:val="24"/>
          <w:szCs w:val="24"/>
        </w:rPr>
        <w:tab/>
      </w:r>
    </w:p>
    <w:p w:rsidR="00CE3680" w:rsidRDefault="00CE3680" w:rsidP="00CE3680">
      <w:pPr>
        <w:spacing w:after="0" w:line="360" w:lineRule="auto"/>
        <w:jc w:val="both"/>
        <w:rPr>
          <w:rFonts w:ascii="Times New Roman" w:hAnsi="Times New Roman"/>
          <w:sz w:val="24"/>
          <w:szCs w:val="24"/>
        </w:rPr>
      </w:pPr>
      <w:r>
        <w:rPr>
          <w:rFonts w:ascii="Times New Roman" w:hAnsi="Times New Roman"/>
          <w:sz w:val="24"/>
          <w:szCs w:val="24"/>
        </w:rPr>
        <w:tab/>
        <w:t>Além de um coordenador e de um representante de dado Ministério, cada Grupo Temático era composto por dez Conselheiros indicados pela plenária do CDES</w:t>
      </w:r>
      <w:r>
        <w:rPr>
          <w:rStyle w:val="Refdenotaderodap"/>
          <w:rFonts w:ascii="Times New Roman" w:hAnsi="Times New Roman"/>
          <w:sz w:val="24"/>
          <w:szCs w:val="24"/>
        </w:rPr>
        <w:footnoteReference w:id="132"/>
      </w:r>
      <w:r>
        <w:rPr>
          <w:rFonts w:ascii="Times New Roman" w:hAnsi="Times New Roman"/>
          <w:sz w:val="24"/>
          <w:szCs w:val="24"/>
        </w:rPr>
        <w:t xml:space="preserve"> e também por um grupo de até nove cidadãos, convidados pelo Secretário-Executivo, sendo o Conselho previamente ouvido (art. 14, incisos III e IV do Decreto 4.744/03).</w:t>
      </w:r>
    </w:p>
    <w:p w:rsidR="00CE3680" w:rsidRDefault="00CE3680" w:rsidP="00CE3680">
      <w:pPr>
        <w:spacing w:after="0" w:line="360" w:lineRule="auto"/>
        <w:jc w:val="both"/>
        <w:rPr>
          <w:rFonts w:ascii="Times New Roman" w:hAnsi="Times New Roman"/>
          <w:sz w:val="24"/>
          <w:szCs w:val="24"/>
        </w:rPr>
      </w:pPr>
      <w:r>
        <w:rPr>
          <w:rFonts w:ascii="Times New Roman" w:hAnsi="Times New Roman"/>
          <w:sz w:val="24"/>
          <w:szCs w:val="24"/>
        </w:rPr>
        <w:tab/>
        <w:t xml:space="preserve">Passadas as contrarreformas da previdência, trabalhista e tributária, e da proposta de elaboração do Plano Plurianual (2004-2007), </w:t>
      </w:r>
      <w:r w:rsidR="00F94CBF">
        <w:rPr>
          <w:rFonts w:ascii="Times New Roman" w:hAnsi="Times New Roman"/>
          <w:sz w:val="24"/>
          <w:szCs w:val="24"/>
        </w:rPr>
        <w:t xml:space="preserve">para </w:t>
      </w:r>
      <w:r>
        <w:rPr>
          <w:rFonts w:ascii="Times New Roman" w:hAnsi="Times New Roman"/>
          <w:sz w:val="24"/>
          <w:szCs w:val="24"/>
        </w:rPr>
        <w:t>a qual se voltou grande parte das atividades dos conselheiros em 2003, os trabalhos dos GT’s foram fundamentais para a dinamização das discussões e das proposições internas, produzindo Relatórios Consolidados dos GT’s. Como o próprio nome indicava, eram documentos que traçavam um panorama rápido e superficial do assunto ao qual o GT se dedicava, recuperando pontos e linhas-mestras discutidas e, em seguida, apontavam proposições (consensos, recomendações e sugestões) a serem aceitas ou não pela plenária do Conselho e, em seguida, encaminhadas para o Presidente da República e Ministros de Estado da área em questão. Sobre esta dinâmica, segue abaixo, apenas a título de exemplo, um trecho do Relatório do GT Micro e Pequenas Empresas, Autogestão e Informalidade, concluído em maio de 2005:</w:t>
      </w:r>
    </w:p>
    <w:p w:rsidR="00CE3680" w:rsidRPr="005463D3" w:rsidRDefault="00CE3680" w:rsidP="00CE3680">
      <w:pPr>
        <w:spacing w:line="240" w:lineRule="auto"/>
        <w:ind w:left="2268"/>
        <w:jc w:val="both"/>
        <w:rPr>
          <w:rFonts w:ascii="Times New Roman" w:hAnsi="Times New Roman"/>
          <w:sz w:val="20"/>
          <w:szCs w:val="20"/>
        </w:rPr>
      </w:pPr>
      <w:r w:rsidRPr="005463D3">
        <w:rPr>
          <w:rFonts w:ascii="Times New Roman" w:hAnsi="Times New Roman"/>
          <w:color w:val="000000"/>
          <w:sz w:val="20"/>
          <w:szCs w:val="20"/>
        </w:rPr>
        <w:t>Como explicou o Ministro Jaques Wagner na última reunião, estes temas ainda poderão ser tratados em outras esferas do Conselho e todas as discussões e recomendações produzidas durante as reuniões serão sistematizadas e encaminhadas aos ministérios finalísticos e para o Presidente da República, após a aprovação do Pleno do CDES. O Ministro ressaltou ainda que várias das recomendações, inclusive, já foram incorporadas a políticas e programas do Governo, como é o caso da proposta de inclusão de empreendedores de baixa renda e da Política de Microcrédito Orientado, cuja lei foi sancionada pelo Presidente Lula no dia 25 de abril de 2005.</w:t>
      </w:r>
      <w:r>
        <w:rPr>
          <w:rStyle w:val="Refdenotaderodap"/>
          <w:rFonts w:ascii="Times New Roman" w:hAnsi="Times New Roman"/>
          <w:color w:val="000000"/>
          <w:sz w:val="20"/>
          <w:szCs w:val="20"/>
        </w:rPr>
        <w:footnoteReference w:id="133"/>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Para Costa era nos GT’s que, de fato, os debates e confrontos de interesses eram travados: “é quando adversários e antagonistas se encontram face a face”. Era nestes “pequenos fóruns”, diz a autora, que “a participação efetiva e a capacidade de negociar e deliberar são exercidas plenamente”.</w:t>
      </w:r>
      <w:r>
        <w:rPr>
          <w:rStyle w:val="Refdenotaderodap"/>
          <w:rFonts w:ascii="Times New Roman" w:hAnsi="Times New Roman"/>
          <w:sz w:val="24"/>
          <w:szCs w:val="24"/>
        </w:rPr>
        <w:footnoteReference w:id="134"/>
      </w:r>
      <w:r>
        <w:rPr>
          <w:rFonts w:ascii="Times New Roman" w:hAnsi="Times New Roman"/>
          <w:sz w:val="24"/>
          <w:szCs w:val="24"/>
        </w:rPr>
        <w:t xml:space="preserve"> Neste sentido, os Grupos de Trabalho se credenciavam como fóruns diminutos de debate, formulação e arrematação de propostas específicas, aperfeiçoando a divisão de trabalho necessária a temáticas complexas e legitimando, para dentro do Conselho, a “concertação nacional”.</w:t>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A participação nos GT’s era valorizada pelospróprios conselheiros, na pesquisa realizada por Kunrath. Numa amostra de 50% dos membros do CDES entrevistados pelo autor, nos anos de 2003 e 2004, os GT’s que obtiveram maior participação foram Fundamentos para o Desenvolvimento (71,7%), Reforma da Previdência (58,7%), Reforma Tributária (45,6%), Reforma Sindical e Trabalhista (36,9%) e o Plano Plurianual (34,7%). A média geral, ainda segundo o autor, de participação dos conselheiros pesquisados “situou-se entre 3 ou 4 grupos temáticos (...) “justamente naqueles grupos em que se encontram os pontos priorizados, ou questões mais polêmicas para tratamento do governo”.</w:t>
      </w:r>
      <w:r>
        <w:rPr>
          <w:rStyle w:val="Refdenotaderodap"/>
          <w:rFonts w:ascii="Times New Roman" w:hAnsi="Times New Roman"/>
          <w:sz w:val="24"/>
          <w:szCs w:val="24"/>
        </w:rPr>
        <w:footnoteReference w:id="135"/>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sidRPr="00793822">
        <w:rPr>
          <w:rFonts w:ascii="Times New Roman" w:hAnsi="Times New Roman"/>
          <w:sz w:val="24"/>
          <w:szCs w:val="24"/>
        </w:rPr>
        <w:t>Os Grupos de Acompanhamento (GA’s) credenciavam-se como mais um espaço de discussão no Conselho. Sem prazo determinado de existência, os GA’s tinham a atribuição de acompanhar temas específicos. O Grupo de Acompanhamento de Conjuntura Econômica (GACE), formado em setembro de 2003 e constituído por 25 conselheiros, tinha como finalidade acompanhar e avaliar a política econômica. Reunia-se com autoridades governamentais da área econômica como o presidente do Banco Central (Henrique Meirelles), com o Secretário do Tesouro Nacional (Joaquim Levy)</w:t>
      </w:r>
      <w:r>
        <w:rPr>
          <w:rFonts w:ascii="Times New Roman" w:hAnsi="Times New Roman"/>
          <w:sz w:val="24"/>
          <w:szCs w:val="24"/>
        </w:rPr>
        <w:t>, com o Ministro do MDIC (Luiz Furlan)</w:t>
      </w:r>
      <w:r w:rsidRPr="00793822">
        <w:rPr>
          <w:rFonts w:ascii="Times New Roman" w:hAnsi="Times New Roman"/>
          <w:sz w:val="24"/>
          <w:szCs w:val="24"/>
        </w:rPr>
        <w:t xml:space="preserve"> e com membros do Ministério da Fazenda.</w:t>
      </w:r>
      <w:r>
        <w:rPr>
          <w:rStyle w:val="Refdenotaderodap"/>
          <w:rFonts w:ascii="Times New Roman" w:hAnsi="Times New Roman"/>
          <w:sz w:val="24"/>
          <w:szCs w:val="24"/>
        </w:rPr>
        <w:footnoteReference w:id="136"/>
      </w:r>
      <w:r>
        <w:rPr>
          <w:rFonts w:ascii="Times New Roman" w:hAnsi="Times New Roman"/>
          <w:sz w:val="24"/>
          <w:szCs w:val="24"/>
        </w:rPr>
        <w:t>Em janeiro de 2009, este grupo dedicou-se aoa</w:t>
      </w:r>
      <w:r w:rsidRPr="00F45BB7">
        <w:rPr>
          <w:rFonts w:ascii="Times New Roman" w:hAnsi="Times New Roman"/>
          <w:sz w:val="24"/>
          <w:szCs w:val="24"/>
        </w:rPr>
        <w:t>companhamento</w:t>
      </w:r>
      <w:r>
        <w:rPr>
          <w:rFonts w:ascii="Times New Roman" w:hAnsi="Times New Roman"/>
          <w:sz w:val="24"/>
          <w:szCs w:val="24"/>
        </w:rPr>
        <w:t xml:space="preserve"> da crise econômica i</w:t>
      </w:r>
      <w:r w:rsidRPr="00F45BB7">
        <w:rPr>
          <w:rFonts w:ascii="Times New Roman" w:hAnsi="Times New Roman"/>
          <w:sz w:val="24"/>
          <w:szCs w:val="24"/>
        </w:rPr>
        <w:t xml:space="preserve">nternacional </w:t>
      </w:r>
      <w:r>
        <w:rPr>
          <w:rFonts w:ascii="Times New Roman" w:hAnsi="Times New Roman"/>
          <w:sz w:val="24"/>
          <w:szCs w:val="24"/>
        </w:rPr>
        <w:t>a fim de</w:t>
      </w:r>
      <w:r w:rsidRPr="00F45BB7">
        <w:rPr>
          <w:rFonts w:ascii="Times New Roman" w:hAnsi="Times New Roman"/>
          <w:sz w:val="24"/>
          <w:szCs w:val="24"/>
        </w:rPr>
        <w:t xml:space="preserve">, </w:t>
      </w:r>
      <w:r>
        <w:rPr>
          <w:rFonts w:ascii="Times New Roman" w:hAnsi="Times New Roman"/>
          <w:sz w:val="24"/>
          <w:szCs w:val="24"/>
        </w:rPr>
        <w:t>conforme</w:t>
      </w:r>
      <w:r w:rsidRPr="00F45BB7">
        <w:rPr>
          <w:rFonts w:ascii="Times New Roman" w:hAnsi="Times New Roman"/>
          <w:sz w:val="24"/>
          <w:szCs w:val="24"/>
        </w:rPr>
        <w:t xml:space="preserve"> seu Termo de Referência, “</w:t>
      </w:r>
      <w:r>
        <w:rPr>
          <w:rFonts w:ascii="Times New Roman" w:hAnsi="Times New Roman"/>
          <w:sz w:val="24"/>
          <w:szCs w:val="24"/>
        </w:rPr>
        <w:t>m</w:t>
      </w:r>
      <w:r w:rsidRPr="00F45BB7">
        <w:rPr>
          <w:rFonts w:ascii="Times New Roman" w:hAnsi="Times New Roman"/>
          <w:sz w:val="24"/>
          <w:szCs w:val="24"/>
        </w:rPr>
        <w:t>onitorar a evolução da crise econômica internacional, seus efeitos sobre a economia brasileira e das medidas do Governo Federal, por meio de reuniões periódicas dos Conselheiros do CDES com dirigentes de órgãos estratégicos do Governo</w:t>
      </w:r>
      <w:r>
        <w:rPr>
          <w:rFonts w:ascii="Times New Roman" w:hAnsi="Times New Roman"/>
          <w:sz w:val="24"/>
          <w:szCs w:val="24"/>
        </w:rPr>
        <w:t>”</w:t>
      </w:r>
      <w:r w:rsidRPr="00F45BB7">
        <w:rPr>
          <w:rFonts w:ascii="Times New Roman" w:hAnsi="Times New Roman"/>
          <w:sz w:val="24"/>
          <w:szCs w:val="24"/>
        </w:rPr>
        <w:t xml:space="preserve"> e </w:t>
      </w:r>
      <w:r>
        <w:rPr>
          <w:rFonts w:ascii="Times New Roman" w:hAnsi="Times New Roman"/>
          <w:sz w:val="24"/>
          <w:szCs w:val="24"/>
        </w:rPr>
        <w:t>“s</w:t>
      </w:r>
      <w:r w:rsidRPr="00F45BB7">
        <w:rPr>
          <w:rFonts w:ascii="Times New Roman" w:hAnsi="Times New Roman"/>
          <w:sz w:val="24"/>
          <w:szCs w:val="24"/>
        </w:rPr>
        <w:t>ugerir medidas para combater os impactos negativos da crise sobre a economia e a sociedade brasileira</w:t>
      </w:r>
      <w:r>
        <w:rPr>
          <w:rFonts w:ascii="Times New Roman" w:hAnsi="Times New Roman"/>
          <w:sz w:val="24"/>
          <w:szCs w:val="24"/>
        </w:rPr>
        <w:t xml:space="preserve"> (...)”.</w:t>
      </w:r>
      <w:r>
        <w:rPr>
          <w:rStyle w:val="Refdenotaderodap"/>
          <w:rFonts w:ascii="Times New Roman" w:hAnsi="Times New Roman"/>
          <w:sz w:val="24"/>
          <w:szCs w:val="24"/>
        </w:rPr>
        <w:footnoteReference w:id="137"/>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sidRPr="00793822">
        <w:rPr>
          <w:rFonts w:ascii="Times New Roman" w:hAnsi="Times New Roman"/>
          <w:sz w:val="24"/>
          <w:szCs w:val="24"/>
        </w:rPr>
        <w:t xml:space="preserve">Os membros que faziam parte do Grupo de Acompanhamento </w:t>
      </w:r>
      <w:r w:rsidR="00503346">
        <w:rPr>
          <w:rFonts w:ascii="Times New Roman" w:hAnsi="Times New Roman"/>
          <w:sz w:val="24"/>
          <w:szCs w:val="24"/>
        </w:rPr>
        <w:t>d</w:t>
      </w:r>
      <w:r w:rsidRPr="00793822">
        <w:rPr>
          <w:rFonts w:ascii="Times New Roman" w:hAnsi="Times New Roman"/>
          <w:sz w:val="24"/>
          <w:szCs w:val="24"/>
        </w:rPr>
        <w:t>e Políticas Sociais (GAPS) reunia</w:t>
      </w:r>
      <w:r>
        <w:rPr>
          <w:rFonts w:ascii="Times New Roman" w:hAnsi="Times New Roman"/>
          <w:sz w:val="24"/>
          <w:szCs w:val="24"/>
        </w:rPr>
        <w:t>m</w:t>
      </w:r>
      <w:r w:rsidRPr="00793822">
        <w:rPr>
          <w:rFonts w:ascii="Times New Roman" w:hAnsi="Times New Roman"/>
          <w:sz w:val="24"/>
          <w:szCs w:val="24"/>
        </w:rPr>
        <w:t xml:space="preserve">-se desde abril de 2004 e, segundo seu Termo de Referência, </w:t>
      </w:r>
      <w:r w:rsidR="00667A1C">
        <w:rPr>
          <w:rFonts w:ascii="Times New Roman" w:hAnsi="Times New Roman"/>
          <w:sz w:val="24"/>
          <w:szCs w:val="24"/>
        </w:rPr>
        <w:t xml:space="preserve">o grupo </w:t>
      </w:r>
      <w:r w:rsidRPr="00793822">
        <w:rPr>
          <w:rFonts w:ascii="Times New Roman" w:hAnsi="Times New Roman"/>
          <w:sz w:val="24"/>
          <w:szCs w:val="24"/>
        </w:rPr>
        <w:t xml:space="preserve">deveria </w:t>
      </w:r>
    </w:p>
    <w:p w:rsidR="00CE3680" w:rsidRPr="00586209" w:rsidRDefault="00CE3680" w:rsidP="00CE3680">
      <w:pPr>
        <w:autoSpaceDE w:val="0"/>
        <w:autoSpaceDN w:val="0"/>
        <w:adjustRightInd w:val="0"/>
        <w:spacing w:after="0" w:line="240" w:lineRule="auto"/>
        <w:ind w:left="2268"/>
        <w:jc w:val="both"/>
        <w:rPr>
          <w:rFonts w:ascii="Times New Roman" w:hAnsi="Times New Roman"/>
          <w:sz w:val="20"/>
          <w:szCs w:val="20"/>
        </w:rPr>
      </w:pPr>
      <w:r w:rsidRPr="00586209">
        <w:rPr>
          <w:rFonts w:ascii="Times New Roman" w:hAnsi="Times New Roman"/>
          <w:sz w:val="20"/>
          <w:szCs w:val="20"/>
        </w:rPr>
        <w:t>funcionar como um espaço de discussão, no qual o governo pode apresentar suas políticas, diagnósticos, ações e perspectivas relativamente às áreas sociais, criando um mecanismo para o diálogo junto aos membros da sociedade representados no CDES, os quais passam a ter a oportunidade de compreender, avaliar, criticar e debater posições sobre os temas em pauta, de forma mais ágil, objetiva e detalhada do que nas reuniões plenárias.</w:t>
      </w:r>
      <w:r w:rsidRPr="00586209">
        <w:rPr>
          <w:rStyle w:val="Refdenotaderodap"/>
          <w:rFonts w:ascii="Times New Roman" w:hAnsi="Times New Roman"/>
          <w:sz w:val="20"/>
          <w:szCs w:val="20"/>
        </w:rPr>
        <w:footnoteReference w:id="138"/>
      </w:r>
    </w:p>
    <w:p w:rsidR="00CE3680" w:rsidRDefault="00CE3680" w:rsidP="00CE3680">
      <w:pPr>
        <w:autoSpaceDE w:val="0"/>
        <w:autoSpaceDN w:val="0"/>
        <w:adjustRightInd w:val="0"/>
        <w:spacing w:before="240" w:after="0" w:line="360" w:lineRule="auto"/>
        <w:ind w:firstLine="708"/>
        <w:jc w:val="both"/>
        <w:rPr>
          <w:rFonts w:ascii="Times New Roman" w:hAnsi="Times New Roman"/>
          <w:sz w:val="24"/>
          <w:szCs w:val="24"/>
        </w:rPr>
      </w:pPr>
      <w:r w:rsidRPr="002C0312">
        <w:rPr>
          <w:rFonts w:ascii="Times New Roman" w:hAnsi="Times New Roman"/>
          <w:sz w:val="24"/>
          <w:szCs w:val="24"/>
        </w:rPr>
        <w:t>O GAPS realizou reuniões periódicas com os diversos órgãos governamentais atuantes nas áreas sociais, tais como o Ministério do Desenvolvimento Social e Combate à Fome, o Ministério da Saúde, o Ministério da Educação e o Ministério da Cultura, entre outros. Em 2005, o grupo </w:t>
      </w:r>
      <w:r>
        <w:rPr>
          <w:rFonts w:ascii="Times New Roman" w:hAnsi="Times New Roman"/>
          <w:sz w:val="24"/>
          <w:szCs w:val="24"/>
        </w:rPr>
        <w:t>voltou</w:t>
      </w:r>
      <w:r w:rsidRPr="002C0312">
        <w:rPr>
          <w:rFonts w:ascii="Times New Roman" w:hAnsi="Times New Roman"/>
          <w:sz w:val="24"/>
          <w:szCs w:val="24"/>
        </w:rPr>
        <w:t xml:space="preserve"> seus trabalhos à construção da proposta do Observatório da Equidade</w:t>
      </w:r>
      <w:r>
        <w:rPr>
          <w:rFonts w:ascii="Times New Roman" w:hAnsi="Times New Roman"/>
          <w:sz w:val="24"/>
          <w:szCs w:val="24"/>
        </w:rPr>
        <w:t>, outra instância do CDES que veremos adiante</w:t>
      </w:r>
      <w:r w:rsidRPr="002C0312">
        <w:rPr>
          <w:rFonts w:ascii="Times New Roman" w:hAnsi="Times New Roman"/>
          <w:sz w:val="24"/>
          <w:szCs w:val="24"/>
        </w:rPr>
        <w:t>.</w:t>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Os 20 Grupos Temáticos e de Acompanhamento em atividade no CDES durante os dois mandatos de Lula da Silva estão arrolados na tabela abaixo e refletem a diversidade de temas trabalhados pelo Conselho:</w:t>
      </w:r>
    </w:p>
    <w:p w:rsidR="006A6793" w:rsidRPr="002C0312" w:rsidRDefault="006A6793" w:rsidP="00CE3680">
      <w:pPr>
        <w:autoSpaceDE w:val="0"/>
        <w:autoSpaceDN w:val="0"/>
        <w:adjustRightInd w:val="0"/>
        <w:spacing w:after="0" w:line="360" w:lineRule="auto"/>
        <w:ind w:firstLine="708"/>
        <w:jc w:val="both"/>
        <w:rPr>
          <w:rFonts w:ascii="Times New Roman" w:hAnsi="Times New Roman"/>
          <w:sz w:val="24"/>
          <w:szCs w:val="24"/>
        </w:rPr>
      </w:pPr>
    </w:p>
    <w:p w:rsidR="00CE3680" w:rsidRPr="002E5158" w:rsidRDefault="00CE3680" w:rsidP="00CE3680">
      <w:pPr>
        <w:autoSpaceDE w:val="0"/>
        <w:autoSpaceDN w:val="0"/>
        <w:adjustRightInd w:val="0"/>
        <w:spacing w:line="240" w:lineRule="auto"/>
        <w:jc w:val="center"/>
        <w:rPr>
          <w:rFonts w:ascii="Times New Roman" w:hAnsi="Times New Roman"/>
          <w:b/>
          <w:sz w:val="24"/>
          <w:szCs w:val="24"/>
        </w:rPr>
      </w:pPr>
      <w:r>
        <w:rPr>
          <w:rFonts w:ascii="Times New Roman" w:hAnsi="Times New Roman"/>
          <w:b/>
          <w:sz w:val="24"/>
          <w:szCs w:val="24"/>
        </w:rPr>
        <w:t xml:space="preserve">Tabela 1.2 - </w:t>
      </w:r>
      <w:r w:rsidRPr="002E5158">
        <w:rPr>
          <w:rFonts w:ascii="Times New Roman" w:hAnsi="Times New Roman"/>
          <w:b/>
          <w:sz w:val="24"/>
          <w:szCs w:val="24"/>
        </w:rPr>
        <w:t xml:space="preserve">Grupos Temáticos e de Acompanhamento criados </w:t>
      </w:r>
      <w:r>
        <w:rPr>
          <w:rFonts w:ascii="Times New Roman" w:hAnsi="Times New Roman"/>
          <w:b/>
          <w:sz w:val="24"/>
          <w:szCs w:val="24"/>
        </w:rPr>
        <w:t xml:space="preserve">pelo CDES </w:t>
      </w:r>
      <w:r w:rsidRPr="002E5158">
        <w:rPr>
          <w:rFonts w:ascii="Times New Roman" w:hAnsi="Times New Roman"/>
          <w:b/>
          <w:sz w:val="24"/>
          <w:szCs w:val="24"/>
        </w:rPr>
        <w:t>entre 2003 e 2010</w:t>
      </w:r>
      <w:r>
        <w:rPr>
          <w:rStyle w:val="Refdenotaderodap"/>
          <w:rFonts w:ascii="Times New Roman" w:hAnsi="Times New Roman"/>
          <w:b/>
          <w:sz w:val="24"/>
          <w:szCs w:val="24"/>
        </w:rPr>
        <w:footnoteReference w:id="139"/>
      </w:r>
    </w:p>
    <w:tbl>
      <w:tblPr>
        <w:tblW w:w="4877" w:type="pct"/>
        <w:tblInd w:w="108" w:type="dxa"/>
        <w:tblBorders>
          <w:top w:val="single" w:sz="8" w:space="0" w:color="4F81BD"/>
          <w:bottom w:val="single" w:sz="8" w:space="0" w:color="4F81BD"/>
        </w:tblBorders>
        <w:tblLook w:val="04A0"/>
      </w:tblPr>
      <w:tblGrid>
        <w:gridCol w:w="5287"/>
        <w:gridCol w:w="1386"/>
        <w:gridCol w:w="1214"/>
        <w:gridCol w:w="1172"/>
      </w:tblGrid>
      <w:tr w:rsidR="00CE3680" w:rsidRPr="008211FD" w:rsidTr="008211FD">
        <w:trPr>
          <w:trHeight w:val="278"/>
        </w:trPr>
        <w:tc>
          <w:tcPr>
            <w:tcW w:w="2918" w:type="pct"/>
            <w:tcBorders>
              <w:top w:val="single" w:sz="8" w:space="0" w:color="4F81BD"/>
              <w:left w:val="nil"/>
              <w:bottom w:val="single" w:sz="8" w:space="0" w:color="4F81BD"/>
              <w:right w:val="nil"/>
            </w:tcBorders>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Grupos Temáticos e de Acompanhamento</w:t>
            </w:r>
          </w:p>
        </w:tc>
        <w:tc>
          <w:tcPr>
            <w:tcW w:w="765" w:type="pct"/>
            <w:tcBorders>
              <w:top w:val="single" w:sz="8" w:space="0" w:color="4F81BD"/>
              <w:left w:val="nil"/>
              <w:bottom w:val="single" w:sz="8" w:space="0" w:color="4F81BD"/>
              <w:right w:val="nil"/>
            </w:tcBorders>
          </w:tcPr>
          <w:p w:rsidR="00CE3680" w:rsidRPr="008211FD" w:rsidRDefault="00CE3680" w:rsidP="008211FD">
            <w:pPr>
              <w:spacing w:after="0" w:line="240" w:lineRule="auto"/>
              <w:jc w:val="center"/>
              <w:rPr>
                <w:rFonts w:ascii="Times New Roman" w:eastAsia="Times New Roman" w:hAnsi="Times New Roman"/>
                <w:b/>
                <w:bCs/>
                <w:sz w:val="16"/>
                <w:szCs w:val="16"/>
              </w:rPr>
            </w:pPr>
            <w:r w:rsidRPr="008211FD">
              <w:rPr>
                <w:rFonts w:ascii="Times New Roman" w:eastAsia="Times New Roman" w:hAnsi="Times New Roman"/>
                <w:b/>
                <w:bCs/>
                <w:sz w:val="16"/>
                <w:szCs w:val="16"/>
              </w:rPr>
              <w:t>Ano de Criação</w:t>
            </w:r>
          </w:p>
        </w:tc>
        <w:tc>
          <w:tcPr>
            <w:tcW w:w="670" w:type="pct"/>
            <w:tcBorders>
              <w:top w:val="single" w:sz="8" w:space="0" w:color="4F81BD"/>
              <w:left w:val="nil"/>
              <w:bottom w:val="single" w:sz="8" w:space="0" w:color="4F81BD"/>
              <w:right w:val="nil"/>
            </w:tcBorders>
          </w:tcPr>
          <w:p w:rsidR="00CE3680" w:rsidRPr="008211FD" w:rsidRDefault="00CE3680" w:rsidP="008211FD">
            <w:pPr>
              <w:spacing w:after="0" w:line="240" w:lineRule="auto"/>
              <w:jc w:val="center"/>
              <w:rPr>
                <w:rFonts w:ascii="Times New Roman" w:eastAsia="Times New Roman" w:hAnsi="Times New Roman"/>
                <w:b/>
                <w:bCs/>
                <w:sz w:val="16"/>
                <w:szCs w:val="16"/>
              </w:rPr>
            </w:pPr>
            <w:r w:rsidRPr="008211FD">
              <w:rPr>
                <w:rFonts w:ascii="Times New Roman" w:eastAsia="Times New Roman" w:hAnsi="Times New Roman"/>
                <w:b/>
                <w:bCs/>
                <w:sz w:val="16"/>
                <w:szCs w:val="16"/>
              </w:rPr>
              <w:t>Subgrupos</w:t>
            </w:r>
          </w:p>
        </w:tc>
        <w:tc>
          <w:tcPr>
            <w:tcW w:w="647" w:type="pct"/>
            <w:tcBorders>
              <w:top w:val="single" w:sz="8" w:space="0" w:color="4F81BD"/>
              <w:left w:val="nil"/>
              <w:bottom w:val="single" w:sz="8" w:space="0" w:color="4F81BD"/>
              <w:right w:val="nil"/>
            </w:tcBorders>
          </w:tcPr>
          <w:p w:rsidR="00CE3680" w:rsidRPr="008211FD" w:rsidRDefault="00CE3680" w:rsidP="008211FD">
            <w:pPr>
              <w:spacing w:after="0" w:line="240" w:lineRule="auto"/>
              <w:jc w:val="center"/>
              <w:rPr>
                <w:rFonts w:ascii="Times New Roman" w:eastAsia="Times New Roman" w:hAnsi="Times New Roman"/>
                <w:b/>
                <w:bCs/>
                <w:sz w:val="16"/>
                <w:szCs w:val="16"/>
              </w:rPr>
            </w:pPr>
            <w:r w:rsidRPr="008211FD">
              <w:rPr>
                <w:rFonts w:ascii="Times New Roman" w:eastAsia="Times New Roman" w:hAnsi="Times New Roman"/>
                <w:b/>
                <w:bCs/>
                <w:sz w:val="16"/>
                <w:szCs w:val="16"/>
              </w:rPr>
              <w:t>Encontros</w:t>
            </w:r>
          </w:p>
        </w:tc>
      </w:tr>
      <w:tr w:rsidR="00CE3680" w:rsidRPr="008211FD" w:rsidTr="008211FD">
        <w:trPr>
          <w:trHeight w:val="278"/>
        </w:trPr>
        <w:tc>
          <w:tcPr>
            <w:tcW w:w="2918"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Reforma Previdenciária</w:t>
            </w:r>
          </w:p>
        </w:tc>
        <w:tc>
          <w:tcPr>
            <w:tcW w:w="765"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2003</w:t>
            </w:r>
          </w:p>
        </w:tc>
        <w:tc>
          <w:tcPr>
            <w:tcW w:w="670"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4</w:t>
            </w:r>
          </w:p>
        </w:tc>
        <w:tc>
          <w:tcPr>
            <w:tcW w:w="647"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4</w:t>
            </w:r>
          </w:p>
        </w:tc>
      </w:tr>
      <w:tr w:rsidR="00CE3680" w:rsidRPr="008211FD" w:rsidTr="008211FD">
        <w:trPr>
          <w:trHeight w:val="278"/>
        </w:trPr>
        <w:tc>
          <w:tcPr>
            <w:tcW w:w="2918"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Reforma Tributária</w:t>
            </w:r>
          </w:p>
        </w:tc>
        <w:tc>
          <w:tcPr>
            <w:tcW w:w="765"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2003</w:t>
            </w:r>
          </w:p>
        </w:tc>
        <w:tc>
          <w:tcPr>
            <w:tcW w:w="670"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4</w:t>
            </w:r>
          </w:p>
        </w:tc>
        <w:tc>
          <w:tcPr>
            <w:tcW w:w="647"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w:t>
            </w:r>
          </w:p>
        </w:tc>
      </w:tr>
      <w:tr w:rsidR="00CE3680" w:rsidRPr="008211FD" w:rsidTr="008211FD">
        <w:trPr>
          <w:trHeight w:val="278"/>
        </w:trPr>
        <w:tc>
          <w:tcPr>
            <w:tcW w:w="2918" w:type="pct"/>
            <w:tcBorders>
              <w:left w:val="nil"/>
              <w:right w:val="nil"/>
            </w:tcBorders>
            <w:shd w:val="clear" w:color="auto" w:fill="D3DFEE"/>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Reforma Sindical e Trabalhista</w:t>
            </w:r>
          </w:p>
        </w:tc>
        <w:tc>
          <w:tcPr>
            <w:tcW w:w="765"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2003</w:t>
            </w:r>
          </w:p>
        </w:tc>
        <w:tc>
          <w:tcPr>
            <w:tcW w:w="670"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3</w:t>
            </w:r>
          </w:p>
        </w:tc>
        <w:tc>
          <w:tcPr>
            <w:tcW w:w="647" w:type="pct"/>
            <w:tcBorders>
              <w:left w:val="nil"/>
              <w:right w:val="nil"/>
            </w:tcBorders>
            <w:shd w:val="clear" w:color="auto" w:fill="D3DFEE"/>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4</w:t>
            </w:r>
          </w:p>
        </w:tc>
      </w:tr>
      <w:tr w:rsidR="00CE3680" w:rsidRPr="008211FD" w:rsidTr="008211FD">
        <w:trPr>
          <w:trHeight w:val="278"/>
        </w:trPr>
        <w:tc>
          <w:tcPr>
            <w:tcW w:w="2918" w:type="pct"/>
          </w:tcPr>
          <w:p w:rsidR="00CE3680" w:rsidRPr="008211FD" w:rsidRDefault="00CE3680"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Plano Plurianual</w:t>
            </w:r>
          </w:p>
        </w:tc>
        <w:tc>
          <w:tcPr>
            <w:tcW w:w="765"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2003</w:t>
            </w:r>
          </w:p>
        </w:tc>
        <w:tc>
          <w:tcPr>
            <w:tcW w:w="670"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w:t>
            </w:r>
          </w:p>
        </w:tc>
        <w:tc>
          <w:tcPr>
            <w:tcW w:w="647" w:type="pct"/>
          </w:tcPr>
          <w:p w:rsidR="00CE3680" w:rsidRPr="008211FD" w:rsidRDefault="00CE3680"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w:t>
            </w:r>
          </w:p>
        </w:tc>
      </w:tr>
      <w:tr w:rsidR="00DF483B" w:rsidRPr="008211FD" w:rsidTr="008211FD">
        <w:trPr>
          <w:trHeight w:val="278"/>
        </w:trPr>
        <w:tc>
          <w:tcPr>
            <w:tcW w:w="2918" w:type="pct"/>
            <w:tcBorders>
              <w:left w:val="nil"/>
              <w:right w:val="nil"/>
            </w:tcBorders>
            <w:shd w:val="clear" w:color="auto" w:fill="D3DFEE"/>
          </w:tcPr>
          <w:p w:rsidR="00DF483B" w:rsidRPr="008211FD" w:rsidRDefault="00DF483B"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Programa Primeiro Emprego</w:t>
            </w:r>
          </w:p>
        </w:tc>
        <w:tc>
          <w:tcPr>
            <w:tcW w:w="765"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2003</w:t>
            </w:r>
          </w:p>
        </w:tc>
        <w:tc>
          <w:tcPr>
            <w:tcW w:w="670"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w:t>
            </w:r>
          </w:p>
        </w:tc>
        <w:tc>
          <w:tcPr>
            <w:tcW w:w="647"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w:t>
            </w:r>
          </w:p>
        </w:tc>
      </w:tr>
      <w:tr w:rsidR="00DF483B" w:rsidRPr="008211FD" w:rsidTr="008211FD">
        <w:trPr>
          <w:trHeight w:val="278"/>
        </w:trPr>
        <w:tc>
          <w:tcPr>
            <w:tcW w:w="2918" w:type="pct"/>
          </w:tcPr>
          <w:p w:rsidR="00DF483B" w:rsidRPr="008211FD" w:rsidRDefault="00DF483B"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Grupo de Acompanhamento de Conjuntura Econômica</w:t>
            </w:r>
          </w:p>
        </w:tc>
        <w:tc>
          <w:tcPr>
            <w:tcW w:w="765"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2003</w:t>
            </w:r>
          </w:p>
        </w:tc>
        <w:tc>
          <w:tcPr>
            <w:tcW w:w="670"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1-2</w:t>
            </w:r>
          </w:p>
        </w:tc>
        <w:tc>
          <w:tcPr>
            <w:tcW w:w="647"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3-5</w:t>
            </w:r>
          </w:p>
        </w:tc>
      </w:tr>
      <w:tr w:rsidR="00DF483B" w:rsidRPr="008211FD" w:rsidTr="008211FD">
        <w:trPr>
          <w:trHeight w:val="278"/>
        </w:trPr>
        <w:tc>
          <w:tcPr>
            <w:tcW w:w="2918" w:type="pct"/>
            <w:tcBorders>
              <w:left w:val="nil"/>
              <w:right w:val="nil"/>
            </w:tcBorders>
            <w:shd w:val="clear" w:color="auto" w:fill="D3DFEE"/>
          </w:tcPr>
          <w:p w:rsidR="00DF483B" w:rsidRPr="008211FD" w:rsidRDefault="00DF483B"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Fundamentos Estratégicos para o Desenvolvimento</w:t>
            </w:r>
          </w:p>
        </w:tc>
        <w:tc>
          <w:tcPr>
            <w:tcW w:w="765"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2003</w:t>
            </w:r>
          </w:p>
        </w:tc>
        <w:tc>
          <w:tcPr>
            <w:tcW w:w="670"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3</w:t>
            </w:r>
          </w:p>
        </w:tc>
        <w:tc>
          <w:tcPr>
            <w:tcW w:w="647"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9</w:t>
            </w:r>
          </w:p>
        </w:tc>
      </w:tr>
      <w:tr w:rsidR="00DF483B" w:rsidRPr="008211FD" w:rsidTr="008211FD">
        <w:trPr>
          <w:trHeight w:val="278"/>
        </w:trPr>
        <w:tc>
          <w:tcPr>
            <w:tcW w:w="2918" w:type="pct"/>
          </w:tcPr>
          <w:p w:rsidR="00DF483B" w:rsidRPr="008211FD" w:rsidRDefault="00DF483B"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Micro e Pequena Empresa, Informalidade e Autogestão</w:t>
            </w:r>
          </w:p>
        </w:tc>
        <w:tc>
          <w:tcPr>
            <w:tcW w:w="765"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2003</w:t>
            </w:r>
          </w:p>
        </w:tc>
        <w:tc>
          <w:tcPr>
            <w:tcW w:w="670"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w:t>
            </w:r>
          </w:p>
        </w:tc>
        <w:tc>
          <w:tcPr>
            <w:tcW w:w="647"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6</w:t>
            </w:r>
          </w:p>
        </w:tc>
      </w:tr>
      <w:tr w:rsidR="00DF483B" w:rsidRPr="008211FD" w:rsidTr="008211FD">
        <w:trPr>
          <w:trHeight w:val="278"/>
        </w:trPr>
        <w:tc>
          <w:tcPr>
            <w:tcW w:w="2918" w:type="pct"/>
            <w:tcBorders>
              <w:left w:val="nil"/>
              <w:right w:val="nil"/>
            </w:tcBorders>
            <w:shd w:val="clear" w:color="auto" w:fill="D3DFEE"/>
          </w:tcPr>
          <w:p w:rsidR="00DF483B" w:rsidRPr="008211FD" w:rsidRDefault="00DF483B"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Grupo de Acompanhamento de Políticas Sociais</w:t>
            </w:r>
          </w:p>
        </w:tc>
        <w:tc>
          <w:tcPr>
            <w:tcW w:w="765"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2004</w:t>
            </w:r>
          </w:p>
        </w:tc>
        <w:tc>
          <w:tcPr>
            <w:tcW w:w="670"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w:t>
            </w:r>
          </w:p>
        </w:tc>
        <w:tc>
          <w:tcPr>
            <w:tcW w:w="647"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3</w:t>
            </w:r>
          </w:p>
        </w:tc>
      </w:tr>
      <w:tr w:rsidR="00DF483B" w:rsidRPr="008211FD" w:rsidTr="008211FD">
        <w:trPr>
          <w:trHeight w:val="278"/>
        </w:trPr>
        <w:tc>
          <w:tcPr>
            <w:tcW w:w="2918" w:type="pct"/>
          </w:tcPr>
          <w:p w:rsidR="00DF483B" w:rsidRPr="008211FD" w:rsidRDefault="00DF483B"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Plano Nacional de Logística e Transportes</w:t>
            </w:r>
          </w:p>
        </w:tc>
        <w:tc>
          <w:tcPr>
            <w:tcW w:w="765"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2006</w:t>
            </w:r>
          </w:p>
        </w:tc>
        <w:tc>
          <w:tcPr>
            <w:tcW w:w="670"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w:t>
            </w:r>
          </w:p>
        </w:tc>
        <w:tc>
          <w:tcPr>
            <w:tcW w:w="647"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w:t>
            </w:r>
          </w:p>
        </w:tc>
      </w:tr>
      <w:tr w:rsidR="00DF483B" w:rsidRPr="008211FD" w:rsidTr="008211FD">
        <w:trPr>
          <w:trHeight w:val="278"/>
        </w:trPr>
        <w:tc>
          <w:tcPr>
            <w:tcW w:w="2918" w:type="pct"/>
            <w:tcBorders>
              <w:left w:val="nil"/>
              <w:right w:val="nil"/>
            </w:tcBorders>
            <w:shd w:val="clear" w:color="auto" w:fill="D3DFEE"/>
          </w:tcPr>
          <w:p w:rsidR="00DF483B" w:rsidRPr="008211FD" w:rsidRDefault="00DF483B"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 xml:space="preserve">Reforma Política </w:t>
            </w:r>
          </w:p>
        </w:tc>
        <w:tc>
          <w:tcPr>
            <w:tcW w:w="765"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2006</w:t>
            </w:r>
          </w:p>
        </w:tc>
        <w:tc>
          <w:tcPr>
            <w:tcW w:w="670"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w:t>
            </w:r>
          </w:p>
        </w:tc>
        <w:tc>
          <w:tcPr>
            <w:tcW w:w="647"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2-3</w:t>
            </w:r>
          </w:p>
        </w:tc>
      </w:tr>
      <w:tr w:rsidR="00DF483B" w:rsidRPr="008211FD" w:rsidTr="008211FD">
        <w:trPr>
          <w:trHeight w:val="278"/>
        </w:trPr>
        <w:tc>
          <w:tcPr>
            <w:tcW w:w="2918" w:type="pct"/>
          </w:tcPr>
          <w:p w:rsidR="00DF483B" w:rsidRPr="008211FD" w:rsidRDefault="00DF483B"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Agenda de Infraestrutura para o Desenvolvimento</w:t>
            </w:r>
          </w:p>
        </w:tc>
        <w:tc>
          <w:tcPr>
            <w:tcW w:w="765"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2006</w:t>
            </w:r>
          </w:p>
        </w:tc>
        <w:tc>
          <w:tcPr>
            <w:tcW w:w="670"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5</w:t>
            </w:r>
          </w:p>
        </w:tc>
        <w:tc>
          <w:tcPr>
            <w:tcW w:w="647"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25</w:t>
            </w:r>
          </w:p>
        </w:tc>
      </w:tr>
      <w:tr w:rsidR="00DF483B" w:rsidRPr="008211FD" w:rsidTr="008211FD">
        <w:trPr>
          <w:trHeight w:val="278"/>
        </w:trPr>
        <w:tc>
          <w:tcPr>
            <w:tcW w:w="2918" w:type="pct"/>
            <w:tcBorders>
              <w:left w:val="nil"/>
              <w:right w:val="nil"/>
            </w:tcBorders>
            <w:shd w:val="clear" w:color="auto" w:fill="D3DFEE"/>
          </w:tcPr>
          <w:p w:rsidR="00DF483B" w:rsidRPr="008211FD" w:rsidRDefault="00DF483B"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Avaliação do CDES</w:t>
            </w:r>
          </w:p>
        </w:tc>
        <w:tc>
          <w:tcPr>
            <w:tcW w:w="765"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2006</w:t>
            </w:r>
          </w:p>
        </w:tc>
        <w:tc>
          <w:tcPr>
            <w:tcW w:w="670"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w:t>
            </w:r>
          </w:p>
        </w:tc>
        <w:tc>
          <w:tcPr>
            <w:tcW w:w="647"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w:t>
            </w:r>
          </w:p>
        </w:tc>
      </w:tr>
      <w:tr w:rsidR="00DF483B" w:rsidRPr="008211FD" w:rsidTr="008211FD">
        <w:trPr>
          <w:trHeight w:val="278"/>
        </w:trPr>
        <w:tc>
          <w:tcPr>
            <w:tcW w:w="2918" w:type="pct"/>
          </w:tcPr>
          <w:p w:rsidR="00DF483B" w:rsidRPr="008211FD" w:rsidRDefault="00DF483B"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Reforma Tributária 2007</w:t>
            </w:r>
          </w:p>
        </w:tc>
        <w:tc>
          <w:tcPr>
            <w:tcW w:w="765"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2007</w:t>
            </w:r>
          </w:p>
        </w:tc>
        <w:tc>
          <w:tcPr>
            <w:tcW w:w="670"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w:t>
            </w:r>
          </w:p>
        </w:tc>
        <w:tc>
          <w:tcPr>
            <w:tcW w:w="647"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10</w:t>
            </w:r>
          </w:p>
        </w:tc>
      </w:tr>
      <w:tr w:rsidR="00DF483B" w:rsidRPr="008211FD" w:rsidTr="008211FD">
        <w:trPr>
          <w:trHeight w:val="278"/>
        </w:trPr>
        <w:tc>
          <w:tcPr>
            <w:tcW w:w="2918" w:type="pct"/>
            <w:tcBorders>
              <w:left w:val="nil"/>
              <w:right w:val="nil"/>
            </w:tcBorders>
            <w:shd w:val="clear" w:color="auto" w:fill="D3DFEE"/>
          </w:tcPr>
          <w:p w:rsidR="00DF483B" w:rsidRPr="008211FD" w:rsidRDefault="00DF483B"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Bioenergia: Etanol, Bioeletricidade e Biodiesel</w:t>
            </w:r>
          </w:p>
        </w:tc>
        <w:tc>
          <w:tcPr>
            <w:tcW w:w="765"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2007</w:t>
            </w:r>
          </w:p>
        </w:tc>
        <w:tc>
          <w:tcPr>
            <w:tcW w:w="670"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7</w:t>
            </w:r>
          </w:p>
        </w:tc>
        <w:tc>
          <w:tcPr>
            <w:tcW w:w="647"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w:t>
            </w:r>
          </w:p>
        </w:tc>
      </w:tr>
      <w:tr w:rsidR="00DF483B" w:rsidRPr="008211FD" w:rsidTr="008211FD">
        <w:trPr>
          <w:trHeight w:val="278"/>
        </w:trPr>
        <w:tc>
          <w:tcPr>
            <w:tcW w:w="2918" w:type="pct"/>
          </w:tcPr>
          <w:p w:rsidR="00DF483B" w:rsidRPr="008211FD" w:rsidRDefault="00DF483B"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Comitê Gestor do CDES</w:t>
            </w:r>
          </w:p>
        </w:tc>
        <w:tc>
          <w:tcPr>
            <w:tcW w:w="765"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2008</w:t>
            </w:r>
          </w:p>
        </w:tc>
        <w:tc>
          <w:tcPr>
            <w:tcW w:w="670"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w:t>
            </w:r>
          </w:p>
        </w:tc>
        <w:tc>
          <w:tcPr>
            <w:tcW w:w="647"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16</w:t>
            </w:r>
          </w:p>
        </w:tc>
      </w:tr>
      <w:tr w:rsidR="00DF483B" w:rsidRPr="008211FD" w:rsidTr="008211FD">
        <w:trPr>
          <w:trHeight w:val="278"/>
        </w:trPr>
        <w:tc>
          <w:tcPr>
            <w:tcW w:w="2918" w:type="pct"/>
            <w:tcBorders>
              <w:left w:val="nil"/>
              <w:right w:val="nil"/>
            </w:tcBorders>
            <w:shd w:val="clear" w:color="auto" w:fill="D3DFEE"/>
          </w:tcPr>
          <w:p w:rsidR="00DF483B" w:rsidRPr="008211FD" w:rsidRDefault="00DF483B"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Educação Profissional, Técnica e Tecnológica</w:t>
            </w:r>
          </w:p>
        </w:tc>
        <w:tc>
          <w:tcPr>
            <w:tcW w:w="765"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2008</w:t>
            </w:r>
          </w:p>
        </w:tc>
        <w:tc>
          <w:tcPr>
            <w:tcW w:w="670"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w:t>
            </w:r>
          </w:p>
        </w:tc>
        <w:tc>
          <w:tcPr>
            <w:tcW w:w="647"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5</w:t>
            </w:r>
          </w:p>
        </w:tc>
      </w:tr>
      <w:tr w:rsidR="00DF483B" w:rsidRPr="008211FD" w:rsidTr="008211FD">
        <w:trPr>
          <w:trHeight w:val="278"/>
        </w:trPr>
        <w:tc>
          <w:tcPr>
            <w:tcW w:w="2918" w:type="pct"/>
          </w:tcPr>
          <w:p w:rsidR="00DF483B" w:rsidRPr="008211FD" w:rsidRDefault="00DF483B"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Matriz Energética</w:t>
            </w:r>
          </w:p>
        </w:tc>
        <w:tc>
          <w:tcPr>
            <w:tcW w:w="765"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2009</w:t>
            </w:r>
          </w:p>
        </w:tc>
        <w:tc>
          <w:tcPr>
            <w:tcW w:w="670"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w:t>
            </w:r>
          </w:p>
        </w:tc>
        <w:tc>
          <w:tcPr>
            <w:tcW w:w="647"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w:t>
            </w:r>
          </w:p>
        </w:tc>
      </w:tr>
      <w:tr w:rsidR="00DF483B" w:rsidRPr="008211FD" w:rsidTr="008211FD">
        <w:trPr>
          <w:trHeight w:val="278"/>
        </w:trPr>
        <w:tc>
          <w:tcPr>
            <w:tcW w:w="2918" w:type="pct"/>
            <w:tcBorders>
              <w:left w:val="nil"/>
              <w:right w:val="nil"/>
            </w:tcBorders>
            <w:shd w:val="clear" w:color="auto" w:fill="D3DFEE"/>
          </w:tcPr>
          <w:p w:rsidR="00DF483B" w:rsidRPr="008211FD" w:rsidRDefault="00DF483B"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Ciência, Tecnologia e Inovação</w:t>
            </w:r>
          </w:p>
        </w:tc>
        <w:tc>
          <w:tcPr>
            <w:tcW w:w="765"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w:t>
            </w:r>
          </w:p>
        </w:tc>
        <w:tc>
          <w:tcPr>
            <w:tcW w:w="670"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w:t>
            </w:r>
          </w:p>
        </w:tc>
        <w:tc>
          <w:tcPr>
            <w:tcW w:w="647" w:type="pct"/>
            <w:tcBorders>
              <w:left w:val="nil"/>
              <w:right w:val="nil"/>
            </w:tcBorders>
            <w:shd w:val="clear" w:color="auto" w:fill="D3DFEE"/>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5</w:t>
            </w:r>
          </w:p>
        </w:tc>
      </w:tr>
      <w:tr w:rsidR="00DF483B" w:rsidRPr="008211FD" w:rsidTr="008211FD">
        <w:trPr>
          <w:trHeight w:val="278"/>
        </w:trPr>
        <w:tc>
          <w:tcPr>
            <w:tcW w:w="2918" w:type="pct"/>
          </w:tcPr>
          <w:p w:rsidR="00DF483B" w:rsidRPr="008211FD" w:rsidRDefault="00DF483B"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Grandes Eventos Esportivos</w:t>
            </w:r>
          </w:p>
        </w:tc>
        <w:tc>
          <w:tcPr>
            <w:tcW w:w="765"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2010</w:t>
            </w:r>
          </w:p>
        </w:tc>
        <w:tc>
          <w:tcPr>
            <w:tcW w:w="670"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4</w:t>
            </w:r>
          </w:p>
        </w:tc>
        <w:tc>
          <w:tcPr>
            <w:tcW w:w="647" w:type="pct"/>
          </w:tcPr>
          <w:p w:rsidR="00DF483B" w:rsidRPr="008211FD" w:rsidRDefault="00DF483B" w:rsidP="008211FD">
            <w:pPr>
              <w:spacing w:after="0" w:line="240" w:lineRule="auto"/>
              <w:jc w:val="center"/>
              <w:rPr>
                <w:rFonts w:ascii="Times New Roman" w:eastAsia="Times New Roman" w:hAnsi="Times New Roman"/>
                <w:sz w:val="16"/>
                <w:szCs w:val="16"/>
              </w:rPr>
            </w:pPr>
            <w:r w:rsidRPr="008211FD">
              <w:rPr>
                <w:rFonts w:ascii="Times New Roman" w:eastAsia="Times New Roman" w:hAnsi="Times New Roman"/>
                <w:sz w:val="16"/>
                <w:szCs w:val="16"/>
              </w:rPr>
              <w:t>1</w:t>
            </w:r>
          </w:p>
        </w:tc>
      </w:tr>
    </w:tbl>
    <w:p w:rsidR="00CE3680" w:rsidRPr="005A101C" w:rsidRDefault="005A101C" w:rsidP="00CE3680">
      <w:pPr>
        <w:autoSpaceDE w:val="0"/>
        <w:autoSpaceDN w:val="0"/>
        <w:adjustRightInd w:val="0"/>
        <w:spacing w:after="0" w:line="240" w:lineRule="auto"/>
        <w:rPr>
          <w:rFonts w:ascii="Times New Roman" w:hAnsi="Times New Roman"/>
          <w:sz w:val="18"/>
          <w:szCs w:val="18"/>
        </w:rPr>
      </w:pPr>
      <w:r>
        <w:rPr>
          <w:rFonts w:ascii="Times New Roman" w:hAnsi="Times New Roman"/>
          <w:b/>
          <w:sz w:val="18"/>
          <w:szCs w:val="18"/>
        </w:rPr>
        <w:t>Elaboração própria.</w:t>
      </w:r>
    </w:p>
    <w:p w:rsidR="00182A15" w:rsidRPr="00094D22" w:rsidRDefault="00FF274B" w:rsidP="00011C6A">
      <w:pPr>
        <w:spacing w:before="240" w:after="0" w:line="360" w:lineRule="auto"/>
        <w:jc w:val="both"/>
        <w:rPr>
          <w:rFonts w:ascii="Times New Roman" w:hAnsi="Times New Roman"/>
          <w:sz w:val="24"/>
          <w:szCs w:val="24"/>
        </w:rPr>
      </w:pPr>
      <w:r>
        <w:rPr>
          <w:rFonts w:ascii="Times New Roman" w:hAnsi="Times New Roman"/>
          <w:b/>
          <w:color w:val="FF0000"/>
          <w:sz w:val="24"/>
          <w:szCs w:val="24"/>
        </w:rPr>
        <w:tab/>
      </w:r>
      <w:r w:rsidR="006D7499" w:rsidRPr="00094D22">
        <w:rPr>
          <w:rFonts w:ascii="Times New Roman" w:hAnsi="Times New Roman"/>
          <w:sz w:val="24"/>
          <w:szCs w:val="24"/>
        </w:rPr>
        <w:t>Salta aos olhos que os Grupos Temáticos inaugurados durante o período prioriza</w:t>
      </w:r>
      <w:r w:rsidR="00315645" w:rsidRPr="00094D22">
        <w:rPr>
          <w:rFonts w:ascii="Times New Roman" w:hAnsi="Times New Roman"/>
          <w:sz w:val="24"/>
          <w:szCs w:val="24"/>
        </w:rPr>
        <w:t>va</w:t>
      </w:r>
      <w:r w:rsidR="006D7499" w:rsidRPr="00094D22">
        <w:rPr>
          <w:rFonts w:ascii="Times New Roman" w:hAnsi="Times New Roman"/>
          <w:sz w:val="24"/>
          <w:szCs w:val="24"/>
        </w:rPr>
        <w:t>m de forma cabal as questões das políticas econômicas do governo</w:t>
      </w:r>
      <w:r w:rsidR="00315645" w:rsidRPr="00094D22">
        <w:rPr>
          <w:rFonts w:ascii="Times New Roman" w:hAnsi="Times New Roman"/>
          <w:sz w:val="24"/>
          <w:szCs w:val="24"/>
        </w:rPr>
        <w:t xml:space="preserve"> e as pautas trazidas pelo grande capital</w:t>
      </w:r>
      <w:r w:rsidR="006D7499" w:rsidRPr="00094D22">
        <w:rPr>
          <w:rFonts w:ascii="Times New Roman" w:hAnsi="Times New Roman"/>
          <w:sz w:val="24"/>
          <w:szCs w:val="24"/>
        </w:rPr>
        <w:t>. Os GT’s que se dedicavam ao debate sobre Fundamentos Estratégicos para o Desenvolvimento, Agenda de Infraestrutura para o Desenvolvimento, Reforma Tributária, Bioenergia: Etanol, Bioeletricidade e Biodiesel e Matriz Energética (este foi uma continuidade daquele, nas condições inauguradas pelo debate sobre o pré-sal</w:t>
      </w:r>
      <w:r w:rsidR="00DF483B" w:rsidRPr="00094D22">
        <w:rPr>
          <w:rFonts w:ascii="Times New Roman" w:hAnsi="Times New Roman"/>
          <w:sz w:val="24"/>
          <w:szCs w:val="24"/>
        </w:rPr>
        <w:t xml:space="preserve"> e do etanol</w:t>
      </w:r>
      <w:r w:rsidR="006D7499" w:rsidRPr="00094D22">
        <w:rPr>
          <w:rFonts w:ascii="Times New Roman" w:hAnsi="Times New Roman"/>
          <w:sz w:val="24"/>
          <w:szCs w:val="24"/>
        </w:rPr>
        <w:t xml:space="preserve">), apresentaram maior número de encontros, principalmente a partir do segundo mandato de Lula da Silva. </w:t>
      </w:r>
      <w:r w:rsidR="00DF483B" w:rsidRPr="00094D22">
        <w:rPr>
          <w:rFonts w:ascii="Times New Roman" w:hAnsi="Times New Roman"/>
          <w:sz w:val="24"/>
          <w:szCs w:val="24"/>
        </w:rPr>
        <w:t xml:space="preserve">Expressavam grandes pautas empresariais no CDES, que também se evidenciavam nos GT’s sobre Educação Profissional, Técnica e Tecnológica, sobre Ciência, Tecnologia e Inovação e sobre Grandes Eventos Esportivos.  </w:t>
      </w:r>
      <w:r w:rsidR="00001820" w:rsidRPr="00094D22">
        <w:rPr>
          <w:rFonts w:ascii="Times New Roman" w:hAnsi="Times New Roman"/>
          <w:sz w:val="24"/>
          <w:szCs w:val="24"/>
        </w:rPr>
        <w:t>Parte dos</w:t>
      </w:r>
      <w:r w:rsidR="00DF483B" w:rsidRPr="00094D22">
        <w:rPr>
          <w:rFonts w:ascii="Times New Roman" w:hAnsi="Times New Roman"/>
          <w:sz w:val="24"/>
          <w:szCs w:val="24"/>
        </w:rPr>
        <w:t xml:space="preserve"> GT’s inaugurados em 2003</w:t>
      </w:r>
      <w:r w:rsidR="00001820" w:rsidRPr="00094D22">
        <w:rPr>
          <w:rFonts w:ascii="Times New Roman" w:hAnsi="Times New Roman"/>
          <w:sz w:val="24"/>
          <w:szCs w:val="24"/>
        </w:rPr>
        <w:t xml:space="preserve"> sobrevinha das </w:t>
      </w:r>
      <w:r w:rsidR="00DF483B" w:rsidRPr="00094D22">
        <w:rPr>
          <w:rFonts w:ascii="Times New Roman" w:hAnsi="Times New Roman"/>
          <w:sz w:val="24"/>
          <w:szCs w:val="24"/>
        </w:rPr>
        <w:t xml:space="preserve"> exigências do governo</w:t>
      </w:r>
      <w:r w:rsidR="00001820" w:rsidRPr="00094D22">
        <w:rPr>
          <w:rFonts w:ascii="Times New Roman" w:hAnsi="Times New Roman"/>
          <w:sz w:val="24"/>
          <w:szCs w:val="24"/>
        </w:rPr>
        <w:t xml:space="preserve">, por ocasião das contrarreformas, de programas e planos de ação. </w:t>
      </w:r>
    </w:p>
    <w:p w:rsidR="00D50583" w:rsidRPr="00094D22" w:rsidRDefault="00B176C3" w:rsidP="00D50583">
      <w:pPr>
        <w:spacing w:after="0" w:line="360" w:lineRule="auto"/>
        <w:ind w:firstLine="708"/>
        <w:jc w:val="both"/>
        <w:rPr>
          <w:rFonts w:ascii="Times New Roman" w:hAnsi="Times New Roman"/>
          <w:sz w:val="24"/>
          <w:szCs w:val="24"/>
        </w:rPr>
      </w:pPr>
      <w:r w:rsidRPr="00094D22">
        <w:rPr>
          <w:rFonts w:ascii="Times New Roman" w:hAnsi="Times New Roman"/>
          <w:sz w:val="24"/>
          <w:szCs w:val="24"/>
        </w:rPr>
        <w:t>A rigor, com algum grau de conivência,</w:t>
      </w:r>
      <w:r w:rsidR="00001820" w:rsidRPr="00094D22">
        <w:rPr>
          <w:rFonts w:ascii="Times New Roman" w:hAnsi="Times New Roman"/>
          <w:sz w:val="24"/>
          <w:szCs w:val="24"/>
        </w:rPr>
        <w:t xml:space="preserve"> somente</w:t>
      </w:r>
      <w:r w:rsidR="000503BF" w:rsidRPr="00094D22">
        <w:rPr>
          <w:rFonts w:ascii="Times New Roman" w:hAnsi="Times New Roman"/>
          <w:sz w:val="24"/>
          <w:szCs w:val="24"/>
        </w:rPr>
        <w:t>o</w:t>
      </w:r>
      <w:r w:rsidR="006D7499" w:rsidRPr="00094D22">
        <w:rPr>
          <w:rFonts w:ascii="Times New Roman" w:hAnsi="Times New Roman"/>
          <w:sz w:val="24"/>
          <w:szCs w:val="24"/>
        </w:rPr>
        <w:t>GT</w:t>
      </w:r>
      <w:r w:rsidRPr="00094D22">
        <w:rPr>
          <w:rFonts w:ascii="Times New Roman" w:hAnsi="Times New Roman"/>
          <w:sz w:val="24"/>
          <w:szCs w:val="24"/>
        </w:rPr>
        <w:t xml:space="preserve"> Primeiro Emprego (com 1 encontro) e o Grupo de Acompanhamento de Políticas Sociais (</w:t>
      </w:r>
      <w:r w:rsidR="000503BF" w:rsidRPr="00094D22">
        <w:rPr>
          <w:rFonts w:ascii="Times New Roman" w:hAnsi="Times New Roman"/>
          <w:sz w:val="24"/>
          <w:szCs w:val="24"/>
        </w:rPr>
        <w:t xml:space="preserve">com </w:t>
      </w:r>
      <w:r w:rsidRPr="00094D22">
        <w:rPr>
          <w:rFonts w:ascii="Times New Roman" w:hAnsi="Times New Roman"/>
          <w:sz w:val="24"/>
          <w:szCs w:val="24"/>
        </w:rPr>
        <w:t>3 encontros)</w:t>
      </w:r>
      <w:r w:rsidR="00182A15" w:rsidRPr="00094D22">
        <w:rPr>
          <w:rFonts w:ascii="Times New Roman" w:hAnsi="Times New Roman"/>
          <w:sz w:val="24"/>
          <w:szCs w:val="24"/>
        </w:rPr>
        <w:t>se aproximava</w:t>
      </w:r>
      <w:r w:rsidR="000503BF" w:rsidRPr="00094D22">
        <w:rPr>
          <w:rFonts w:ascii="Times New Roman" w:hAnsi="Times New Roman"/>
          <w:sz w:val="24"/>
          <w:szCs w:val="24"/>
        </w:rPr>
        <w:t>m das pautas populares</w:t>
      </w:r>
      <w:r w:rsidR="00362EFD" w:rsidRPr="00094D22">
        <w:rPr>
          <w:rFonts w:ascii="Times New Roman" w:hAnsi="Times New Roman"/>
          <w:sz w:val="24"/>
          <w:szCs w:val="24"/>
        </w:rPr>
        <w:t>, mas, quanto ao primeiro, completamente re</w:t>
      </w:r>
      <w:r w:rsidR="004F3993">
        <w:rPr>
          <w:rFonts w:ascii="Times New Roman" w:hAnsi="Times New Roman"/>
          <w:sz w:val="24"/>
          <w:szCs w:val="24"/>
        </w:rPr>
        <w:t>s</w:t>
      </w:r>
      <w:r w:rsidR="00362EFD" w:rsidRPr="00094D22">
        <w:rPr>
          <w:rFonts w:ascii="Times New Roman" w:hAnsi="Times New Roman"/>
          <w:sz w:val="24"/>
          <w:szCs w:val="24"/>
        </w:rPr>
        <w:t>significadas.</w:t>
      </w:r>
      <w:r w:rsidR="00362EFD" w:rsidRPr="00094D22">
        <w:rPr>
          <w:rStyle w:val="Refdenotaderodap"/>
          <w:rFonts w:ascii="Times New Roman" w:hAnsi="Times New Roman"/>
          <w:sz w:val="24"/>
          <w:szCs w:val="24"/>
        </w:rPr>
        <w:footnoteReference w:id="140"/>
      </w:r>
      <w:r w:rsidR="00182A15" w:rsidRPr="00094D22">
        <w:rPr>
          <w:rFonts w:ascii="Times New Roman" w:hAnsi="Times New Roman"/>
          <w:sz w:val="24"/>
          <w:szCs w:val="24"/>
        </w:rPr>
        <w:t>Não h</w:t>
      </w:r>
      <w:r w:rsidR="00001820" w:rsidRPr="00094D22">
        <w:rPr>
          <w:rFonts w:ascii="Times New Roman" w:hAnsi="Times New Roman"/>
          <w:sz w:val="24"/>
          <w:szCs w:val="24"/>
        </w:rPr>
        <w:t>avia</w:t>
      </w:r>
      <w:r w:rsidR="00182A15" w:rsidRPr="00094D22">
        <w:rPr>
          <w:rFonts w:ascii="Times New Roman" w:hAnsi="Times New Roman"/>
          <w:sz w:val="24"/>
          <w:szCs w:val="24"/>
        </w:rPr>
        <w:t xml:space="preserve"> GT’s que se propunham</w:t>
      </w:r>
      <w:r w:rsidR="00001820" w:rsidRPr="00094D22">
        <w:rPr>
          <w:rFonts w:ascii="Times New Roman" w:hAnsi="Times New Roman"/>
          <w:sz w:val="24"/>
          <w:szCs w:val="24"/>
        </w:rPr>
        <w:t>discutir temas que reportassem a</w:t>
      </w:r>
      <w:r w:rsidR="00236EC2" w:rsidRPr="00094D22">
        <w:rPr>
          <w:rFonts w:ascii="Times New Roman" w:hAnsi="Times New Roman"/>
          <w:sz w:val="24"/>
          <w:szCs w:val="24"/>
        </w:rPr>
        <w:t xml:space="preserve"> pautas </w:t>
      </w:r>
      <w:r w:rsidR="002159B1" w:rsidRPr="00094D22">
        <w:rPr>
          <w:rFonts w:ascii="Times New Roman" w:hAnsi="Times New Roman"/>
          <w:sz w:val="24"/>
          <w:szCs w:val="24"/>
        </w:rPr>
        <w:t xml:space="preserve">e bandeiras </w:t>
      </w:r>
      <w:r w:rsidR="00236EC2" w:rsidRPr="00094D22">
        <w:rPr>
          <w:rFonts w:ascii="Times New Roman" w:hAnsi="Times New Roman"/>
          <w:sz w:val="24"/>
          <w:szCs w:val="24"/>
        </w:rPr>
        <w:t>históricas dos setores populares: reforma agrária, reforma habitacional, saúde, educação e transporte público,</w:t>
      </w:r>
      <w:r w:rsidR="002159B1" w:rsidRPr="00094D22">
        <w:rPr>
          <w:rFonts w:ascii="Times New Roman" w:hAnsi="Times New Roman"/>
          <w:sz w:val="24"/>
          <w:szCs w:val="24"/>
        </w:rPr>
        <w:t xml:space="preserve"> direitos humanos, democratização da grande mídia, dentre outras.</w:t>
      </w:r>
    </w:p>
    <w:p w:rsidR="008B43EF" w:rsidRDefault="008B43EF" w:rsidP="00CE3680">
      <w:pPr>
        <w:rPr>
          <w:rFonts w:ascii="Times New Roman" w:hAnsi="Times New Roman"/>
          <w:b/>
          <w:sz w:val="24"/>
          <w:szCs w:val="24"/>
        </w:rPr>
      </w:pPr>
    </w:p>
    <w:p w:rsidR="00CE3680" w:rsidRPr="00190945" w:rsidRDefault="00CE3680" w:rsidP="00CE3680">
      <w:pPr>
        <w:rPr>
          <w:rFonts w:ascii="Times New Roman" w:hAnsi="Times New Roman"/>
          <w:b/>
          <w:sz w:val="24"/>
          <w:szCs w:val="24"/>
        </w:rPr>
      </w:pPr>
      <w:r>
        <w:rPr>
          <w:rFonts w:ascii="Times New Roman" w:hAnsi="Times New Roman"/>
          <w:b/>
          <w:sz w:val="24"/>
          <w:szCs w:val="24"/>
        </w:rPr>
        <w:t>1.5</w:t>
      </w:r>
      <w:r w:rsidRPr="00190945">
        <w:rPr>
          <w:rFonts w:ascii="Times New Roman" w:hAnsi="Times New Roman"/>
          <w:b/>
          <w:sz w:val="24"/>
          <w:szCs w:val="24"/>
        </w:rPr>
        <w:t xml:space="preserve"> - O Observatório da Equidade</w:t>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Outra instância que fazia (e faz) parte da estrutura do CDES era o Observatório da Equidade. Sua constituição foi aprovada na 16ª Reunião Plenária, em março de 2006. Entretanto, a proposta original de criação de um “Observatório Brasileiro da Desigualdade” surgiu por intervenção e influência direta do conselheiro-empresário</w:t>
      </w:r>
      <w:r w:rsidR="00EA6C56">
        <w:rPr>
          <w:rStyle w:val="Refdenotaderodap"/>
          <w:rFonts w:ascii="Times New Roman" w:hAnsi="Times New Roman"/>
          <w:sz w:val="24"/>
          <w:szCs w:val="24"/>
        </w:rPr>
        <w:footnoteReference w:id="141"/>
      </w:r>
      <w:r>
        <w:rPr>
          <w:rFonts w:ascii="Times New Roman" w:hAnsi="Times New Roman"/>
          <w:sz w:val="24"/>
          <w:szCs w:val="24"/>
        </w:rPr>
        <w:t xml:space="preserve"> Oded Grajew, ain</w:t>
      </w:r>
      <w:r w:rsidR="00362EFD">
        <w:rPr>
          <w:rFonts w:ascii="Times New Roman" w:hAnsi="Times New Roman"/>
          <w:sz w:val="24"/>
          <w:szCs w:val="24"/>
        </w:rPr>
        <w:t>da na 11ª Reunião Plenária, em m</w:t>
      </w:r>
      <w:r>
        <w:rPr>
          <w:rFonts w:ascii="Times New Roman" w:hAnsi="Times New Roman"/>
          <w:sz w:val="24"/>
          <w:szCs w:val="24"/>
        </w:rPr>
        <w:t xml:space="preserve">arço de 2005. Naquela ocasião, Grajew sugeria quatro medidas práticas para combater a desigualdade no país e, dentre elas, </w:t>
      </w:r>
    </w:p>
    <w:p w:rsidR="00CE3680" w:rsidRPr="00EF1EDF" w:rsidRDefault="00CE3680" w:rsidP="00CE3680">
      <w:pPr>
        <w:spacing w:line="240" w:lineRule="auto"/>
        <w:ind w:left="2268"/>
        <w:jc w:val="both"/>
        <w:rPr>
          <w:rFonts w:ascii="Times New Roman" w:hAnsi="Times New Roman"/>
          <w:sz w:val="24"/>
          <w:szCs w:val="24"/>
        </w:rPr>
      </w:pPr>
      <w:r w:rsidRPr="00EF1EDF">
        <w:rPr>
          <w:rFonts w:ascii="Times New Roman" w:hAnsi="Times New Roman"/>
          <w:sz w:val="24"/>
          <w:szCs w:val="24"/>
        </w:rPr>
        <w:t xml:space="preserve">(...) </w:t>
      </w:r>
      <w:r w:rsidRPr="00EF1EDF">
        <w:rPr>
          <w:rFonts w:ascii="Times New Roman" w:hAnsi="Times New Roman"/>
          <w:sz w:val="20"/>
          <w:szCs w:val="20"/>
        </w:rPr>
        <w:t>a criação do Observatório Brasileiro da Desigualdade, formado pelo IBGE, pelo DIEESE e pelo IPEA. Este observatório terá a função de emitir pareceres sobre programas governamentais do ponto de vista do seu impacto sobre a desigualdade (...)</w:t>
      </w:r>
      <w:r>
        <w:rPr>
          <w:rFonts w:ascii="Times New Roman" w:hAnsi="Times New Roman"/>
          <w:sz w:val="20"/>
          <w:szCs w:val="20"/>
        </w:rPr>
        <w:t xml:space="preserve">. </w:t>
      </w:r>
      <w:r w:rsidRPr="00EF1EDF">
        <w:rPr>
          <w:rFonts w:ascii="Times New Roman" w:hAnsi="Times New Roman"/>
          <w:sz w:val="20"/>
          <w:szCs w:val="20"/>
        </w:rPr>
        <w:t xml:space="preserve">Todos osprogramas e os planos de desenvolvimento, inclusive aqueles aqui apresentados no Conselho deverão ser acompanhados por um relatório </w:t>
      </w:r>
      <w:r>
        <w:rPr>
          <w:rFonts w:ascii="Times New Roman" w:hAnsi="Times New Roman"/>
          <w:sz w:val="20"/>
          <w:szCs w:val="20"/>
        </w:rPr>
        <w:t>de impacto sobre a desigualdade (ATA da 11ª Reunião Plenária, 10/03/2005, p. 26).</w:t>
      </w:r>
    </w:p>
    <w:p w:rsidR="00CE3680" w:rsidRDefault="00CE3680" w:rsidP="00CE3680">
      <w:pPr>
        <w:spacing w:after="0" w:line="360" w:lineRule="auto"/>
        <w:jc w:val="both"/>
        <w:rPr>
          <w:rFonts w:ascii="Times New Roman" w:hAnsi="Times New Roman"/>
          <w:sz w:val="24"/>
          <w:szCs w:val="24"/>
        </w:rPr>
      </w:pPr>
      <w:r>
        <w:rPr>
          <w:rFonts w:ascii="Times New Roman" w:hAnsi="Times New Roman"/>
          <w:sz w:val="24"/>
          <w:szCs w:val="24"/>
        </w:rPr>
        <w:tab/>
        <w:t xml:space="preserve">O conselheiro João Antonio Moroni propôs, em seguida, que a ideia de Grajew (e a de Clemente Ganz Lúcio sobre a criação de metas sociais) fosse encaminhada ao GA de Políticas Sociais (GAPS) para que este aprofundasse e transformasse a sugestão numa agenda, o que foi aceito pelo Secretário Jaques Wagner. Em 2005, o GAPS dedicou seus trabalhos à elaboração da proposta deste Observatório, agora denominado “da Equidade”, o que lhe dava um “sentido mais positivo”. </w:t>
      </w:r>
    </w:p>
    <w:p w:rsidR="00CE3680" w:rsidRDefault="00CE3680" w:rsidP="00CE3680">
      <w:pPr>
        <w:spacing w:line="360" w:lineRule="auto"/>
        <w:ind w:firstLine="708"/>
        <w:jc w:val="both"/>
        <w:rPr>
          <w:rFonts w:ascii="Times New Roman" w:hAnsi="Times New Roman"/>
          <w:sz w:val="24"/>
          <w:szCs w:val="24"/>
        </w:rPr>
      </w:pPr>
      <w:r>
        <w:rPr>
          <w:rFonts w:ascii="Times New Roman" w:hAnsi="Times New Roman"/>
          <w:sz w:val="24"/>
          <w:szCs w:val="24"/>
        </w:rPr>
        <w:t>No documento “Proposta de Criação do Observatório da Equidade”, o GAPS lembra que a primeira diretriz da AND para atender o objetivo de “fazer a sociedade brasileira mais igualitária, sem disparidades de gênero, raça, com a renda e a riqueza bem distribuídas e vigorosa mobilidade social ascendente”</w:t>
      </w:r>
      <w:r>
        <w:rPr>
          <w:rStyle w:val="Refdenotaderodap"/>
          <w:rFonts w:ascii="Times New Roman" w:hAnsi="Times New Roman"/>
          <w:sz w:val="24"/>
          <w:szCs w:val="24"/>
        </w:rPr>
        <w:footnoteReference w:id="142"/>
      </w:r>
      <w:r>
        <w:rPr>
          <w:rFonts w:ascii="Times New Roman" w:hAnsi="Times New Roman"/>
          <w:sz w:val="24"/>
          <w:szCs w:val="24"/>
        </w:rPr>
        <w:t xml:space="preserve"> é:</w:t>
      </w:r>
    </w:p>
    <w:p w:rsidR="00CE3680" w:rsidRPr="00CE392C" w:rsidRDefault="00CE3680" w:rsidP="00CE3680">
      <w:pPr>
        <w:autoSpaceDE w:val="0"/>
        <w:autoSpaceDN w:val="0"/>
        <w:adjustRightInd w:val="0"/>
        <w:spacing w:after="0" w:line="240" w:lineRule="auto"/>
        <w:ind w:left="2268"/>
        <w:jc w:val="both"/>
        <w:rPr>
          <w:rFonts w:ascii="Times New Roman" w:hAnsi="Times New Roman"/>
          <w:sz w:val="20"/>
          <w:szCs w:val="20"/>
        </w:rPr>
      </w:pPr>
      <w:r w:rsidRPr="00CE392C">
        <w:rPr>
          <w:rFonts w:ascii="Times New Roman" w:hAnsi="Times New Roman"/>
          <w:bCs/>
          <w:sz w:val="20"/>
          <w:szCs w:val="20"/>
        </w:rPr>
        <w:t>Adotar a eq</w:t>
      </w:r>
      <w:r w:rsidR="005913F9">
        <w:rPr>
          <w:rFonts w:ascii="Times New Roman" w:hAnsi="Times New Roman"/>
          <w:bCs/>
          <w:sz w:val="20"/>
          <w:szCs w:val="20"/>
        </w:rPr>
        <w:t>u</w:t>
      </w:r>
      <w:r w:rsidRPr="00CE392C">
        <w:rPr>
          <w:rFonts w:ascii="Times New Roman" w:hAnsi="Times New Roman"/>
          <w:bCs/>
          <w:sz w:val="20"/>
          <w:szCs w:val="20"/>
        </w:rPr>
        <w:t>idade como o critério a presidir toda e qualquer decisão dos poderes públicos. Incentivar a adoção do critério pela iniciativa privada. Estabelecer a obrigatoriedade de avaliação prévia de toda e qualquer ação governamental (envolvendo ou não recursos orçamentário-financeiros) quanto ao cumprimento do critério eq</w:t>
      </w:r>
      <w:r w:rsidR="005913F9">
        <w:rPr>
          <w:rFonts w:ascii="Times New Roman" w:hAnsi="Times New Roman"/>
          <w:bCs/>
          <w:sz w:val="20"/>
          <w:szCs w:val="20"/>
        </w:rPr>
        <w:t>u</w:t>
      </w:r>
      <w:r w:rsidRPr="00CE392C">
        <w:rPr>
          <w:rFonts w:ascii="Times New Roman" w:hAnsi="Times New Roman"/>
          <w:bCs/>
          <w:sz w:val="20"/>
          <w:szCs w:val="20"/>
        </w:rPr>
        <w:t>idade.</w:t>
      </w:r>
      <w:r>
        <w:rPr>
          <w:rStyle w:val="Refdenotaderodap"/>
          <w:rFonts w:ascii="Times New Roman" w:hAnsi="Times New Roman"/>
          <w:bCs/>
          <w:sz w:val="20"/>
          <w:szCs w:val="20"/>
        </w:rPr>
        <w:footnoteReference w:id="143"/>
      </w:r>
    </w:p>
    <w:p w:rsidR="00CE3680" w:rsidRDefault="00CE3680" w:rsidP="00CE3680">
      <w:pPr>
        <w:spacing w:before="240" w:after="0" w:line="360" w:lineRule="auto"/>
        <w:jc w:val="both"/>
        <w:rPr>
          <w:rFonts w:ascii="Times New Roman" w:hAnsi="Times New Roman"/>
          <w:sz w:val="24"/>
          <w:szCs w:val="24"/>
        </w:rPr>
      </w:pPr>
      <w:r>
        <w:rPr>
          <w:rFonts w:ascii="Times New Roman" w:hAnsi="Times New Roman"/>
          <w:sz w:val="24"/>
          <w:szCs w:val="24"/>
        </w:rPr>
        <w:tab/>
        <w:t>Oded Grajew e outros conselheiros, em muitos momentos, também usavam esta passagem da AND para lembrar que um dos principais objetivos das proposições do CDES era o de oferecer maior “equidade” à sociedade.</w:t>
      </w:r>
      <w:r>
        <w:rPr>
          <w:rStyle w:val="Refdenotaderodap"/>
          <w:rFonts w:ascii="Times New Roman" w:hAnsi="Times New Roman"/>
          <w:sz w:val="24"/>
          <w:szCs w:val="24"/>
        </w:rPr>
        <w:footnoteReference w:id="144"/>
      </w:r>
      <w:r>
        <w:rPr>
          <w:rFonts w:ascii="Times New Roman" w:hAnsi="Times New Roman"/>
          <w:sz w:val="24"/>
          <w:szCs w:val="24"/>
        </w:rPr>
        <w:t xml:space="preserve"> A expressão “equidade como critério” é aqui pensada como</w:t>
      </w:r>
    </w:p>
    <w:p w:rsidR="00CE3680" w:rsidRDefault="00CE3680" w:rsidP="00CE3680">
      <w:pPr>
        <w:autoSpaceDE w:val="0"/>
        <w:autoSpaceDN w:val="0"/>
        <w:adjustRightInd w:val="0"/>
        <w:spacing w:after="0" w:line="240" w:lineRule="auto"/>
        <w:ind w:left="2268"/>
        <w:jc w:val="both"/>
        <w:rPr>
          <w:rFonts w:ascii="Times New Roman" w:hAnsi="Times New Roman"/>
          <w:sz w:val="20"/>
          <w:szCs w:val="20"/>
        </w:rPr>
      </w:pPr>
      <w:r>
        <w:rPr>
          <w:rFonts w:ascii="Times New Roman" w:hAnsi="Times New Roman"/>
          <w:sz w:val="20"/>
          <w:szCs w:val="20"/>
        </w:rPr>
        <w:t xml:space="preserve">(...) </w:t>
      </w:r>
      <w:r w:rsidRPr="00CE392C">
        <w:rPr>
          <w:rFonts w:ascii="Times New Roman" w:hAnsi="Times New Roman"/>
          <w:sz w:val="20"/>
          <w:szCs w:val="20"/>
        </w:rPr>
        <w:t xml:space="preserve">capacidade e instrumentos para medir e acompanhar o enfrentamento do problema. Significa construção de </w:t>
      </w:r>
      <w:r w:rsidRPr="00CE392C">
        <w:rPr>
          <w:rFonts w:ascii="Times New Roman" w:hAnsi="Times New Roman"/>
          <w:b/>
          <w:bCs/>
          <w:sz w:val="20"/>
          <w:szCs w:val="20"/>
        </w:rPr>
        <w:t xml:space="preserve">indicadores </w:t>
      </w:r>
      <w:r w:rsidRPr="00CE392C">
        <w:rPr>
          <w:rFonts w:ascii="Times New Roman" w:hAnsi="Times New Roman"/>
          <w:sz w:val="20"/>
          <w:szCs w:val="20"/>
        </w:rPr>
        <w:t xml:space="preserve">e responsabilização clara de </w:t>
      </w:r>
      <w:r w:rsidRPr="00CE392C">
        <w:rPr>
          <w:rFonts w:ascii="Times New Roman" w:hAnsi="Times New Roman"/>
          <w:b/>
          <w:bCs/>
          <w:sz w:val="20"/>
          <w:szCs w:val="20"/>
        </w:rPr>
        <w:t xml:space="preserve">instâncias </w:t>
      </w:r>
      <w:r w:rsidRPr="00CE392C">
        <w:rPr>
          <w:rFonts w:ascii="Times New Roman" w:hAnsi="Times New Roman"/>
          <w:sz w:val="20"/>
          <w:szCs w:val="20"/>
        </w:rPr>
        <w:t xml:space="preserve">para </w:t>
      </w:r>
      <w:r w:rsidRPr="00CE392C">
        <w:rPr>
          <w:rFonts w:ascii="Times New Roman" w:hAnsi="Times New Roman"/>
          <w:b/>
          <w:bCs/>
          <w:sz w:val="20"/>
          <w:szCs w:val="20"/>
        </w:rPr>
        <w:t>análise dos impactos das políticas</w:t>
      </w:r>
      <w:r w:rsidRPr="00CE392C">
        <w:rPr>
          <w:rFonts w:ascii="Times New Roman" w:hAnsi="Times New Roman"/>
          <w:sz w:val="20"/>
          <w:szCs w:val="20"/>
        </w:rPr>
        <w:t xml:space="preserve">, a partir dos indicadores; </w:t>
      </w:r>
      <w:r w:rsidRPr="00CE392C">
        <w:rPr>
          <w:rFonts w:ascii="Times New Roman" w:hAnsi="Times New Roman"/>
          <w:b/>
          <w:bCs/>
          <w:sz w:val="20"/>
          <w:szCs w:val="20"/>
        </w:rPr>
        <w:t xml:space="preserve">emissão dos pareceres orientadores das decisões </w:t>
      </w:r>
      <w:r w:rsidRPr="00CE392C">
        <w:rPr>
          <w:rFonts w:ascii="Times New Roman" w:hAnsi="Times New Roman"/>
          <w:sz w:val="20"/>
          <w:szCs w:val="20"/>
        </w:rPr>
        <w:t xml:space="preserve">(de implementação ou não da política); e </w:t>
      </w:r>
      <w:r w:rsidRPr="00CE392C">
        <w:rPr>
          <w:rFonts w:ascii="Times New Roman" w:hAnsi="Times New Roman"/>
          <w:b/>
          <w:bCs/>
          <w:sz w:val="20"/>
          <w:szCs w:val="20"/>
        </w:rPr>
        <w:t xml:space="preserve">avaliação global </w:t>
      </w:r>
      <w:r w:rsidRPr="00CE392C">
        <w:rPr>
          <w:rFonts w:ascii="Times New Roman" w:hAnsi="Times New Roman"/>
          <w:sz w:val="20"/>
          <w:szCs w:val="20"/>
        </w:rPr>
        <w:t>da evolução da desigualdade brasileira.</w:t>
      </w:r>
      <w:r>
        <w:rPr>
          <w:rStyle w:val="Refdenotaderodap"/>
          <w:rFonts w:ascii="Times New Roman" w:hAnsi="Times New Roman"/>
          <w:sz w:val="20"/>
          <w:szCs w:val="20"/>
        </w:rPr>
        <w:footnoteReference w:id="145"/>
      </w:r>
    </w:p>
    <w:p w:rsidR="00CE3680" w:rsidRDefault="00CE3680" w:rsidP="00CE3680">
      <w:pPr>
        <w:autoSpaceDE w:val="0"/>
        <w:autoSpaceDN w:val="0"/>
        <w:adjustRightInd w:val="0"/>
        <w:spacing w:after="0" w:line="240" w:lineRule="auto"/>
        <w:jc w:val="both"/>
        <w:rPr>
          <w:rFonts w:ascii="Times New Roman" w:hAnsi="Times New Roman"/>
          <w:sz w:val="20"/>
          <w:szCs w:val="20"/>
        </w:rPr>
      </w:pP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sidRPr="006A6F48">
        <w:rPr>
          <w:rFonts w:ascii="Times New Roman" w:hAnsi="Times New Roman"/>
          <w:sz w:val="24"/>
          <w:szCs w:val="24"/>
        </w:rPr>
        <w:t>O documento aponta</w:t>
      </w:r>
      <w:r>
        <w:rPr>
          <w:rFonts w:ascii="Times New Roman" w:hAnsi="Times New Roman"/>
          <w:sz w:val="24"/>
          <w:szCs w:val="24"/>
        </w:rPr>
        <w:t>va</w:t>
      </w:r>
      <w:r w:rsidRPr="006A6F48">
        <w:rPr>
          <w:rFonts w:ascii="Times New Roman" w:hAnsi="Times New Roman"/>
          <w:sz w:val="24"/>
          <w:szCs w:val="24"/>
        </w:rPr>
        <w:t xml:space="preserve"> a importância do Acordo de Cooperação entre o Conselho de Desenvolvimento Econômico e Social e a Fundação France Libertés, organização não-governamental francesa presidida por Danielle Mitterrand. Além disso, o Observatório contaria com o apoio “técnico” do Instituto de PesquisaEconômica Aplicada (IPEA), pelo Instituto Brasileiro de Geografia e Estatística (IBGE) e pelo Departamento Intersindical de Estatísti</w:t>
      </w:r>
      <w:r>
        <w:rPr>
          <w:rFonts w:ascii="Times New Roman" w:hAnsi="Times New Roman"/>
          <w:sz w:val="24"/>
          <w:szCs w:val="24"/>
        </w:rPr>
        <w:t>cas e Estudos So</w:t>
      </w:r>
      <w:r w:rsidRPr="006A6F48">
        <w:rPr>
          <w:rFonts w:ascii="Times New Roman" w:hAnsi="Times New Roman"/>
          <w:sz w:val="24"/>
          <w:szCs w:val="24"/>
        </w:rPr>
        <w:t>cioeconômicos (DIEESE).</w:t>
      </w:r>
      <w:r>
        <w:rPr>
          <w:rFonts w:ascii="Times New Roman" w:hAnsi="Times New Roman"/>
          <w:sz w:val="24"/>
          <w:szCs w:val="24"/>
        </w:rPr>
        <w:t xml:space="preserve"> Estas três instituições e a própria SEDES constituíram o “Comitê Técnico” do Observatório. </w:t>
      </w:r>
    </w:p>
    <w:p w:rsidR="00CE3680" w:rsidRPr="006A6F48"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Os objetivos do Observatório foram assim arrolados pelo referido documento:</w:t>
      </w:r>
    </w:p>
    <w:p w:rsidR="00CE3680" w:rsidRDefault="00CE3680" w:rsidP="00CE3680">
      <w:pPr>
        <w:autoSpaceDE w:val="0"/>
        <w:autoSpaceDN w:val="0"/>
        <w:adjustRightInd w:val="0"/>
        <w:spacing w:after="0" w:line="240" w:lineRule="auto"/>
        <w:ind w:left="2268"/>
        <w:jc w:val="both"/>
        <w:rPr>
          <w:rFonts w:ascii="Times New Roman" w:hAnsi="Times New Roman"/>
          <w:sz w:val="20"/>
          <w:szCs w:val="20"/>
        </w:rPr>
      </w:pPr>
      <w:r w:rsidRPr="008A32E8">
        <w:rPr>
          <w:rFonts w:ascii="Times New Roman" w:hAnsi="Times New Roman"/>
          <w:b/>
          <w:bCs/>
          <w:sz w:val="20"/>
          <w:szCs w:val="20"/>
        </w:rPr>
        <w:t xml:space="preserve">Objetivo: </w:t>
      </w:r>
      <w:r w:rsidRPr="008A32E8">
        <w:rPr>
          <w:rFonts w:ascii="Times New Roman" w:hAnsi="Times New Roman"/>
          <w:sz w:val="20"/>
          <w:szCs w:val="20"/>
        </w:rPr>
        <w:t>Capturar, com o maior rigor possível, os movimentos do fenômeno dadesigualdade, com vistas a orientar as ações que objetivem superá-lo para o alcance da eq</w:t>
      </w:r>
      <w:r w:rsidR="005913F9">
        <w:rPr>
          <w:rFonts w:ascii="Times New Roman" w:hAnsi="Times New Roman"/>
          <w:sz w:val="20"/>
          <w:szCs w:val="20"/>
        </w:rPr>
        <w:t>u</w:t>
      </w:r>
      <w:r w:rsidRPr="008A32E8">
        <w:rPr>
          <w:rFonts w:ascii="Times New Roman" w:hAnsi="Times New Roman"/>
          <w:sz w:val="20"/>
          <w:szCs w:val="20"/>
        </w:rPr>
        <w:t>idade.</w:t>
      </w:r>
    </w:p>
    <w:p w:rsidR="00CE3680" w:rsidRPr="008A32E8" w:rsidRDefault="00CE3680" w:rsidP="00CE3680">
      <w:pPr>
        <w:autoSpaceDE w:val="0"/>
        <w:autoSpaceDN w:val="0"/>
        <w:adjustRightInd w:val="0"/>
        <w:spacing w:after="0" w:line="240" w:lineRule="auto"/>
        <w:ind w:left="2268"/>
        <w:jc w:val="both"/>
        <w:rPr>
          <w:rFonts w:ascii="Times New Roman" w:hAnsi="Times New Roman"/>
          <w:sz w:val="20"/>
          <w:szCs w:val="20"/>
        </w:rPr>
      </w:pPr>
      <w:r>
        <w:rPr>
          <w:rFonts w:ascii="Times New Roman" w:hAnsi="Times New Roman"/>
          <w:sz w:val="20"/>
          <w:szCs w:val="20"/>
        </w:rPr>
        <w:t>(...)</w:t>
      </w:r>
    </w:p>
    <w:p w:rsidR="00CE3680" w:rsidRPr="008A32E8" w:rsidRDefault="00CE3680" w:rsidP="00CE3680">
      <w:pPr>
        <w:autoSpaceDE w:val="0"/>
        <w:autoSpaceDN w:val="0"/>
        <w:adjustRightInd w:val="0"/>
        <w:spacing w:after="0" w:line="240" w:lineRule="auto"/>
        <w:ind w:left="2268"/>
        <w:jc w:val="both"/>
        <w:rPr>
          <w:rFonts w:ascii="Times New Roman" w:hAnsi="Times New Roman"/>
          <w:b/>
          <w:bCs/>
          <w:sz w:val="20"/>
          <w:szCs w:val="20"/>
        </w:rPr>
      </w:pPr>
      <w:r w:rsidRPr="008A32E8">
        <w:rPr>
          <w:rFonts w:ascii="Times New Roman" w:hAnsi="Times New Roman"/>
          <w:b/>
          <w:bCs/>
          <w:sz w:val="20"/>
          <w:szCs w:val="20"/>
        </w:rPr>
        <w:t>Objetivos específicos:</w:t>
      </w:r>
    </w:p>
    <w:p w:rsidR="00CE3680" w:rsidRPr="008A32E8" w:rsidRDefault="00CE3680" w:rsidP="00CE3680">
      <w:pPr>
        <w:pStyle w:val="PargrafodaLista"/>
        <w:numPr>
          <w:ilvl w:val="0"/>
          <w:numId w:val="8"/>
        </w:numPr>
        <w:autoSpaceDE w:val="0"/>
        <w:autoSpaceDN w:val="0"/>
        <w:adjustRightInd w:val="0"/>
        <w:spacing w:after="0" w:line="240" w:lineRule="auto"/>
        <w:ind w:left="2268" w:firstLine="0"/>
        <w:jc w:val="both"/>
        <w:rPr>
          <w:rFonts w:ascii="Times New Roman" w:hAnsi="Times New Roman"/>
          <w:sz w:val="20"/>
          <w:szCs w:val="20"/>
        </w:rPr>
      </w:pPr>
      <w:r w:rsidRPr="008A32E8">
        <w:rPr>
          <w:rFonts w:ascii="Times New Roman" w:hAnsi="Times New Roman"/>
          <w:sz w:val="20"/>
          <w:szCs w:val="20"/>
        </w:rPr>
        <w:t>Ampliar o conhecimento da sociedade sobre a situação dedesigualdade, as ações visando a sua superação e as metas perseguidas;</w:t>
      </w:r>
      <w:r>
        <w:rPr>
          <w:rStyle w:val="Refdenotaderodap"/>
          <w:rFonts w:ascii="Times New Roman" w:hAnsi="Times New Roman"/>
          <w:sz w:val="20"/>
          <w:szCs w:val="20"/>
        </w:rPr>
        <w:footnoteReference w:id="146"/>
      </w:r>
    </w:p>
    <w:p w:rsidR="00CE3680" w:rsidRPr="008A32E8" w:rsidRDefault="00CE3680" w:rsidP="00CE3680">
      <w:pPr>
        <w:pStyle w:val="PargrafodaLista"/>
        <w:numPr>
          <w:ilvl w:val="0"/>
          <w:numId w:val="8"/>
        </w:numPr>
        <w:autoSpaceDE w:val="0"/>
        <w:autoSpaceDN w:val="0"/>
        <w:adjustRightInd w:val="0"/>
        <w:spacing w:after="0" w:line="240" w:lineRule="auto"/>
        <w:ind w:left="2268" w:firstLine="0"/>
        <w:jc w:val="both"/>
        <w:rPr>
          <w:rFonts w:ascii="Times New Roman" w:hAnsi="Times New Roman"/>
          <w:sz w:val="20"/>
          <w:szCs w:val="20"/>
        </w:rPr>
      </w:pPr>
      <w:r w:rsidRPr="008A32E8">
        <w:rPr>
          <w:rFonts w:ascii="Times New Roman" w:hAnsi="Times New Roman"/>
          <w:sz w:val="20"/>
          <w:szCs w:val="20"/>
        </w:rPr>
        <w:t>Disponibilizar informações sobre as ações, projetos, políticas e recursos existentes que buscam materializar os objetivos e metas de superação da situação de desigualdade;</w:t>
      </w:r>
    </w:p>
    <w:p w:rsidR="00CE3680" w:rsidRPr="008A32E8" w:rsidRDefault="00CE3680" w:rsidP="00CE3680">
      <w:pPr>
        <w:pStyle w:val="PargrafodaLista"/>
        <w:numPr>
          <w:ilvl w:val="0"/>
          <w:numId w:val="8"/>
        </w:numPr>
        <w:autoSpaceDE w:val="0"/>
        <w:autoSpaceDN w:val="0"/>
        <w:adjustRightInd w:val="0"/>
        <w:spacing w:after="0" w:line="240" w:lineRule="auto"/>
        <w:ind w:left="2268" w:firstLine="0"/>
        <w:jc w:val="both"/>
        <w:rPr>
          <w:rFonts w:ascii="Times New Roman" w:hAnsi="Times New Roman"/>
          <w:sz w:val="20"/>
          <w:szCs w:val="20"/>
        </w:rPr>
      </w:pPr>
      <w:r w:rsidRPr="008A32E8">
        <w:rPr>
          <w:rFonts w:ascii="Times New Roman" w:hAnsi="Times New Roman"/>
          <w:sz w:val="20"/>
          <w:szCs w:val="20"/>
        </w:rPr>
        <w:t>Subsidiar o debate de organizações governamentais e não governamentais sobre os resultados alcançados;</w:t>
      </w:r>
    </w:p>
    <w:p w:rsidR="00CE3680" w:rsidRPr="008A32E8" w:rsidRDefault="00CE3680" w:rsidP="00CE3680">
      <w:pPr>
        <w:pStyle w:val="PargrafodaLista"/>
        <w:numPr>
          <w:ilvl w:val="0"/>
          <w:numId w:val="8"/>
        </w:numPr>
        <w:autoSpaceDE w:val="0"/>
        <w:autoSpaceDN w:val="0"/>
        <w:adjustRightInd w:val="0"/>
        <w:spacing w:after="0" w:line="240" w:lineRule="auto"/>
        <w:ind w:left="2268" w:firstLine="0"/>
        <w:jc w:val="both"/>
        <w:rPr>
          <w:rFonts w:ascii="Times New Roman" w:hAnsi="Times New Roman"/>
          <w:sz w:val="20"/>
          <w:szCs w:val="20"/>
        </w:rPr>
      </w:pPr>
      <w:r w:rsidRPr="008A32E8">
        <w:rPr>
          <w:rFonts w:ascii="Times New Roman" w:hAnsi="Times New Roman"/>
          <w:sz w:val="20"/>
          <w:szCs w:val="20"/>
        </w:rPr>
        <w:t>Ampliar a capacidade de a sociedade civil debater, sugerir propostas, monitorar, avaliar e cobrar resultados das políticas governamentais e as ações dos demais atores sociais;</w:t>
      </w:r>
    </w:p>
    <w:p w:rsidR="00CE3680" w:rsidRPr="008A32E8" w:rsidRDefault="00CE3680" w:rsidP="00CE3680">
      <w:pPr>
        <w:pStyle w:val="PargrafodaLista"/>
        <w:numPr>
          <w:ilvl w:val="0"/>
          <w:numId w:val="7"/>
        </w:numPr>
        <w:tabs>
          <w:tab w:val="left" w:pos="426"/>
        </w:tabs>
        <w:autoSpaceDE w:val="0"/>
        <w:autoSpaceDN w:val="0"/>
        <w:adjustRightInd w:val="0"/>
        <w:spacing w:after="0" w:line="240" w:lineRule="auto"/>
        <w:ind w:left="2268" w:firstLine="0"/>
        <w:jc w:val="both"/>
        <w:rPr>
          <w:rFonts w:ascii="Times New Roman" w:hAnsi="Times New Roman"/>
          <w:sz w:val="20"/>
          <w:szCs w:val="20"/>
        </w:rPr>
      </w:pPr>
      <w:r w:rsidRPr="008A32E8">
        <w:rPr>
          <w:rFonts w:ascii="Times New Roman" w:hAnsi="Times New Roman"/>
          <w:sz w:val="20"/>
          <w:szCs w:val="20"/>
        </w:rPr>
        <w:t>Ampliar a legitimidade social dos indicadores de monitoramento</w:t>
      </w:r>
      <w:r>
        <w:rPr>
          <w:rFonts w:ascii="Times New Roman" w:hAnsi="Times New Roman"/>
          <w:sz w:val="20"/>
          <w:szCs w:val="20"/>
        </w:rPr>
        <w:t>.</w:t>
      </w:r>
      <w:r>
        <w:rPr>
          <w:rStyle w:val="Refdenotaderodap"/>
          <w:rFonts w:ascii="Times New Roman" w:hAnsi="Times New Roman"/>
          <w:sz w:val="20"/>
          <w:szCs w:val="20"/>
        </w:rPr>
        <w:footnoteReference w:id="147"/>
      </w:r>
    </w:p>
    <w:p w:rsidR="00CE3680" w:rsidRDefault="00CE3680" w:rsidP="00CE3680">
      <w:pPr>
        <w:autoSpaceDE w:val="0"/>
        <w:autoSpaceDN w:val="0"/>
        <w:adjustRightInd w:val="0"/>
        <w:spacing w:before="240" w:after="0" w:line="360" w:lineRule="auto"/>
        <w:ind w:firstLine="708"/>
        <w:jc w:val="both"/>
        <w:rPr>
          <w:rFonts w:ascii="Times New Roman" w:hAnsi="Times New Roman"/>
          <w:sz w:val="24"/>
          <w:szCs w:val="24"/>
        </w:rPr>
      </w:pPr>
      <w:r>
        <w:rPr>
          <w:rFonts w:ascii="Times New Roman" w:hAnsi="Times New Roman"/>
          <w:sz w:val="24"/>
          <w:szCs w:val="24"/>
        </w:rPr>
        <w:t>Na 16ª Reunião Plenária, Oded Grajew e Clemente Ganz Lúcio apresentaram ao Conselho a proposta acabada do Observatório. Na verdade, o conselheiro Clemente Lúcio explorou os elementos essenciais colocados no documento “Proposta de Criação do Observatório da Equidade”, inclusive os objetivos expostos acima e o detalhamento do fluxograma abaixo. Tentaremos apresentar, em linhas gerais, a estrutura e o modo de funcionamento do Observatório a partir da exposição do conselheiro Clemente Lúcio (DIEESE) e do documento intitulado “Lógica organizacional e metodológica do Observatório da Equidade”.</w:t>
      </w:r>
      <w:r>
        <w:rPr>
          <w:rStyle w:val="Refdenotaderodap"/>
          <w:rFonts w:ascii="Times New Roman" w:hAnsi="Times New Roman"/>
          <w:sz w:val="24"/>
          <w:szCs w:val="24"/>
        </w:rPr>
        <w:footnoteReference w:id="148"/>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Cabia ao Pleno do Conselho definir o problema e os aspectos a serem observados, aprovar e nomear o Conselho Diretor: uma instância interna do Observatório, formada por 12 conselheiros nomeados pela plenária de forma a contemplar os segmentos sociais representados no CDES, que realizava a gestão do Observatório, aprovava a metodologia de trabalho, os indicadores que monitoravam os objetivos traçados, examinava os relatórios de observação do Comitê Técnico e submetia ao Pleno um Parecer. </w:t>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Era papel do Comitê Técnico orientar o trabalho técnico, mapear e analisar as informações disponíveis, levantar os objetivos e metas existentes da ação governamental e não-governamental, elaborar os relatórios semestrais de monitoramento e o Relatório Anual de Observação. Este último Relatório era um subsídio ao Conselho Diretor para que elaborasse uma proposta de Parecer de Observação, este sim submetido à aprovação do CDES. Nele estava contida a visão do Conselho sobre determinada política ou situação, mostrando os desafios do momento e trazendo sugestões à Presidência da República.</w:t>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 Secretaria Executiva do Comitê Técnico era a própria SEDES que tinha como atribuição principal articular uma Rede de Observação, formada por adesão, composta por organizações governamentais ou não, que contribuía para a ampliação do debate, sugerindo e aprofundando as avaliações do tema em estudo. “A perspectiva é a de democratizar e dar transparência aos processos que o CDES adota para elaborar as recomendações sobre formulação e adequação de políticas públicas e para acompanhar e avaliar sua execução”. </w:t>
      </w:r>
      <w:r>
        <w:rPr>
          <w:rStyle w:val="Refdenotaderodap"/>
          <w:rFonts w:ascii="Times New Roman" w:hAnsi="Times New Roman"/>
          <w:sz w:val="24"/>
          <w:szCs w:val="24"/>
        </w:rPr>
        <w:footnoteReference w:id="149"/>
      </w:r>
    </w:p>
    <w:p w:rsidR="00CE3680" w:rsidRDefault="00CE3680" w:rsidP="00CE3680">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O fluxograma abaixo apresenta a organização e o funcionamento do Observatório da Equidade e suas principais atribuições:</w:t>
      </w:r>
    </w:p>
    <w:p w:rsidR="00CE3680" w:rsidRPr="004C7754" w:rsidRDefault="00CE3680" w:rsidP="00CE3680">
      <w:pPr>
        <w:autoSpaceDE w:val="0"/>
        <w:autoSpaceDN w:val="0"/>
        <w:adjustRightInd w:val="0"/>
        <w:spacing w:after="0" w:line="360" w:lineRule="auto"/>
        <w:ind w:firstLine="708"/>
        <w:jc w:val="center"/>
        <w:rPr>
          <w:rFonts w:ascii="Times New Roman" w:hAnsi="Times New Roman"/>
          <w:b/>
          <w:sz w:val="24"/>
          <w:szCs w:val="24"/>
        </w:rPr>
      </w:pPr>
      <w:r>
        <w:rPr>
          <w:rFonts w:ascii="Times New Roman" w:hAnsi="Times New Roman"/>
          <w:b/>
          <w:sz w:val="24"/>
          <w:szCs w:val="24"/>
        </w:rPr>
        <w:t xml:space="preserve">Fluxograma 1.1 - </w:t>
      </w:r>
      <w:r w:rsidRPr="004C7754">
        <w:rPr>
          <w:rFonts w:ascii="Times New Roman" w:hAnsi="Times New Roman"/>
          <w:b/>
          <w:sz w:val="24"/>
          <w:szCs w:val="24"/>
        </w:rPr>
        <w:t>Funcionamento do Observatório da Equidade</w:t>
      </w:r>
    </w:p>
    <w:p w:rsidR="00CE3680" w:rsidRPr="00376FD1" w:rsidRDefault="0018135C" w:rsidP="00CE3680">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extent cx="4380865" cy="3187065"/>
            <wp:effectExtent l="19050" t="0" r="635" b="0"/>
            <wp:docPr id="1" name="Imagem 3" descr="C:\Users\Andre\Documents\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Andre\Documents\img009.jpg"/>
                    <pic:cNvPicPr>
                      <a:picLocks noChangeAspect="1" noChangeArrowheads="1"/>
                    </pic:cNvPicPr>
                  </pic:nvPicPr>
                  <pic:blipFill>
                    <a:blip r:embed="rId11" cstate="print"/>
                    <a:srcRect/>
                    <a:stretch>
                      <a:fillRect/>
                    </a:stretch>
                  </pic:blipFill>
                  <pic:spPr bwMode="auto">
                    <a:xfrm>
                      <a:off x="0" y="0"/>
                      <a:ext cx="4380865" cy="3187065"/>
                    </a:xfrm>
                    <a:prstGeom prst="rect">
                      <a:avLst/>
                    </a:prstGeom>
                    <a:noFill/>
                    <a:ln w="9525">
                      <a:noFill/>
                      <a:miter lim="800000"/>
                      <a:headEnd/>
                      <a:tailEnd/>
                    </a:ln>
                  </pic:spPr>
                </pic:pic>
              </a:graphicData>
            </a:graphic>
          </wp:inline>
        </w:drawing>
      </w:r>
    </w:p>
    <w:p w:rsidR="00CE3680" w:rsidRPr="0004024B" w:rsidRDefault="00CE3680" w:rsidP="00CE3680">
      <w:pPr>
        <w:autoSpaceDE w:val="0"/>
        <w:autoSpaceDN w:val="0"/>
        <w:adjustRightInd w:val="0"/>
        <w:spacing w:line="360" w:lineRule="auto"/>
        <w:ind w:firstLine="708"/>
        <w:jc w:val="both"/>
        <w:rPr>
          <w:rFonts w:ascii="Times New Roman" w:hAnsi="Times New Roman"/>
          <w:sz w:val="18"/>
          <w:szCs w:val="18"/>
        </w:rPr>
      </w:pPr>
      <w:r w:rsidRPr="0004024B">
        <w:rPr>
          <w:rFonts w:ascii="Times New Roman" w:hAnsi="Times New Roman"/>
          <w:b/>
          <w:sz w:val="18"/>
          <w:szCs w:val="18"/>
        </w:rPr>
        <w:t xml:space="preserve">Fonte: </w:t>
      </w:r>
      <w:r w:rsidRPr="0004024B">
        <w:rPr>
          <w:rFonts w:ascii="Times New Roman" w:hAnsi="Times New Roman"/>
          <w:sz w:val="18"/>
          <w:szCs w:val="18"/>
        </w:rPr>
        <w:t>SEDES, 2009: 18.</w:t>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O papel dos indicadores era justamente o de fazer o acompanhamento da situação observada. De acordo com o documento da SEDES, a seleção e construção de indicadores apropriados segu</w:t>
      </w:r>
      <w:r w:rsidR="004765F7">
        <w:rPr>
          <w:rFonts w:ascii="Times New Roman" w:hAnsi="Times New Roman"/>
          <w:sz w:val="24"/>
          <w:szCs w:val="24"/>
        </w:rPr>
        <w:t>ia</w:t>
      </w:r>
      <w:r>
        <w:rPr>
          <w:rFonts w:ascii="Times New Roman" w:hAnsi="Times New Roman"/>
          <w:sz w:val="24"/>
          <w:szCs w:val="24"/>
        </w:rPr>
        <w:t>m alguns critérios como confiabilidade e consistência, disponibilizando série histórica e abrangência nacional; capacidade de traduzir problemas e fatores causadores de desigualdades, revelando sua magnitude, complexidade e urgência; permitir o acompanhamento por meio da mensuração das modificações ao longo do t</w:t>
      </w:r>
      <w:r w:rsidR="004765F7">
        <w:rPr>
          <w:rFonts w:ascii="Times New Roman" w:hAnsi="Times New Roman"/>
          <w:sz w:val="24"/>
          <w:szCs w:val="24"/>
        </w:rPr>
        <w:t>empo. Este último critério exigia</w:t>
      </w:r>
      <w:r>
        <w:rPr>
          <w:rFonts w:ascii="Times New Roman" w:hAnsi="Times New Roman"/>
          <w:sz w:val="24"/>
          <w:szCs w:val="24"/>
        </w:rPr>
        <w:t xml:space="preserve"> atualizações periódicas e disponíveis dos indicadores, sempre que novas informações são produzidas pelas fontes de dados.</w:t>
      </w:r>
    </w:p>
    <w:p w:rsidR="00CE3680" w:rsidRDefault="00CE3680" w:rsidP="00CE3680">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A lógica metodológica do Observatório foi pensada de forma que as instâncias do Pleno, do Conselho Diretor, do Comitê Técnico e da Rede de Observação interagissem e possibilitassem a articulação entre a dimensão “técnica” e política. O esquema abaixo, também resgatado do documento da SEDES, traduz sua “lógica metodológica”:</w:t>
      </w:r>
    </w:p>
    <w:p w:rsidR="00CE3680" w:rsidRPr="00390D87" w:rsidRDefault="00CE3680" w:rsidP="00CE3680">
      <w:pPr>
        <w:autoSpaceDE w:val="0"/>
        <w:autoSpaceDN w:val="0"/>
        <w:adjustRightInd w:val="0"/>
        <w:spacing w:after="0" w:line="360" w:lineRule="auto"/>
        <w:ind w:firstLine="708"/>
        <w:jc w:val="center"/>
        <w:rPr>
          <w:rFonts w:ascii="Times New Roman" w:hAnsi="Times New Roman"/>
          <w:b/>
          <w:sz w:val="24"/>
          <w:szCs w:val="24"/>
        </w:rPr>
      </w:pPr>
      <w:r>
        <w:rPr>
          <w:rFonts w:ascii="Times New Roman" w:hAnsi="Times New Roman"/>
          <w:b/>
          <w:sz w:val="24"/>
          <w:szCs w:val="24"/>
        </w:rPr>
        <w:t>Fluxograma 1.2 - Metodologia Operacional do Observatório da Equidade</w:t>
      </w:r>
    </w:p>
    <w:p w:rsidR="00CE3680" w:rsidRDefault="0018135C" w:rsidP="00CE3680">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extent cx="5363845" cy="2408555"/>
            <wp:effectExtent l="19050" t="0" r="8255" b="0"/>
            <wp:docPr id="2" name="Imagem 5" descr="C:\Users\Andre\Pictures\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Andre\Pictures\img010.jpg"/>
                    <pic:cNvPicPr>
                      <a:picLocks noChangeAspect="1" noChangeArrowheads="1"/>
                    </pic:cNvPicPr>
                  </pic:nvPicPr>
                  <pic:blipFill>
                    <a:blip r:embed="rId12" cstate="print"/>
                    <a:srcRect/>
                    <a:stretch>
                      <a:fillRect/>
                    </a:stretch>
                  </pic:blipFill>
                  <pic:spPr bwMode="auto">
                    <a:xfrm>
                      <a:off x="0" y="0"/>
                      <a:ext cx="5363845" cy="2408555"/>
                    </a:xfrm>
                    <a:prstGeom prst="rect">
                      <a:avLst/>
                    </a:prstGeom>
                    <a:noFill/>
                    <a:ln w="9525">
                      <a:noFill/>
                      <a:miter lim="800000"/>
                      <a:headEnd/>
                      <a:tailEnd/>
                    </a:ln>
                  </pic:spPr>
                </pic:pic>
              </a:graphicData>
            </a:graphic>
          </wp:inline>
        </w:drawing>
      </w:r>
    </w:p>
    <w:p w:rsidR="00CE3680" w:rsidRPr="0004024B" w:rsidRDefault="00CE3680" w:rsidP="00CE3680">
      <w:pPr>
        <w:autoSpaceDE w:val="0"/>
        <w:autoSpaceDN w:val="0"/>
        <w:adjustRightInd w:val="0"/>
        <w:spacing w:line="360" w:lineRule="auto"/>
        <w:ind w:firstLine="708"/>
        <w:jc w:val="both"/>
        <w:rPr>
          <w:rFonts w:ascii="Times New Roman" w:hAnsi="Times New Roman"/>
          <w:sz w:val="18"/>
          <w:szCs w:val="18"/>
        </w:rPr>
      </w:pPr>
      <w:r w:rsidRPr="0004024B">
        <w:rPr>
          <w:rFonts w:ascii="Times New Roman" w:hAnsi="Times New Roman"/>
          <w:b/>
          <w:sz w:val="18"/>
          <w:szCs w:val="18"/>
        </w:rPr>
        <w:t xml:space="preserve">Fonte: </w:t>
      </w:r>
      <w:r w:rsidRPr="0004024B">
        <w:rPr>
          <w:rFonts w:ascii="Times New Roman" w:hAnsi="Times New Roman"/>
          <w:sz w:val="18"/>
          <w:szCs w:val="18"/>
        </w:rPr>
        <w:t>SEDES, 2009: 20.</w:t>
      </w:r>
    </w:p>
    <w:p w:rsidR="00AB0892" w:rsidRDefault="00AB0892" w:rsidP="00CE3680">
      <w:pPr>
        <w:autoSpaceDE w:val="0"/>
        <w:autoSpaceDN w:val="0"/>
        <w:adjustRightInd w:val="0"/>
        <w:spacing w:after="0" w:line="360" w:lineRule="auto"/>
        <w:ind w:firstLine="708"/>
        <w:jc w:val="both"/>
        <w:rPr>
          <w:rFonts w:ascii="Times New Roman" w:hAnsi="Times New Roman"/>
          <w:sz w:val="24"/>
          <w:szCs w:val="24"/>
        </w:rPr>
      </w:pPr>
    </w:p>
    <w:p w:rsidR="001915AF" w:rsidRPr="00094D22" w:rsidRDefault="001E409B" w:rsidP="00CE3680">
      <w:pPr>
        <w:autoSpaceDE w:val="0"/>
        <w:autoSpaceDN w:val="0"/>
        <w:adjustRightInd w:val="0"/>
        <w:spacing w:after="0" w:line="360" w:lineRule="auto"/>
        <w:ind w:firstLine="708"/>
        <w:jc w:val="both"/>
        <w:rPr>
          <w:rFonts w:ascii="Times New Roman" w:hAnsi="Times New Roman"/>
          <w:sz w:val="24"/>
          <w:szCs w:val="24"/>
        </w:rPr>
      </w:pPr>
      <w:r w:rsidRPr="00094D22">
        <w:rPr>
          <w:rFonts w:ascii="Times New Roman" w:hAnsi="Times New Roman"/>
          <w:sz w:val="24"/>
          <w:szCs w:val="24"/>
        </w:rPr>
        <w:t>Os principais objetivos e estratégias do Observatório da Equidade esforça</w:t>
      </w:r>
      <w:r w:rsidR="00503346">
        <w:rPr>
          <w:rFonts w:ascii="Times New Roman" w:hAnsi="Times New Roman"/>
          <w:sz w:val="24"/>
          <w:szCs w:val="24"/>
        </w:rPr>
        <w:t>vam</w:t>
      </w:r>
      <w:r w:rsidRPr="00094D22">
        <w:rPr>
          <w:rFonts w:ascii="Times New Roman" w:hAnsi="Times New Roman"/>
          <w:sz w:val="24"/>
          <w:szCs w:val="24"/>
        </w:rPr>
        <w:t>-se ao reconhecimento e ao credenciamento social de um novo e bem preparado avaliador, formulador, monitorador, propositor e fiscalizador de políticas públicas (e da iniciativa privada, inclusive) para o combate às desigualdades sociais. Para além do que se prop</w:t>
      </w:r>
      <w:r w:rsidR="00503346">
        <w:rPr>
          <w:rFonts w:ascii="Times New Roman" w:hAnsi="Times New Roman"/>
          <w:sz w:val="24"/>
          <w:szCs w:val="24"/>
        </w:rPr>
        <w:t>unha</w:t>
      </w:r>
      <w:r w:rsidR="00641DEA" w:rsidRPr="00094D22">
        <w:rPr>
          <w:rFonts w:ascii="Times New Roman" w:hAnsi="Times New Roman"/>
          <w:sz w:val="24"/>
          <w:szCs w:val="24"/>
        </w:rPr>
        <w:t xml:space="preserve"> no plano imediato</w:t>
      </w:r>
      <w:r w:rsidR="00503346">
        <w:rPr>
          <w:rFonts w:ascii="Times New Roman" w:hAnsi="Times New Roman"/>
          <w:sz w:val="24"/>
          <w:szCs w:val="24"/>
        </w:rPr>
        <w:t>, a taref</w:t>
      </w:r>
      <w:r w:rsidRPr="00094D22">
        <w:rPr>
          <w:rFonts w:ascii="Times New Roman" w:hAnsi="Times New Roman"/>
          <w:sz w:val="24"/>
          <w:szCs w:val="24"/>
        </w:rPr>
        <w:t xml:space="preserve">a política do Observatório </w:t>
      </w:r>
      <w:r w:rsidR="00641DEA" w:rsidRPr="00094D22">
        <w:rPr>
          <w:rFonts w:ascii="Times New Roman" w:hAnsi="Times New Roman"/>
          <w:sz w:val="24"/>
          <w:szCs w:val="24"/>
        </w:rPr>
        <w:t>avança</w:t>
      </w:r>
      <w:r w:rsidR="00503346">
        <w:rPr>
          <w:rFonts w:ascii="Times New Roman" w:hAnsi="Times New Roman"/>
          <w:sz w:val="24"/>
          <w:szCs w:val="24"/>
        </w:rPr>
        <w:t>va</w:t>
      </w:r>
      <w:r w:rsidR="00641DEA" w:rsidRPr="00094D22">
        <w:rPr>
          <w:rFonts w:ascii="Times New Roman" w:hAnsi="Times New Roman"/>
          <w:sz w:val="24"/>
          <w:szCs w:val="24"/>
        </w:rPr>
        <w:t xml:space="preserve"> num terreno de complexos debates acerca da “mensuração” das desigualdades, pois parec</w:t>
      </w:r>
      <w:r w:rsidR="00503346">
        <w:rPr>
          <w:rFonts w:ascii="Times New Roman" w:hAnsi="Times New Roman"/>
          <w:sz w:val="24"/>
          <w:szCs w:val="24"/>
        </w:rPr>
        <w:t>ia</w:t>
      </w:r>
      <w:r w:rsidR="00641DEA" w:rsidRPr="00094D22">
        <w:rPr>
          <w:rFonts w:ascii="Times New Roman" w:hAnsi="Times New Roman"/>
          <w:sz w:val="24"/>
          <w:szCs w:val="24"/>
        </w:rPr>
        <w:t xml:space="preserve"> que intenta</w:t>
      </w:r>
      <w:r w:rsidR="00503346">
        <w:rPr>
          <w:rFonts w:ascii="Times New Roman" w:hAnsi="Times New Roman"/>
          <w:sz w:val="24"/>
          <w:szCs w:val="24"/>
        </w:rPr>
        <w:t>va</w:t>
      </w:r>
      <w:r w:rsidR="00641DEA" w:rsidRPr="00094D22">
        <w:rPr>
          <w:rFonts w:ascii="Times New Roman" w:hAnsi="Times New Roman"/>
          <w:sz w:val="24"/>
          <w:szCs w:val="24"/>
        </w:rPr>
        <w:t xml:space="preserve"> “corrigir” ou “aperfeiçoar” indicadores </w:t>
      </w:r>
      <w:r w:rsidR="00605AC2" w:rsidRPr="00094D22">
        <w:rPr>
          <w:rFonts w:ascii="Times New Roman" w:hAnsi="Times New Roman"/>
          <w:sz w:val="24"/>
          <w:szCs w:val="24"/>
        </w:rPr>
        <w:t xml:space="preserve">oficiais (discutíveis) existentes e bastante sedimentados entre governos, estudiosos e a população. </w:t>
      </w:r>
    </w:p>
    <w:p w:rsidR="001E409B" w:rsidRPr="00094D22" w:rsidRDefault="00605AC2" w:rsidP="00CE3680">
      <w:pPr>
        <w:autoSpaceDE w:val="0"/>
        <w:autoSpaceDN w:val="0"/>
        <w:adjustRightInd w:val="0"/>
        <w:spacing w:after="0" w:line="360" w:lineRule="auto"/>
        <w:ind w:firstLine="708"/>
        <w:jc w:val="both"/>
        <w:rPr>
          <w:rFonts w:ascii="Times New Roman" w:hAnsi="Times New Roman"/>
          <w:sz w:val="24"/>
          <w:szCs w:val="24"/>
        </w:rPr>
      </w:pPr>
      <w:r w:rsidRPr="00094D22">
        <w:rPr>
          <w:rFonts w:ascii="Times New Roman" w:hAnsi="Times New Roman"/>
          <w:sz w:val="24"/>
          <w:szCs w:val="24"/>
        </w:rPr>
        <w:t>Nesta perspectiva, apresenta</w:t>
      </w:r>
      <w:r w:rsidR="00503346">
        <w:rPr>
          <w:rFonts w:ascii="Times New Roman" w:hAnsi="Times New Roman"/>
          <w:sz w:val="24"/>
          <w:szCs w:val="24"/>
        </w:rPr>
        <w:t>va</w:t>
      </w:r>
      <w:r w:rsidRPr="00094D22">
        <w:rPr>
          <w:rFonts w:ascii="Times New Roman" w:hAnsi="Times New Roman"/>
          <w:sz w:val="24"/>
          <w:szCs w:val="24"/>
        </w:rPr>
        <w:t xml:space="preserve">-se </w:t>
      </w:r>
      <w:r w:rsidR="001915AF" w:rsidRPr="00094D22">
        <w:rPr>
          <w:rFonts w:ascii="Times New Roman" w:hAnsi="Times New Roman"/>
          <w:sz w:val="24"/>
          <w:szCs w:val="24"/>
        </w:rPr>
        <w:t xml:space="preserve">como </w:t>
      </w:r>
      <w:r w:rsidRPr="00094D22">
        <w:rPr>
          <w:rFonts w:ascii="Times New Roman" w:hAnsi="Times New Roman"/>
          <w:sz w:val="24"/>
          <w:szCs w:val="24"/>
        </w:rPr>
        <w:t xml:space="preserve">instância do CDES melhor </w:t>
      </w:r>
      <w:r w:rsidR="00302984">
        <w:rPr>
          <w:rFonts w:ascii="Times New Roman" w:hAnsi="Times New Roman"/>
          <w:sz w:val="24"/>
          <w:szCs w:val="24"/>
        </w:rPr>
        <w:t>capacitada a dizer o que se devia</w:t>
      </w:r>
      <w:r w:rsidRPr="00094D22">
        <w:rPr>
          <w:rFonts w:ascii="Times New Roman" w:hAnsi="Times New Roman"/>
          <w:sz w:val="24"/>
          <w:szCs w:val="24"/>
        </w:rPr>
        <w:t xml:space="preserve"> ou não adotar como política social</w:t>
      </w:r>
      <w:r w:rsidR="00AA070E" w:rsidRPr="00094D22">
        <w:rPr>
          <w:rFonts w:ascii="Times New Roman" w:hAnsi="Times New Roman"/>
          <w:sz w:val="24"/>
          <w:szCs w:val="24"/>
        </w:rPr>
        <w:t xml:space="preserve"> adequada e eficaz</w:t>
      </w:r>
      <w:r w:rsidRPr="00094D22">
        <w:rPr>
          <w:rFonts w:ascii="Times New Roman" w:hAnsi="Times New Roman"/>
          <w:sz w:val="24"/>
          <w:szCs w:val="24"/>
        </w:rPr>
        <w:t xml:space="preserve"> a fim de dirimir a “desigualdade”, a partir da produção de indicadores </w:t>
      </w:r>
      <w:r w:rsidR="00641DEA" w:rsidRPr="00094D22">
        <w:rPr>
          <w:rFonts w:ascii="Times New Roman" w:hAnsi="Times New Roman"/>
          <w:sz w:val="24"/>
          <w:szCs w:val="24"/>
        </w:rPr>
        <w:t xml:space="preserve">que, por si sós, </w:t>
      </w:r>
      <w:r w:rsidR="00AA070E" w:rsidRPr="00094D22">
        <w:rPr>
          <w:rFonts w:ascii="Times New Roman" w:hAnsi="Times New Roman"/>
          <w:sz w:val="24"/>
          <w:szCs w:val="24"/>
        </w:rPr>
        <w:t>opera</w:t>
      </w:r>
      <w:r w:rsidR="00302984">
        <w:rPr>
          <w:rFonts w:ascii="Times New Roman" w:hAnsi="Times New Roman"/>
          <w:sz w:val="24"/>
          <w:szCs w:val="24"/>
        </w:rPr>
        <w:t>va</w:t>
      </w:r>
      <w:r w:rsidR="00AA070E" w:rsidRPr="00094D22">
        <w:rPr>
          <w:rFonts w:ascii="Times New Roman" w:hAnsi="Times New Roman"/>
          <w:sz w:val="24"/>
          <w:szCs w:val="24"/>
        </w:rPr>
        <w:t>m homogeneizando</w:t>
      </w:r>
      <w:r w:rsidR="00641DEA" w:rsidRPr="00094D22">
        <w:rPr>
          <w:rFonts w:ascii="Times New Roman" w:hAnsi="Times New Roman"/>
          <w:sz w:val="24"/>
          <w:szCs w:val="24"/>
        </w:rPr>
        <w:t xml:space="preserve"> uma realidade social bastante heterogênea</w:t>
      </w:r>
      <w:r w:rsidR="008716D1" w:rsidRPr="00094D22">
        <w:rPr>
          <w:rFonts w:ascii="Times New Roman" w:hAnsi="Times New Roman"/>
          <w:sz w:val="24"/>
          <w:szCs w:val="24"/>
        </w:rPr>
        <w:t xml:space="preserve"> e complexa</w:t>
      </w:r>
      <w:r w:rsidRPr="00094D22">
        <w:rPr>
          <w:rFonts w:ascii="Times New Roman" w:hAnsi="Times New Roman"/>
          <w:sz w:val="24"/>
          <w:szCs w:val="24"/>
        </w:rPr>
        <w:t>. Desta forma, operacionaliza</w:t>
      </w:r>
      <w:r w:rsidR="00302984">
        <w:rPr>
          <w:rFonts w:ascii="Times New Roman" w:hAnsi="Times New Roman"/>
          <w:sz w:val="24"/>
          <w:szCs w:val="24"/>
        </w:rPr>
        <w:t>va</w:t>
      </w:r>
      <w:r w:rsidRPr="00094D22">
        <w:rPr>
          <w:rFonts w:ascii="Times New Roman" w:hAnsi="Times New Roman"/>
          <w:sz w:val="24"/>
          <w:szCs w:val="24"/>
        </w:rPr>
        <w:t xml:space="preserve"> o conceito de desigualdade</w:t>
      </w:r>
      <w:r w:rsidR="001915AF" w:rsidRPr="00094D22">
        <w:rPr>
          <w:rFonts w:ascii="Times New Roman" w:hAnsi="Times New Roman"/>
          <w:sz w:val="24"/>
          <w:szCs w:val="24"/>
        </w:rPr>
        <w:t xml:space="preserve"> – e por via direta, o de pobreza –através de indicadores </w:t>
      </w:r>
      <w:r w:rsidR="00094D22" w:rsidRPr="00094D22">
        <w:rPr>
          <w:rFonts w:ascii="Times New Roman" w:hAnsi="Times New Roman"/>
          <w:sz w:val="24"/>
          <w:szCs w:val="24"/>
        </w:rPr>
        <w:t>(renda,</w:t>
      </w:r>
      <w:r w:rsidRPr="00094D22">
        <w:rPr>
          <w:rFonts w:ascii="Times New Roman" w:hAnsi="Times New Roman"/>
          <w:sz w:val="24"/>
          <w:szCs w:val="24"/>
        </w:rPr>
        <w:t xml:space="preserve"> acesso a bens e serviços públicos</w:t>
      </w:r>
      <w:r w:rsidR="00094D22" w:rsidRPr="00094D22">
        <w:rPr>
          <w:rFonts w:ascii="Times New Roman" w:hAnsi="Times New Roman"/>
          <w:sz w:val="24"/>
          <w:szCs w:val="24"/>
        </w:rPr>
        <w:t>,</w:t>
      </w:r>
      <w:r w:rsidR="001915AF" w:rsidRPr="00094D22">
        <w:rPr>
          <w:rFonts w:ascii="Times New Roman" w:hAnsi="Times New Roman"/>
          <w:sz w:val="24"/>
          <w:szCs w:val="24"/>
        </w:rPr>
        <w:t>participação política</w:t>
      </w:r>
      <w:r w:rsidR="00094D22" w:rsidRPr="00094D22">
        <w:rPr>
          <w:rFonts w:ascii="Times New Roman" w:hAnsi="Times New Roman"/>
          <w:sz w:val="24"/>
          <w:szCs w:val="24"/>
        </w:rPr>
        <w:t>,</w:t>
      </w:r>
      <w:r w:rsidR="001915AF" w:rsidRPr="00094D22">
        <w:rPr>
          <w:rFonts w:ascii="Times New Roman" w:hAnsi="Times New Roman"/>
          <w:sz w:val="24"/>
          <w:szCs w:val="24"/>
        </w:rPr>
        <w:t xml:space="preserve"> bem-estar psicofísico, ambiental, cultural)que </w:t>
      </w:r>
      <w:r w:rsidR="008716D1" w:rsidRPr="00094D22">
        <w:rPr>
          <w:rFonts w:ascii="Times New Roman" w:hAnsi="Times New Roman"/>
          <w:sz w:val="24"/>
          <w:szCs w:val="24"/>
        </w:rPr>
        <w:t xml:space="preserve">se </w:t>
      </w:r>
      <w:r w:rsidR="001915AF" w:rsidRPr="00094D22">
        <w:rPr>
          <w:rFonts w:ascii="Times New Roman" w:hAnsi="Times New Roman"/>
          <w:sz w:val="24"/>
          <w:szCs w:val="24"/>
        </w:rPr>
        <w:t>desvincula</w:t>
      </w:r>
      <w:r w:rsidR="00302984">
        <w:rPr>
          <w:rFonts w:ascii="Times New Roman" w:hAnsi="Times New Roman"/>
          <w:sz w:val="24"/>
          <w:szCs w:val="24"/>
        </w:rPr>
        <w:t>va</w:t>
      </w:r>
      <w:r w:rsidR="001915AF" w:rsidRPr="00094D22">
        <w:rPr>
          <w:rFonts w:ascii="Times New Roman" w:hAnsi="Times New Roman"/>
          <w:sz w:val="24"/>
          <w:szCs w:val="24"/>
        </w:rPr>
        <w:t xml:space="preserve">m </w:t>
      </w:r>
      <w:r w:rsidR="008716D1" w:rsidRPr="00094D22">
        <w:rPr>
          <w:rFonts w:ascii="Times New Roman" w:hAnsi="Times New Roman"/>
          <w:sz w:val="24"/>
          <w:szCs w:val="24"/>
        </w:rPr>
        <w:t>d</w:t>
      </w:r>
      <w:r w:rsidR="001915AF" w:rsidRPr="00094D22">
        <w:rPr>
          <w:rFonts w:ascii="Times New Roman" w:hAnsi="Times New Roman"/>
          <w:sz w:val="24"/>
          <w:szCs w:val="24"/>
        </w:rPr>
        <w:t xml:space="preserve">as dimensões mais amplas colocadas pelo modo de vida nas sociedades ocidentais complexas, </w:t>
      </w:r>
      <w:r w:rsidR="00641DEA" w:rsidRPr="00094D22">
        <w:rPr>
          <w:rFonts w:ascii="Times New Roman" w:hAnsi="Times New Roman"/>
          <w:sz w:val="24"/>
          <w:szCs w:val="24"/>
        </w:rPr>
        <w:t xml:space="preserve">deixando </w:t>
      </w:r>
      <w:r w:rsidR="008716D1" w:rsidRPr="00094D22">
        <w:rPr>
          <w:rFonts w:ascii="Times New Roman" w:hAnsi="Times New Roman"/>
          <w:sz w:val="24"/>
          <w:szCs w:val="24"/>
        </w:rPr>
        <w:t xml:space="preserve">sérias </w:t>
      </w:r>
      <w:r w:rsidR="00641DEA" w:rsidRPr="00094D22">
        <w:rPr>
          <w:rFonts w:ascii="Times New Roman" w:hAnsi="Times New Roman"/>
          <w:sz w:val="24"/>
          <w:szCs w:val="24"/>
        </w:rPr>
        <w:t xml:space="preserve">dúvidas </w:t>
      </w:r>
      <w:r w:rsidR="001915AF" w:rsidRPr="00094D22">
        <w:rPr>
          <w:rFonts w:ascii="Times New Roman" w:hAnsi="Times New Roman"/>
          <w:sz w:val="24"/>
          <w:szCs w:val="24"/>
        </w:rPr>
        <w:t>sobre sua</w:t>
      </w:r>
      <w:r w:rsidR="00641DEA" w:rsidRPr="00094D22">
        <w:rPr>
          <w:rFonts w:ascii="Times New Roman" w:hAnsi="Times New Roman"/>
          <w:sz w:val="24"/>
          <w:szCs w:val="24"/>
        </w:rPr>
        <w:t xml:space="preserve"> relevância  </w:t>
      </w:r>
      <w:r w:rsidR="001915AF" w:rsidRPr="00094D22">
        <w:rPr>
          <w:rFonts w:ascii="Times New Roman" w:hAnsi="Times New Roman"/>
          <w:sz w:val="24"/>
          <w:szCs w:val="24"/>
        </w:rPr>
        <w:t xml:space="preserve">no combate </w:t>
      </w:r>
      <w:r w:rsidR="00910C88" w:rsidRPr="00094D22">
        <w:rPr>
          <w:rFonts w:ascii="Times New Roman" w:hAnsi="Times New Roman"/>
          <w:sz w:val="24"/>
          <w:szCs w:val="24"/>
        </w:rPr>
        <w:t>à diminuição das</w:t>
      </w:r>
      <w:r w:rsidR="001915AF" w:rsidRPr="00094D22">
        <w:rPr>
          <w:rFonts w:ascii="Times New Roman" w:hAnsi="Times New Roman"/>
          <w:sz w:val="24"/>
          <w:szCs w:val="24"/>
        </w:rPr>
        <w:t xml:space="preserve"> desigualdade</w:t>
      </w:r>
      <w:r w:rsidR="00910C88" w:rsidRPr="00094D22">
        <w:rPr>
          <w:rFonts w:ascii="Times New Roman" w:hAnsi="Times New Roman"/>
          <w:sz w:val="24"/>
          <w:szCs w:val="24"/>
        </w:rPr>
        <w:t>s</w:t>
      </w:r>
      <w:r w:rsidR="001915AF" w:rsidRPr="00094D22">
        <w:rPr>
          <w:rFonts w:ascii="Times New Roman" w:hAnsi="Times New Roman"/>
          <w:sz w:val="24"/>
          <w:szCs w:val="24"/>
        </w:rPr>
        <w:t xml:space="preserve"> no capitalismo.</w:t>
      </w:r>
    </w:p>
    <w:p w:rsidR="008369D6" w:rsidRPr="00094D22" w:rsidRDefault="00AA070E" w:rsidP="008716D1">
      <w:pPr>
        <w:autoSpaceDE w:val="0"/>
        <w:autoSpaceDN w:val="0"/>
        <w:adjustRightInd w:val="0"/>
        <w:spacing w:after="0" w:line="360" w:lineRule="auto"/>
        <w:ind w:firstLine="708"/>
        <w:jc w:val="both"/>
        <w:rPr>
          <w:rFonts w:ascii="Times New Roman" w:hAnsi="Times New Roman"/>
          <w:sz w:val="24"/>
          <w:szCs w:val="24"/>
        </w:rPr>
      </w:pPr>
      <w:r w:rsidRPr="00094D22">
        <w:rPr>
          <w:rFonts w:ascii="Times New Roman" w:hAnsi="Times New Roman"/>
          <w:sz w:val="24"/>
          <w:szCs w:val="24"/>
        </w:rPr>
        <w:t xml:space="preserve">De qualquer forma, não restam dúvidas </w:t>
      </w:r>
      <w:r w:rsidR="008716D1" w:rsidRPr="00094D22">
        <w:rPr>
          <w:rFonts w:ascii="Times New Roman" w:hAnsi="Times New Roman"/>
          <w:sz w:val="24"/>
          <w:szCs w:val="24"/>
        </w:rPr>
        <w:t xml:space="preserve">de </w:t>
      </w:r>
      <w:r w:rsidRPr="00094D22">
        <w:rPr>
          <w:rFonts w:ascii="Times New Roman" w:hAnsi="Times New Roman"/>
          <w:sz w:val="24"/>
          <w:szCs w:val="24"/>
        </w:rPr>
        <w:t xml:space="preserve">que o Observatório </w:t>
      </w:r>
      <w:r w:rsidR="00302984">
        <w:rPr>
          <w:rFonts w:ascii="Times New Roman" w:hAnsi="Times New Roman"/>
          <w:sz w:val="24"/>
          <w:szCs w:val="24"/>
        </w:rPr>
        <w:t xml:space="preserve">era (e </w:t>
      </w:r>
      <w:r w:rsidRPr="00094D22">
        <w:rPr>
          <w:rFonts w:ascii="Times New Roman" w:hAnsi="Times New Roman"/>
          <w:sz w:val="24"/>
          <w:szCs w:val="24"/>
        </w:rPr>
        <w:t>é</w:t>
      </w:r>
      <w:r w:rsidR="00302984">
        <w:rPr>
          <w:rFonts w:ascii="Times New Roman" w:hAnsi="Times New Roman"/>
          <w:sz w:val="24"/>
          <w:szCs w:val="24"/>
        </w:rPr>
        <w:t>)</w:t>
      </w:r>
      <w:r w:rsidRPr="00094D22">
        <w:rPr>
          <w:rFonts w:ascii="Times New Roman" w:hAnsi="Times New Roman"/>
          <w:sz w:val="24"/>
          <w:szCs w:val="24"/>
        </w:rPr>
        <w:t xml:space="preserve"> um laboratório social-liberal </w:t>
      </w:r>
      <w:r w:rsidR="008716D1" w:rsidRPr="00094D22">
        <w:rPr>
          <w:rFonts w:ascii="Times New Roman" w:hAnsi="Times New Roman"/>
          <w:sz w:val="24"/>
          <w:szCs w:val="24"/>
        </w:rPr>
        <w:t xml:space="preserve">preparado </w:t>
      </w:r>
      <w:r w:rsidRPr="00094D22">
        <w:rPr>
          <w:rFonts w:ascii="Times New Roman" w:hAnsi="Times New Roman"/>
          <w:sz w:val="24"/>
          <w:szCs w:val="24"/>
        </w:rPr>
        <w:t xml:space="preserve">para convencer </w:t>
      </w:r>
      <w:r w:rsidR="008716D1" w:rsidRPr="00094D22">
        <w:rPr>
          <w:rFonts w:ascii="Times New Roman" w:hAnsi="Times New Roman"/>
          <w:sz w:val="24"/>
          <w:szCs w:val="24"/>
        </w:rPr>
        <w:t xml:space="preserve">ativamente </w:t>
      </w:r>
      <w:r w:rsidRPr="00094D22">
        <w:rPr>
          <w:rFonts w:ascii="Times New Roman" w:hAnsi="Times New Roman"/>
          <w:sz w:val="24"/>
          <w:szCs w:val="24"/>
        </w:rPr>
        <w:t>amplos setores (não apenas no CDES pois ele alimenta</w:t>
      </w:r>
      <w:r w:rsidR="00BC1347">
        <w:rPr>
          <w:rFonts w:ascii="Times New Roman" w:hAnsi="Times New Roman"/>
          <w:sz w:val="24"/>
          <w:szCs w:val="24"/>
        </w:rPr>
        <w:t>va</w:t>
      </w:r>
      <w:r w:rsidRPr="00094D22">
        <w:rPr>
          <w:rFonts w:ascii="Times New Roman" w:hAnsi="Times New Roman"/>
          <w:sz w:val="24"/>
          <w:szCs w:val="24"/>
        </w:rPr>
        <w:t xml:space="preserve"> uma “Rede de Observação” constituída por várias entidades da sociedade civil</w:t>
      </w:r>
      <w:r w:rsidR="008716D1" w:rsidRPr="00094D22">
        <w:rPr>
          <w:rFonts w:ascii="Times New Roman" w:hAnsi="Times New Roman"/>
          <w:sz w:val="24"/>
          <w:szCs w:val="24"/>
        </w:rPr>
        <w:t xml:space="preserve"> que dele participa</w:t>
      </w:r>
      <w:r w:rsidR="00BC1347">
        <w:rPr>
          <w:rFonts w:ascii="Times New Roman" w:hAnsi="Times New Roman"/>
          <w:sz w:val="24"/>
          <w:szCs w:val="24"/>
        </w:rPr>
        <w:t>vam</w:t>
      </w:r>
      <w:r w:rsidRPr="00094D22">
        <w:rPr>
          <w:rFonts w:ascii="Times New Roman" w:hAnsi="Times New Roman"/>
          <w:sz w:val="24"/>
          <w:szCs w:val="24"/>
        </w:rPr>
        <w:t>) de que a desigualdade social no capitalismo pode</w:t>
      </w:r>
      <w:r w:rsidR="00BC1347">
        <w:rPr>
          <w:rFonts w:ascii="Times New Roman" w:hAnsi="Times New Roman"/>
          <w:sz w:val="24"/>
          <w:szCs w:val="24"/>
        </w:rPr>
        <w:t>ria</w:t>
      </w:r>
      <w:r w:rsidRPr="00094D22">
        <w:rPr>
          <w:rFonts w:ascii="Times New Roman" w:hAnsi="Times New Roman"/>
          <w:sz w:val="24"/>
          <w:szCs w:val="24"/>
        </w:rPr>
        <w:t xml:space="preserve"> ser atenuada se governos, sociedade e empresas praticarem ações </w:t>
      </w:r>
      <w:r w:rsidR="00BC1347">
        <w:rPr>
          <w:rFonts w:ascii="Times New Roman" w:hAnsi="Times New Roman"/>
          <w:sz w:val="24"/>
          <w:szCs w:val="24"/>
        </w:rPr>
        <w:t>julgadas corretas e coordenadas, sob a vigência de uma lógica que mensura, diagnostica e prescreve ações de “combate” à pobreza.</w:t>
      </w:r>
      <w:r w:rsidR="008716D1" w:rsidRPr="00094D22">
        <w:rPr>
          <w:rFonts w:ascii="Times New Roman" w:hAnsi="Times New Roman"/>
          <w:sz w:val="24"/>
          <w:szCs w:val="24"/>
        </w:rPr>
        <w:t xml:space="preserve"> Deve-se atent</w:t>
      </w:r>
      <w:r w:rsidR="000101F4" w:rsidRPr="00094D22">
        <w:rPr>
          <w:rFonts w:ascii="Times New Roman" w:hAnsi="Times New Roman"/>
          <w:sz w:val="24"/>
          <w:szCs w:val="24"/>
        </w:rPr>
        <w:t xml:space="preserve">ar para pretensão hegemônica do </w:t>
      </w:r>
      <w:r w:rsidR="008716D1" w:rsidRPr="00094D22">
        <w:rPr>
          <w:rFonts w:ascii="Times New Roman" w:hAnsi="Times New Roman"/>
          <w:sz w:val="24"/>
          <w:szCs w:val="24"/>
        </w:rPr>
        <w:t xml:space="preserve">Observatório, principalmente </w:t>
      </w:r>
      <w:r w:rsidR="008716D1" w:rsidRPr="00094D22">
        <w:rPr>
          <w:rFonts w:ascii="Times New Roman" w:hAnsi="Times New Roman"/>
          <w:i/>
          <w:sz w:val="24"/>
          <w:szCs w:val="24"/>
        </w:rPr>
        <w:t>intracorporis</w:t>
      </w:r>
      <w:r w:rsidR="008716D1" w:rsidRPr="00094D22">
        <w:rPr>
          <w:rFonts w:ascii="Times New Roman" w:hAnsi="Times New Roman"/>
          <w:sz w:val="24"/>
          <w:szCs w:val="24"/>
        </w:rPr>
        <w:t>, ist</w:t>
      </w:r>
      <w:r w:rsidR="000101F4" w:rsidRPr="00094D22">
        <w:rPr>
          <w:rFonts w:ascii="Times New Roman" w:hAnsi="Times New Roman"/>
          <w:sz w:val="24"/>
          <w:szCs w:val="24"/>
        </w:rPr>
        <w:t xml:space="preserve">o é, legitimando o próprio CDES </w:t>
      </w:r>
      <w:r w:rsidR="00BF61AD">
        <w:rPr>
          <w:rFonts w:ascii="Times New Roman" w:hAnsi="Times New Roman"/>
          <w:sz w:val="24"/>
          <w:szCs w:val="24"/>
        </w:rPr>
        <w:t>diante d</w:t>
      </w:r>
      <w:r w:rsidR="008716D1" w:rsidRPr="00094D22">
        <w:rPr>
          <w:rFonts w:ascii="Times New Roman" w:hAnsi="Times New Roman"/>
          <w:sz w:val="24"/>
          <w:szCs w:val="24"/>
        </w:rPr>
        <w:t>os demais órgãos estatais e</w:t>
      </w:r>
      <w:r w:rsidR="000101F4" w:rsidRPr="00094D22">
        <w:rPr>
          <w:rFonts w:ascii="Times New Roman" w:hAnsi="Times New Roman"/>
          <w:sz w:val="24"/>
          <w:szCs w:val="24"/>
        </w:rPr>
        <w:t xml:space="preserve"> também </w:t>
      </w:r>
      <w:r w:rsidR="008716D1" w:rsidRPr="00094D22">
        <w:rPr>
          <w:rFonts w:ascii="Times New Roman" w:hAnsi="Times New Roman"/>
          <w:sz w:val="24"/>
          <w:szCs w:val="24"/>
        </w:rPr>
        <w:t xml:space="preserve">para </w:t>
      </w:r>
      <w:r w:rsidR="000101F4" w:rsidRPr="00094D22">
        <w:rPr>
          <w:rFonts w:ascii="Times New Roman" w:hAnsi="Times New Roman"/>
          <w:sz w:val="24"/>
          <w:szCs w:val="24"/>
        </w:rPr>
        <w:t xml:space="preserve">fora do Conselho, sinalizando para </w:t>
      </w:r>
      <w:r w:rsidR="008716D1" w:rsidRPr="00094D22">
        <w:rPr>
          <w:rFonts w:ascii="Times New Roman" w:hAnsi="Times New Roman"/>
          <w:sz w:val="24"/>
          <w:szCs w:val="24"/>
        </w:rPr>
        <w:t>setores da sociedade</w:t>
      </w:r>
      <w:r w:rsidR="00BC1347">
        <w:rPr>
          <w:rFonts w:ascii="Times New Roman" w:hAnsi="Times New Roman"/>
          <w:sz w:val="24"/>
          <w:szCs w:val="24"/>
        </w:rPr>
        <w:t>que suas recomendações estavam</w:t>
      </w:r>
      <w:r w:rsidR="008716D1" w:rsidRPr="00094D22">
        <w:rPr>
          <w:rFonts w:ascii="Times New Roman" w:hAnsi="Times New Roman"/>
          <w:sz w:val="24"/>
          <w:szCs w:val="24"/>
        </w:rPr>
        <w:t xml:space="preserve"> balizadas em estudos,</w:t>
      </w:r>
      <w:r w:rsidR="000101F4" w:rsidRPr="00094D22">
        <w:rPr>
          <w:rFonts w:ascii="Times New Roman" w:hAnsi="Times New Roman"/>
          <w:sz w:val="24"/>
          <w:szCs w:val="24"/>
        </w:rPr>
        <w:t xml:space="preserve"> pesquisas e debates “técnicos”, por meio da colaboração de institutos de pesquisa </w:t>
      </w:r>
      <w:r w:rsidR="00BC1347">
        <w:rPr>
          <w:rFonts w:ascii="Times New Roman" w:hAnsi="Times New Roman"/>
          <w:sz w:val="24"/>
          <w:szCs w:val="24"/>
        </w:rPr>
        <w:t xml:space="preserve">largamente </w:t>
      </w:r>
      <w:r w:rsidR="000101F4" w:rsidRPr="00094D22">
        <w:rPr>
          <w:rFonts w:ascii="Times New Roman" w:hAnsi="Times New Roman"/>
          <w:sz w:val="24"/>
          <w:szCs w:val="24"/>
        </w:rPr>
        <w:t>reconhecidos (IBGE, IPEA, DIEESE).</w:t>
      </w:r>
    </w:p>
    <w:p w:rsidR="008716D1" w:rsidRPr="00094D22" w:rsidRDefault="008716D1" w:rsidP="008716D1">
      <w:pPr>
        <w:autoSpaceDE w:val="0"/>
        <w:autoSpaceDN w:val="0"/>
        <w:adjustRightInd w:val="0"/>
        <w:spacing w:after="0" w:line="360" w:lineRule="auto"/>
        <w:ind w:firstLine="708"/>
        <w:jc w:val="both"/>
        <w:rPr>
          <w:rFonts w:ascii="Times New Roman" w:hAnsi="Times New Roman"/>
          <w:sz w:val="24"/>
          <w:szCs w:val="24"/>
        </w:rPr>
      </w:pPr>
    </w:p>
    <w:p w:rsidR="00AB0892" w:rsidRPr="00094D22" w:rsidRDefault="00AB0892" w:rsidP="00011C6A">
      <w:pPr>
        <w:autoSpaceDE w:val="0"/>
        <w:autoSpaceDN w:val="0"/>
        <w:adjustRightInd w:val="0"/>
        <w:spacing w:after="0" w:line="360" w:lineRule="auto"/>
        <w:ind w:firstLine="708"/>
        <w:jc w:val="both"/>
        <w:rPr>
          <w:rFonts w:ascii="Times New Roman" w:hAnsi="Times New Roman"/>
          <w:b/>
          <w:sz w:val="24"/>
          <w:szCs w:val="24"/>
        </w:rPr>
      </w:pPr>
      <w:r w:rsidRPr="00094D22">
        <w:rPr>
          <w:rFonts w:ascii="Times New Roman" w:hAnsi="Times New Roman"/>
          <w:b/>
          <w:sz w:val="24"/>
          <w:szCs w:val="24"/>
        </w:rPr>
        <w:t>1.5.1 – Conside</w:t>
      </w:r>
      <w:r w:rsidR="000101F4" w:rsidRPr="00094D22">
        <w:rPr>
          <w:rFonts w:ascii="Times New Roman" w:hAnsi="Times New Roman"/>
          <w:b/>
          <w:sz w:val="24"/>
          <w:szCs w:val="24"/>
        </w:rPr>
        <w:t>rações sobre o tema da equidade</w:t>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Cumprido o papel de apresentar </w:t>
      </w:r>
      <w:r w:rsidR="000101F4">
        <w:rPr>
          <w:rFonts w:ascii="Times New Roman" w:hAnsi="Times New Roman"/>
          <w:sz w:val="24"/>
          <w:szCs w:val="24"/>
        </w:rPr>
        <w:t xml:space="preserve">e analisar </w:t>
      </w:r>
      <w:r>
        <w:rPr>
          <w:rFonts w:ascii="Times New Roman" w:hAnsi="Times New Roman"/>
          <w:sz w:val="24"/>
          <w:szCs w:val="24"/>
        </w:rPr>
        <w:t xml:space="preserve">a complexificação </w:t>
      </w:r>
      <w:r w:rsidR="003879C1">
        <w:rPr>
          <w:rFonts w:ascii="Times New Roman" w:hAnsi="Times New Roman"/>
          <w:sz w:val="24"/>
          <w:szCs w:val="24"/>
        </w:rPr>
        <w:t xml:space="preserve">de </w:t>
      </w:r>
      <w:r>
        <w:rPr>
          <w:rFonts w:ascii="Times New Roman" w:hAnsi="Times New Roman"/>
          <w:sz w:val="24"/>
          <w:szCs w:val="24"/>
        </w:rPr>
        <w:t xml:space="preserve">uma das estruturas do CDES a partir do Observatório da Equidade, nos encontramos na exigência </w:t>
      </w:r>
      <w:r w:rsidR="000101F4">
        <w:rPr>
          <w:rFonts w:ascii="Times New Roman" w:hAnsi="Times New Roman"/>
          <w:sz w:val="24"/>
          <w:szCs w:val="24"/>
        </w:rPr>
        <w:t>de tecer algumas considerações sobre o conceito de “equidade” operado no CDES.</w:t>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O uso do termo “equidade” era</w:t>
      </w:r>
      <w:r w:rsidRPr="00543D21">
        <w:rPr>
          <w:rFonts w:ascii="Times New Roman" w:hAnsi="Times New Roman"/>
          <w:sz w:val="24"/>
          <w:szCs w:val="24"/>
        </w:rPr>
        <w:t xml:space="preserve"> bastante gelatinoso dentre os conselheiros. </w:t>
      </w:r>
      <w:r>
        <w:rPr>
          <w:rFonts w:ascii="Times New Roman" w:hAnsi="Times New Roman"/>
          <w:sz w:val="24"/>
          <w:szCs w:val="24"/>
        </w:rPr>
        <w:t>Apesar de não ser o objetivo deste capítulo elaborar uma análise mais criteriosa sobre “desenvolvimento com equidade”, tema muito caro ao CDES, h</w:t>
      </w:r>
      <w:r w:rsidRPr="00543D21">
        <w:rPr>
          <w:rFonts w:ascii="Times New Roman" w:hAnsi="Times New Roman"/>
          <w:sz w:val="24"/>
          <w:szCs w:val="24"/>
        </w:rPr>
        <w:t xml:space="preserve">á ocasiões </w:t>
      </w:r>
      <w:r>
        <w:rPr>
          <w:rFonts w:ascii="Times New Roman" w:hAnsi="Times New Roman"/>
          <w:sz w:val="24"/>
          <w:szCs w:val="24"/>
        </w:rPr>
        <w:t xml:space="preserve">em </w:t>
      </w:r>
      <w:r w:rsidRPr="00543D21">
        <w:rPr>
          <w:rFonts w:ascii="Times New Roman" w:hAnsi="Times New Roman"/>
          <w:sz w:val="24"/>
          <w:szCs w:val="24"/>
        </w:rPr>
        <w:t xml:space="preserve">que </w:t>
      </w:r>
      <w:r>
        <w:rPr>
          <w:rFonts w:ascii="Times New Roman" w:hAnsi="Times New Roman"/>
          <w:sz w:val="24"/>
          <w:szCs w:val="24"/>
        </w:rPr>
        <w:t xml:space="preserve">“equidade” </w:t>
      </w:r>
      <w:r w:rsidRPr="00543D21">
        <w:rPr>
          <w:rFonts w:ascii="Times New Roman" w:hAnsi="Times New Roman"/>
          <w:sz w:val="24"/>
          <w:szCs w:val="24"/>
        </w:rPr>
        <w:t xml:space="preserve">parece </w:t>
      </w:r>
      <w:r>
        <w:rPr>
          <w:rFonts w:ascii="Times New Roman" w:hAnsi="Times New Roman"/>
          <w:sz w:val="24"/>
          <w:szCs w:val="24"/>
        </w:rPr>
        <w:t>sinonimizar</w:t>
      </w:r>
      <w:r w:rsidRPr="00543D21">
        <w:rPr>
          <w:rFonts w:ascii="Times New Roman" w:hAnsi="Times New Roman"/>
          <w:sz w:val="24"/>
          <w:szCs w:val="24"/>
        </w:rPr>
        <w:t xml:space="preserve"> a própria igualdade, </w:t>
      </w:r>
      <w:r>
        <w:rPr>
          <w:rFonts w:ascii="Times New Roman" w:hAnsi="Times New Roman"/>
          <w:sz w:val="24"/>
          <w:szCs w:val="24"/>
        </w:rPr>
        <w:t xml:space="preserve">numa precisa apreensão desta, evidentemente, </w:t>
      </w:r>
      <w:r w:rsidRPr="00543D21">
        <w:rPr>
          <w:rFonts w:ascii="Times New Roman" w:hAnsi="Times New Roman"/>
          <w:sz w:val="24"/>
          <w:szCs w:val="24"/>
        </w:rPr>
        <w:t xml:space="preserve">ou então um caminho </w:t>
      </w:r>
      <w:r>
        <w:rPr>
          <w:rFonts w:ascii="Times New Roman" w:hAnsi="Times New Roman"/>
          <w:sz w:val="24"/>
          <w:szCs w:val="24"/>
        </w:rPr>
        <w:t xml:space="preserve">próspero e </w:t>
      </w:r>
      <w:r w:rsidRPr="00543D21">
        <w:rPr>
          <w:rFonts w:ascii="Times New Roman" w:hAnsi="Times New Roman"/>
          <w:sz w:val="24"/>
          <w:szCs w:val="24"/>
        </w:rPr>
        <w:t>próximo para alcançá-la</w:t>
      </w:r>
      <w:r>
        <w:rPr>
          <w:rFonts w:ascii="Times New Roman" w:hAnsi="Times New Roman"/>
          <w:sz w:val="24"/>
          <w:szCs w:val="24"/>
        </w:rPr>
        <w:t>. (“</w:t>
      </w:r>
      <w:r w:rsidRPr="0084122D">
        <w:rPr>
          <w:rFonts w:ascii="Times New Roman" w:hAnsi="Times New Roman"/>
          <w:sz w:val="24"/>
          <w:szCs w:val="24"/>
        </w:rPr>
        <w:t>Devemos olhar de que maneira a política pública promove ou não a eq</w:t>
      </w:r>
      <w:r w:rsidR="005913F9">
        <w:rPr>
          <w:rFonts w:ascii="Times New Roman" w:hAnsi="Times New Roman"/>
          <w:sz w:val="24"/>
          <w:szCs w:val="24"/>
        </w:rPr>
        <w:t>u</w:t>
      </w:r>
      <w:r w:rsidRPr="0084122D">
        <w:rPr>
          <w:rFonts w:ascii="Times New Roman" w:hAnsi="Times New Roman"/>
          <w:sz w:val="24"/>
          <w:szCs w:val="24"/>
        </w:rPr>
        <w:t>idade, visando a igualdade</w:t>
      </w:r>
      <w:r w:rsidRPr="0084122D">
        <w:rPr>
          <w:rFonts w:ascii="Times New Roman" w:hAnsi="Times New Roman"/>
          <w:sz w:val="20"/>
          <w:szCs w:val="20"/>
        </w:rPr>
        <w:t>”</w:t>
      </w:r>
      <w:r>
        <w:rPr>
          <w:rFonts w:ascii="Times New Roman" w:hAnsi="Times New Roman"/>
          <w:sz w:val="24"/>
          <w:szCs w:val="24"/>
        </w:rPr>
        <w:t xml:space="preserve">, afirmou Clemente Lúcio, </w:t>
      </w:r>
      <w:r w:rsidR="0087743E">
        <w:rPr>
          <w:rFonts w:ascii="Times New Roman" w:hAnsi="Times New Roman"/>
          <w:sz w:val="24"/>
          <w:szCs w:val="24"/>
        </w:rPr>
        <w:t xml:space="preserve">do Dieese, </w:t>
      </w:r>
      <w:r>
        <w:rPr>
          <w:rFonts w:ascii="Times New Roman" w:hAnsi="Times New Roman"/>
          <w:sz w:val="24"/>
          <w:szCs w:val="24"/>
        </w:rPr>
        <w:t>na 16ª Reunião Plenária</w:t>
      </w:r>
      <w:r w:rsidRPr="0084122D">
        <w:rPr>
          <w:rFonts w:ascii="Times New Roman" w:hAnsi="Times New Roman"/>
          <w:sz w:val="20"/>
          <w:szCs w:val="20"/>
        </w:rPr>
        <w:t>)</w:t>
      </w:r>
      <w:r w:rsidRPr="00543D21">
        <w:rPr>
          <w:rFonts w:ascii="Times New Roman" w:hAnsi="Times New Roman"/>
          <w:sz w:val="24"/>
          <w:szCs w:val="24"/>
        </w:rPr>
        <w:t xml:space="preserve">. </w:t>
      </w:r>
    </w:p>
    <w:p w:rsidR="00455CBF" w:rsidRDefault="00CE3680" w:rsidP="00CE3680">
      <w:pPr>
        <w:tabs>
          <w:tab w:val="left" w:pos="36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543D21">
        <w:rPr>
          <w:rFonts w:ascii="Times New Roman" w:hAnsi="Times New Roman"/>
          <w:sz w:val="24"/>
          <w:szCs w:val="24"/>
        </w:rPr>
        <w:t>Muita</w:t>
      </w:r>
      <w:r>
        <w:rPr>
          <w:rFonts w:ascii="Times New Roman" w:hAnsi="Times New Roman"/>
          <w:sz w:val="24"/>
          <w:szCs w:val="24"/>
        </w:rPr>
        <w:t>s vezes, igualdade ou equidade era entendida como</w:t>
      </w:r>
      <w:r w:rsidRPr="00543D21">
        <w:rPr>
          <w:rFonts w:ascii="Times New Roman" w:hAnsi="Times New Roman"/>
          <w:sz w:val="24"/>
          <w:szCs w:val="24"/>
        </w:rPr>
        <w:t xml:space="preserve"> a própria capacidade do poder publico, em “sinergia” com a iniciativa privada, em ofertar maiores</w:t>
      </w:r>
      <w:r w:rsidRPr="00236AB1">
        <w:rPr>
          <w:rFonts w:ascii="Times New Roman" w:hAnsi="Times New Roman"/>
          <w:i/>
          <w:sz w:val="24"/>
          <w:szCs w:val="24"/>
        </w:rPr>
        <w:t>igualdade de oportunidades</w:t>
      </w:r>
      <w:r w:rsidRPr="00543D21">
        <w:rPr>
          <w:rFonts w:ascii="Times New Roman" w:hAnsi="Times New Roman"/>
          <w:sz w:val="24"/>
          <w:szCs w:val="24"/>
        </w:rPr>
        <w:t xml:space="preserve"> através de políticas publicas de alcance </w:t>
      </w:r>
      <w:r>
        <w:rPr>
          <w:rFonts w:ascii="Times New Roman" w:hAnsi="Times New Roman"/>
          <w:sz w:val="24"/>
          <w:szCs w:val="24"/>
        </w:rPr>
        <w:t xml:space="preserve">reduzido e </w:t>
      </w:r>
      <w:r w:rsidRPr="00543D21">
        <w:rPr>
          <w:rFonts w:ascii="Times New Roman" w:hAnsi="Times New Roman"/>
          <w:sz w:val="24"/>
          <w:szCs w:val="24"/>
        </w:rPr>
        <w:t xml:space="preserve">setorizado (negros, </w:t>
      </w:r>
      <w:r>
        <w:rPr>
          <w:rFonts w:ascii="Times New Roman" w:hAnsi="Times New Roman"/>
          <w:sz w:val="24"/>
          <w:szCs w:val="24"/>
        </w:rPr>
        <w:t xml:space="preserve">crianças, </w:t>
      </w:r>
      <w:r w:rsidRPr="00543D21">
        <w:rPr>
          <w:rFonts w:ascii="Times New Roman" w:hAnsi="Times New Roman"/>
          <w:sz w:val="24"/>
          <w:szCs w:val="24"/>
        </w:rPr>
        <w:t xml:space="preserve">jovens, mulheres, idosos, mais pobres, etc) visando a </w:t>
      </w:r>
      <w:r>
        <w:rPr>
          <w:rFonts w:ascii="Times New Roman" w:hAnsi="Times New Roman"/>
          <w:sz w:val="24"/>
          <w:szCs w:val="24"/>
        </w:rPr>
        <w:t>redução</w:t>
      </w:r>
      <w:r w:rsidRPr="00543D21">
        <w:rPr>
          <w:rFonts w:ascii="Times New Roman" w:hAnsi="Times New Roman"/>
          <w:sz w:val="24"/>
          <w:szCs w:val="24"/>
        </w:rPr>
        <w:t xml:space="preserve"> precária do que comumente se</w:t>
      </w:r>
      <w:r>
        <w:rPr>
          <w:rFonts w:ascii="Times New Roman" w:hAnsi="Times New Roman"/>
          <w:sz w:val="24"/>
          <w:szCs w:val="24"/>
        </w:rPr>
        <w:t xml:space="preserve"> chama “desigualdades sociais”. Políticas públicas minimalistas, focalizadas, compensatórias, emergenciais de “distribuição de renda” e “inclusão social” apareciam </w:t>
      </w:r>
      <w:r w:rsidRPr="006D3554">
        <w:rPr>
          <w:rFonts w:ascii="Times New Roman" w:hAnsi="Times New Roman"/>
          <w:i/>
          <w:sz w:val="24"/>
          <w:szCs w:val="24"/>
        </w:rPr>
        <w:t>vis-à-vis</w:t>
      </w:r>
      <w:r>
        <w:rPr>
          <w:rFonts w:ascii="Times New Roman" w:hAnsi="Times New Roman"/>
          <w:sz w:val="24"/>
          <w:szCs w:val="24"/>
        </w:rPr>
        <w:t xml:space="preserve"> a mecanismos que pretendiam impulsionar, ou acelerar, o crescimento econômico, ou seja, o investimento na “economia real”, como afirmavam.</w:t>
      </w:r>
    </w:p>
    <w:p w:rsidR="00CE3680" w:rsidRPr="00455CBF" w:rsidRDefault="00455CBF" w:rsidP="00CE3680">
      <w:pPr>
        <w:tabs>
          <w:tab w:val="left" w:pos="360"/>
        </w:tabs>
        <w:spacing w:after="0" w:line="360" w:lineRule="auto"/>
        <w:jc w:val="both"/>
        <w:rPr>
          <w:rFonts w:ascii="Times New Roman" w:hAnsi="Times New Roman"/>
          <w:sz w:val="24"/>
          <w:szCs w:val="24"/>
        </w:rPr>
      </w:pPr>
      <w:r>
        <w:rPr>
          <w:rFonts w:ascii="Times New Roman" w:hAnsi="Times New Roman"/>
          <w:sz w:val="24"/>
          <w:szCs w:val="24"/>
        </w:rPr>
        <w:tab/>
      </w:r>
      <w:r w:rsidR="00EB4951">
        <w:rPr>
          <w:rFonts w:ascii="Times New Roman" w:hAnsi="Times New Roman"/>
          <w:sz w:val="24"/>
          <w:szCs w:val="24"/>
        </w:rPr>
        <w:tab/>
      </w:r>
      <w:r w:rsidR="00CE3680">
        <w:rPr>
          <w:rFonts w:ascii="Times New Roman" w:hAnsi="Times New Roman"/>
          <w:sz w:val="24"/>
        </w:rPr>
        <w:t>Desta maneira, os mecanismos promotores da “equidade” passavam necessariamente pelo esforço em fazer avançar a “igualdade de oportunidades” para a competição dos indivíduos no mercado de trabalho com vistas à preparação e alcance da “mobilidade social” pela via do mercado consumidor ou de trabalho. Ora, não foi outro o sentido do discurso do presidente Lula da Silva, na Reunião Plenária em 10 de março de 2005:</w:t>
      </w:r>
    </w:p>
    <w:p w:rsidR="00CE3680" w:rsidRPr="001730DC" w:rsidRDefault="00CE3680" w:rsidP="00182A15">
      <w:pPr>
        <w:autoSpaceDE w:val="0"/>
        <w:autoSpaceDN w:val="0"/>
        <w:adjustRightInd w:val="0"/>
        <w:spacing w:line="240" w:lineRule="auto"/>
        <w:ind w:left="2268"/>
        <w:jc w:val="both"/>
        <w:rPr>
          <w:rFonts w:ascii="Times New Roman" w:hAnsi="Times New Roman"/>
          <w:sz w:val="20"/>
          <w:szCs w:val="20"/>
        </w:rPr>
      </w:pPr>
      <w:r w:rsidRPr="001730DC">
        <w:rPr>
          <w:rFonts w:ascii="Times New Roman" w:hAnsi="Times New Roman"/>
          <w:sz w:val="20"/>
          <w:szCs w:val="20"/>
        </w:rPr>
        <w:t xml:space="preserve">Nós estamos com um hábito, com um desvio, que é o </w:t>
      </w:r>
      <w:r w:rsidRPr="001730DC">
        <w:rPr>
          <w:rFonts w:ascii="Times New Roman" w:hAnsi="Times New Roman"/>
          <w:iCs/>
          <w:sz w:val="20"/>
          <w:szCs w:val="20"/>
        </w:rPr>
        <w:t xml:space="preserve">seguinte: toda vez que a gente fala na área social, a gente fala ‘gasto’, e quando a gente fala em outros setores a gente fala ‘investimento’. Eu acho que é preciso ter claro que quando a gente dá uma Bolsa Família ou quando a gente dá uma Bolsa Escola, na verdade nós estamos fazendo um dos mais preciosos investimentos deste país, que é dar à pessoa a oportunidade de comer. Isso não é gasto, isso é </w:t>
      </w:r>
      <w:r w:rsidRPr="001730DC">
        <w:rPr>
          <w:rFonts w:ascii="Times New Roman" w:hAnsi="Times New Roman"/>
          <w:b/>
          <w:iCs/>
          <w:sz w:val="20"/>
          <w:szCs w:val="20"/>
        </w:rPr>
        <w:t>investimento porque essa pessoa bem nutridavai trazer saldo produtivo para todos nós, vai se transformar em consumidor neste país, em trabalhador</w:t>
      </w:r>
      <w:r w:rsidRPr="001730DC">
        <w:rPr>
          <w:rFonts w:ascii="Times New Roman" w:hAnsi="Times New Roman"/>
          <w:iCs/>
          <w:sz w:val="20"/>
          <w:szCs w:val="20"/>
        </w:rPr>
        <w:t xml:space="preserve">. Então, eu acho que não é um hábito nosso não, é um erro sociológico no Brasil, quando a gente habitualmente fala ‘porque nós gastamos tanto em saúde, tanto em educação’, mas essas coisas... </w:t>
      </w:r>
      <w:r w:rsidRPr="001730DC">
        <w:rPr>
          <w:rFonts w:ascii="Times New Roman" w:hAnsi="Times New Roman"/>
          <w:b/>
          <w:iCs/>
          <w:sz w:val="20"/>
          <w:szCs w:val="20"/>
        </w:rPr>
        <w:t>significam um bom investimento</w:t>
      </w:r>
      <w:r w:rsidRPr="001730DC">
        <w:rPr>
          <w:rFonts w:ascii="Times New Roman" w:hAnsi="Times New Roman"/>
          <w:iCs/>
          <w:sz w:val="20"/>
          <w:szCs w:val="20"/>
        </w:rPr>
        <w:t>.</w:t>
      </w:r>
      <w:r w:rsidRPr="001730DC">
        <w:rPr>
          <w:rStyle w:val="Refdenotaderodap"/>
          <w:rFonts w:ascii="Times New Roman" w:hAnsi="Times New Roman"/>
          <w:iCs/>
          <w:sz w:val="20"/>
          <w:szCs w:val="20"/>
        </w:rPr>
        <w:footnoteReference w:id="150"/>
      </w:r>
    </w:p>
    <w:p w:rsidR="00CE3680" w:rsidRPr="00182A15" w:rsidRDefault="00CE3680" w:rsidP="00CE3680">
      <w:pPr>
        <w:autoSpaceDE w:val="0"/>
        <w:autoSpaceDN w:val="0"/>
        <w:adjustRightInd w:val="0"/>
        <w:spacing w:after="0" w:line="360" w:lineRule="auto"/>
        <w:ind w:firstLine="708"/>
        <w:jc w:val="both"/>
        <w:rPr>
          <w:rFonts w:ascii="Times New Roman" w:hAnsi="Times New Roman"/>
          <w:sz w:val="24"/>
          <w:szCs w:val="24"/>
        </w:rPr>
      </w:pPr>
      <w:r w:rsidRPr="00182A15">
        <w:rPr>
          <w:rFonts w:ascii="Times New Roman" w:hAnsi="Times New Roman"/>
          <w:sz w:val="24"/>
          <w:szCs w:val="24"/>
        </w:rPr>
        <w:t xml:space="preserve">Sob o epíteto de “um novo modelo de desenvolvimento econômico”, a expansão da acumulação capitalista, a médio e longo prazo, era a </w:t>
      </w:r>
      <w:r w:rsidRPr="00182A15">
        <w:rPr>
          <w:rFonts w:ascii="Times New Roman" w:hAnsi="Times New Roman"/>
          <w:i/>
          <w:sz w:val="24"/>
          <w:szCs w:val="24"/>
        </w:rPr>
        <w:t>condição sine qua non</w:t>
      </w:r>
      <w:r w:rsidRPr="00182A15">
        <w:rPr>
          <w:rFonts w:ascii="Times New Roman" w:hAnsi="Times New Roman"/>
          <w:sz w:val="24"/>
          <w:szCs w:val="24"/>
        </w:rPr>
        <w:t xml:space="preserve"> para a redução da pobreza e melhoria da prestação dos serviços públicos, ao lado de medidas emergenciais. Desde muito cedo, no CDES, as ações do Estado e do mercado, e suas interações, em prol do crescimento econômico, </w:t>
      </w:r>
      <w:r w:rsidRPr="00182A15">
        <w:rPr>
          <w:rFonts w:ascii="Times New Roman" w:hAnsi="Times New Roman"/>
          <w:i/>
          <w:sz w:val="24"/>
          <w:szCs w:val="24"/>
        </w:rPr>
        <w:t xml:space="preserve">deveriam se orientar na perspectiva da “equidade”, isto é, os processos e </w:t>
      </w:r>
      <w:r w:rsidR="00EB4951">
        <w:rPr>
          <w:rFonts w:ascii="Times New Roman" w:hAnsi="Times New Roman"/>
          <w:i/>
          <w:sz w:val="24"/>
          <w:szCs w:val="24"/>
        </w:rPr>
        <w:t>a</w:t>
      </w:r>
      <w:r w:rsidRPr="00182A15">
        <w:rPr>
          <w:rFonts w:ascii="Times New Roman" w:hAnsi="Times New Roman"/>
          <w:i/>
          <w:sz w:val="24"/>
          <w:szCs w:val="24"/>
        </w:rPr>
        <w:t>s resultantes da acumulação capitalista deveriam se coadunar com o bem-estar de todos, especialmente dos mais pobres e a alusão à preservação ambiental.</w:t>
      </w:r>
      <w:r w:rsidRPr="00182A15">
        <w:rPr>
          <w:rFonts w:ascii="Times New Roman" w:hAnsi="Times New Roman"/>
          <w:sz w:val="24"/>
          <w:szCs w:val="24"/>
        </w:rPr>
        <w:t xml:space="preserve"> Ou seja, tratava-se de dividir, de maneira precária e direcionada, nem o crescimento do bolo, e não o próprio bolo, mas</w:t>
      </w:r>
      <w:r w:rsidR="0021566B" w:rsidRPr="00182A15">
        <w:rPr>
          <w:rFonts w:ascii="Times New Roman" w:hAnsi="Times New Roman"/>
          <w:sz w:val="24"/>
          <w:szCs w:val="24"/>
        </w:rPr>
        <w:t xml:space="preserve"> suas migalhas. Grosso modo, como veremos no capítulo 3, ess</w:t>
      </w:r>
      <w:r w:rsidRPr="00182A15">
        <w:rPr>
          <w:rFonts w:ascii="Times New Roman" w:hAnsi="Times New Roman"/>
          <w:sz w:val="24"/>
          <w:szCs w:val="24"/>
        </w:rPr>
        <w:t xml:space="preserve">e </w:t>
      </w:r>
      <w:r w:rsidR="0021566B" w:rsidRPr="00182A15">
        <w:rPr>
          <w:rFonts w:ascii="Times New Roman" w:hAnsi="Times New Roman"/>
          <w:sz w:val="24"/>
          <w:szCs w:val="24"/>
        </w:rPr>
        <w:t xml:space="preserve">era um dos elementos centrais </w:t>
      </w:r>
      <w:r w:rsidRPr="00182A15">
        <w:rPr>
          <w:rFonts w:ascii="Times New Roman" w:hAnsi="Times New Roman"/>
          <w:sz w:val="24"/>
          <w:szCs w:val="24"/>
        </w:rPr>
        <w:t xml:space="preserve">do </w:t>
      </w:r>
      <w:r w:rsidR="0021566B" w:rsidRPr="00182A15">
        <w:rPr>
          <w:rFonts w:ascii="Times New Roman" w:hAnsi="Times New Roman"/>
          <w:sz w:val="24"/>
          <w:szCs w:val="24"/>
        </w:rPr>
        <w:t xml:space="preserve">propalado </w:t>
      </w:r>
      <w:r w:rsidRPr="00182A15">
        <w:rPr>
          <w:rFonts w:ascii="Times New Roman" w:hAnsi="Times New Roman"/>
          <w:sz w:val="24"/>
          <w:szCs w:val="24"/>
        </w:rPr>
        <w:t xml:space="preserve">“desenvolvimento socialmente sustentável”. </w:t>
      </w:r>
    </w:p>
    <w:p w:rsidR="00182A15" w:rsidRPr="00182A15" w:rsidRDefault="00182A15" w:rsidP="00182A15">
      <w:pPr>
        <w:autoSpaceDE w:val="0"/>
        <w:autoSpaceDN w:val="0"/>
        <w:adjustRightInd w:val="0"/>
        <w:spacing w:after="0" w:line="360" w:lineRule="auto"/>
        <w:ind w:firstLine="708"/>
        <w:jc w:val="both"/>
        <w:rPr>
          <w:rFonts w:ascii="Times New Roman" w:hAnsi="Times New Roman"/>
          <w:sz w:val="24"/>
          <w:szCs w:val="24"/>
        </w:rPr>
      </w:pPr>
      <w:r w:rsidRPr="00182A15">
        <w:rPr>
          <w:rFonts w:ascii="Times New Roman" w:hAnsi="Times New Roman"/>
          <w:sz w:val="24"/>
          <w:szCs w:val="24"/>
        </w:rPr>
        <w:t xml:space="preserve">Foi neste sentido que as contrarreformas da Previdência, Tributária, Sindical, Trabalhista e Universitária, as Parcerias Público-Privadas (lei 11.079/04), o Programa de Aceleração do Crescimento, a Lei Geral da Micro e Pequenas Empresas (lei complementar 123/06), a Nova Lei de Falências (lei 11.101/05), </w:t>
      </w:r>
      <w:r w:rsidR="006263C5">
        <w:rPr>
          <w:rFonts w:ascii="Times New Roman" w:hAnsi="Times New Roman"/>
          <w:sz w:val="24"/>
          <w:szCs w:val="24"/>
        </w:rPr>
        <w:t xml:space="preserve">a Lei do Cadastro Positivo, </w:t>
      </w:r>
      <w:r w:rsidRPr="00182A15">
        <w:rPr>
          <w:rFonts w:ascii="Times New Roman" w:hAnsi="Times New Roman"/>
          <w:sz w:val="24"/>
          <w:szCs w:val="24"/>
        </w:rPr>
        <w:t>o programa de desconto de crédito consignado em folha de pagamento e  a conta-investimento</w:t>
      </w:r>
      <w:r w:rsidRPr="00182A15">
        <w:rPr>
          <w:rStyle w:val="Refdenotaderodap"/>
          <w:rFonts w:ascii="Times New Roman" w:hAnsi="Times New Roman"/>
          <w:sz w:val="24"/>
          <w:szCs w:val="24"/>
        </w:rPr>
        <w:footnoteReference w:id="151"/>
      </w:r>
      <w:r w:rsidRPr="00182A15">
        <w:rPr>
          <w:rFonts w:ascii="Times New Roman" w:hAnsi="Times New Roman"/>
          <w:sz w:val="24"/>
          <w:szCs w:val="24"/>
        </w:rPr>
        <w:t xml:space="preserve"> (leis 10.820/03 e 10.892/04, respectivamente), as propostas para adequação da </w:t>
      </w:r>
      <w:r w:rsidR="006263C5">
        <w:rPr>
          <w:rFonts w:ascii="Times New Roman" w:hAnsi="Times New Roman"/>
          <w:sz w:val="24"/>
          <w:szCs w:val="24"/>
        </w:rPr>
        <w:t>i</w:t>
      </w:r>
      <w:r w:rsidRPr="00182A15">
        <w:rPr>
          <w:rFonts w:ascii="Times New Roman" w:hAnsi="Times New Roman"/>
          <w:sz w:val="24"/>
          <w:szCs w:val="24"/>
        </w:rPr>
        <w:t xml:space="preserve">nfraestrutura, para a </w:t>
      </w:r>
      <w:r w:rsidR="006263C5">
        <w:rPr>
          <w:rFonts w:ascii="Times New Roman" w:hAnsi="Times New Roman"/>
          <w:sz w:val="24"/>
          <w:szCs w:val="24"/>
        </w:rPr>
        <w:t>e</w:t>
      </w:r>
      <w:r w:rsidRPr="00182A15">
        <w:rPr>
          <w:rFonts w:ascii="Times New Roman" w:hAnsi="Times New Roman"/>
          <w:sz w:val="24"/>
          <w:szCs w:val="24"/>
        </w:rPr>
        <w:t>ducação (FUNDEB, ProUni, ProJovem e o Plano de Desenvolvimento da Educação – PDE, por exemplo) e para a Habitação de Interesse Popular (que resultou no programa Minha Casa Minha Vida), o Fundo Nacional de Desenvolvimento Regional, o Programa Nacional de Microcrédito Produtivo Orientado, o Compromisso Nacional para Aperfeiçoar as Condições de Trabalho na Cana-de-Açúcar, dentre outras iniciativas, foram discutidas no CDES e aprovadas pelo Congresso.</w:t>
      </w:r>
      <w:r w:rsidRPr="00182A15">
        <w:rPr>
          <w:rStyle w:val="Refdenotaderodap"/>
          <w:rFonts w:ascii="Times New Roman" w:hAnsi="Times New Roman"/>
          <w:sz w:val="24"/>
          <w:szCs w:val="24"/>
        </w:rPr>
        <w:footnoteReference w:id="152"/>
      </w:r>
      <w:r w:rsidRPr="00182A15">
        <w:rPr>
          <w:rFonts w:ascii="Times New Roman" w:hAnsi="Times New Roman"/>
          <w:sz w:val="24"/>
          <w:szCs w:val="24"/>
        </w:rPr>
        <w:t xml:space="preserve"> O CDES teve também </w:t>
      </w:r>
      <w:r w:rsidR="004E4884">
        <w:rPr>
          <w:rFonts w:ascii="Times New Roman" w:hAnsi="Times New Roman"/>
          <w:sz w:val="24"/>
          <w:szCs w:val="24"/>
        </w:rPr>
        <w:t>influência</w:t>
      </w:r>
      <w:r w:rsidRPr="00182A15">
        <w:rPr>
          <w:rFonts w:ascii="Times New Roman" w:hAnsi="Times New Roman"/>
          <w:sz w:val="24"/>
          <w:szCs w:val="24"/>
        </w:rPr>
        <w:t xml:space="preserve"> direta na criação do Conselho Nacional de Desenvolvimento Industrial (CNDI)</w:t>
      </w:r>
      <w:r w:rsidRPr="00182A15">
        <w:rPr>
          <w:rStyle w:val="Refdenotaderodap"/>
          <w:rFonts w:ascii="Times New Roman" w:hAnsi="Times New Roman"/>
          <w:sz w:val="24"/>
          <w:szCs w:val="24"/>
        </w:rPr>
        <w:footnoteReference w:id="153"/>
      </w:r>
      <w:r w:rsidRPr="00182A15">
        <w:rPr>
          <w:rFonts w:ascii="Times New Roman" w:hAnsi="Times New Roman"/>
          <w:sz w:val="24"/>
          <w:szCs w:val="24"/>
        </w:rPr>
        <w:t xml:space="preserve"> e da Agência Brasileira de Desenvolvimento Industrial (ABDI), ambas ligadas ao MDIC, além de ter sido articulado e lançado recomendações ao Fórum Nacional do Trabalho (FNT).</w:t>
      </w:r>
      <w:r w:rsidRPr="00182A15">
        <w:rPr>
          <w:rStyle w:val="Refdenotaderodap"/>
          <w:rFonts w:ascii="Times New Roman" w:hAnsi="Times New Roman"/>
          <w:sz w:val="24"/>
          <w:szCs w:val="24"/>
        </w:rPr>
        <w:footnoteReference w:id="154"/>
      </w:r>
    </w:p>
    <w:p w:rsidR="00182A15" w:rsidRPr="00182A15" w:rsidRDefault="00182A15" w:rsidP="00182A15">
      <w:pPr>
        <w:autoSpaceDE w:val="0"/>
        <w:autoSpaceDN w:val="0"/>
        <w:adjustRightInd w:val="0"/>
        <w:spacing w:after="0" w:line="360" w:lineRule="auto"/>
        <w:ind w:firstLine="708"/>
        <w:jc w:val="both"/>
        <w:rPr>
          <w:rFonts w:ascii="Times New Roman" w:hAnsi="Times New Roman"/>
          <w:sz w:val="24"/>
          <w:szCs w:val="24"/>
        </w:rPr>
      </w:pPr>
      <w:r w:rsidRPr="00182A15">
        <w:rPr>
          <w:rFonts w:ascii="Times New Roman" w:hAnsi="Times New Roman"/>
          <w:sz w:val="24"/>
          <w:szCs w:val="24"/>
        </w:rPr>
        <w:t xml:space="preserve">Em grande medida, ao que nos parece, tratava-se de cuidar do atendimento prioritário à reprodução ampliada do grande capital monopolista no Brasil  ainda que setores não monopolistas angariassem alguns frutos. Esta condição dava a direção das políticas sociais pretendidas – o debate sobre a Educação era um exemplo cabal – </w:t>
      </w:r>
      <w:r w:rsidRPr="00182A15">
        <w:rPr>
          <w:rFonts w:ascii="Times New Roman" w:hAnsi="Times New Roman"/>
          <w:i/>
          <w:sz w:val="24"/>
          <w:szCs w:val="24"/>
        </w:rPr>
        <w:t>e pretendia encerrar o confronto às “desigualdades” ou às “iniquidades”</w:t>
      </w:r>
      <w:r w:rsidRPr="00182A15">
        <w:rPr>
          <w:rFonts w:ascii="Times New Roman" w:hAnsi="Times New Roman"/>
          <w:sz w:val="24"/>
          <w:szCs w:val="24"/>
        </w:rPr>
        <w:t xml:space="preserve">. </w:t>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Através de rigorosa pesquisa e refinada análise, calcada no marxismo, Rodrigo Castelo resgata a produção e disseminação ideo-político do social-liberalismo no Brasil por meio da atuação de aparelhos privados de hegemonia, especialmente o Instituto de Estudos do Trabalho e Sociedade (IETS) e do Instituto de Estudos de Política Econômica (IEPE) Casa das Garças,e da formulação de intelectuais orgânicos da burguesia brasileira. Dentre estes, inclusive, destaca o autor, Ricardo Paes de Barros e Marcelo Neri, os quais faziam parte do corpo de conselheiros do CDES</w:t>
      </w:r>
      <w:r w:rsidR="00EB4951">
        <w:rPr>
          <w:rFonts w:ascii="Times New Roman" w:hAnsi="Times New Roman"/>
          <w:sz w:val="24"/>
          <w:szCs w:val="24"/>
        </w:rPr>
        <w:t>,</w:t>
      </w:r>
      <w:r>
        <w:rPr>
          <w:rFonts w:ascii="Times New Roman" w:hAnsi="Times New Roman"/>
          <w:sz w:val="24"/>
          <w:szCs w:val="24"/>
        </w:rPr>
        <w:t xml:space="preserve"> sendo o último, inclusive, atual Secretário-Executivo do CDES no governo Dilma, Presidente do IPEA e Ministro Chefe da Secretaria de Assuntos Estratégicos. </w:t>
      </w:r>
    </w:p>
    <w:p w:rsidR="008D4D39" w:rsidRDefault="008D4D39"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As formulações caras ao CDES, </w:t>
      </w:r>
      <w:r w:rsidR="00EB4951">
        <w:rPr>
          <w:rFonts w:ascii="Times New Roman" w:hAnsi="Times New Roman"/>
          <w:sz w:val="24"/>
          <w:szCs w:val="24"/>
        </w:rPr>
        <w:t>bastante</w:t>
      </w:r>
      <w:r>
        <w:rPr>
          <w:rFonts w:ascii="Times New Roman" w:hAnsi="Times New Roman"/>
          <w:sz w:val="24"/>
          <w:szCs w:val="24"/>
        </w:rPr>
        <w:t xml:space="preserve"> presentes nas reuniões plenárias e nos documentos estratégicos produzidos</w:t>
      </w:r>
      <w:r w:rsidR="00946D1D">
        <w:rPr>
          <w:rFonts w:ascii="Times New Roman" w:hAnsi="Times New Roman"/>
          <w:sz w:val="24"/>
          <w:szCs w:val="24"/>
        </w:rPr>
        <w:t>,</w:t>
      </w:r>
      <w:r>
        <w:rPr>
          <w:rFonts w:ascii="Times New Roman" w:hAnsi="Times New Roman"/>
          <w:sz w:val="24"/>
          <w:szCs w:val="24"/>
        </w:rPr>
        <w:t xml:space="preserve"> são claramente delineadas nas análises críticas da ideologia social-liberal realizada por Rodrigo Castelo</w:t>
      </w:r>
      <w:r w:rsidR="00946D1D">
        <w:rPr>
          <w:rFonts w:ascii="Times New Roman" w:hAnsi="Times New Roman"/>
          <w:sz w:val="24"/>
          <w:szCs w:val="24"/>
        </w:rPr>
        <w:t>:</w:t>
      </w:r>
    </w:p>
    <w:p w:rsidR="00CE3680" w:rsidRPr="000742DD" w:rsidRDefault="00CE3680" w:rsidP="00CE3680">
      <w:pPr>
        <w:autoSpaceDE w:val="0"/>
        <w:autoSpaceDN w:val="0"/>
        <w:adjustRightInd w:val="0"/>
        <w:spacing w:line="240" w:lineRule="auto"/>
        <w:ind w:left="2268"/>
        <w:jc w:val="both"/>
        <w:rPr>
          <w:rFonts w:ascii="Times New Roman" w:hAnsi="Times New Roman"/>
          <w:sz w:val="20"/>
          <w:szCs w:val="20"/>
        </w:rPr>
      </w:pPr>
      <w:r w:rsidRPr="000742DD">
        <w:rPr>
          <w:rFonts w:ascii="Times New Roman" w:hAnsi="Times New Roman"/>
          <w:sz w:val="20"/>
          <w:szCs w:val="20"/>
        </w:rPr>
        <w:t>1) o crescimento econômico, por si próprio, não traria a redução das desigualdades, havendo a necessidade de políticas públicas específicas e direcionadas para este problema; 2) os gastos sociais não seriam baixos, pelo contrário se deveria torná-los mais eficientes, melhorando a alocação de recursos com sua focalização nos estratos sociais miseráveis; 3) propostas de desenvolvimento baseadas no investimento no capital humano, reformas tributárias, previdenciárias e trabalhistas e ampliação do microcrédito.</w:t>
      </w:r>
      <w:r>
        <w:rPr>
          <w:rStyle w:val="Refdenotaderodap"/>
          <w:rFonts w:ascii="Times New Roman" w:hAnsi="Times New Roman"/>
          <w:sz w:val="20"/>
          <w:szCs w:val="20"/>
        </w:rPr>
        <w:footnoteReference w:id="155"/>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Embebido da ideologia social-liberal, edificado e propalado com recursos empresariais de todo tipo (financeiro, associativo, midiático, acadêmico) no Brasil desde o governo FHC, o conceito de “equidade” em voga no CDES, assim como de “eficiência”, “capital social”, “empoderamento”, “governança”, se aproximava bastante daquele adotado pelo Banco Mundial, tal como aparece no documento “Equidade e Desenvolvimento – Relatório sobre o Desenvolvimento Mundial 2006”:</w:t>
      </w:r>
    </w:p>
    <w:p w:rsidR="00CE3680" w:rsidRDefault="00CE3680" w:rsidP="00CE3680">
      <w:pPr>
        <w:autoSpaceDE w:val="0"/>
        <w:autoSpaceDN w:val="0"/>
        <w:adjustRightInd w:val="0"/>
        <w:spacing w:after="0" w:line="240" w:lineRule="auto"/>
        <w:ind w:left="2268"/>
        <w:jc w:val="both"/>
        <w:rPr>
          <w:rFonts w:ascii="Times New Roman" w:hAnsi="Times New Roman"/>
          <w:sz w:val="20"/>
          <w:szCs w:val="20"/>
        </w:rPr>
      </w:pPr>
      <w:r w:rsidRPr="00B57F0F">
        <w:rPr>
          <w:rFonts w:ascii="Times New Roman" w:hAnsi="Times New Roman"/>
          <w:sz w:val="20"/>
          <w:szCs w:val="20"/>
        </w:rPr>
        <w:t xml:space="preserve">Por equidade entendemos que as pessoas devem ter </w:t>
      </w:r>
      <w:r w:rsidRPr="00207979">
        <w:rPr>
          <w:rFonts w:ascii="Times New Roman" w:hAnsi="Times New Roman"/>
          <w:b/>
          <w:sz w:val="20"/>
          <w:szCs w:val="20"/>
        </w:rPr>
        <w:t>oportunidades iguais</w:t>
      </w:r>
      <w:r w:rsidRPr="00B57F0F">
        <w:rPr>
          <w:rFonts w:ascii="Times New Roman" w:hAnsi="Times New Roman"/>
          <w:sz w:val="20"/>
          <w:szCs w:val="20"/>
        </w:rPr>
        <w:t xml:space="preserve"> de buscar a vida que desejam e serem poupadas da extrema privação de resultados. A mensagem principal é que a equidade é complementar, em alguns aspectos fundamentais, à busca da prosperidade de longo prazo. Instituições e políticas que promovam um campo de atuação equilibrado – onde todos os membros da sociedade tenham </w:t>
      </w:r>
      <w:r w:rsidRPr="00207979">
        <w:rPr>
          <w:rFonts w:ascii="Times New Roman" w:hAnsi="Times New Roman"/>
          <w:b/>
          <w:sz w:val="20"/>
          <w:szCs w:val="20"/>
        </w:rPr>
        <w:t>as mesmas oportunidades de se tornarem socialmente ativos, politicamente influentes e economicamente produtivos</w:t>
      </w:r>
      <w:r w:rsidRPr="00B57F0F">
        <w:rPr>
          <w:rFonts w:ascii="Times New Roman" w:hAnsi="Times New Roman"/>
          <w:sz w:val="20"/>
          <w:szCs w:val="20"/>
        </w:rPr>
        <w:t xml:space="preserve">, contribuem para o crescimento sustentado e o desenvolvimento. Mais equidade é, portanto, </w:t>
      </w:r>
      <w:r w:rsidRPr="00207979">
        <w:rPr>
          <w:rFonts w:ascii="Times New Roman" w:hAnsi="Times New Roman"/>
          <w:b/>
          <w:sz w:val="20"/>
          <w:szCs w:val="20"/>
        </w:rPr>
        <w:t>duplamente útil para a redução da pobreza: por meio de possíveis efeitos benéficos para o desenvolvimento de longo prazo agregado e por intermédio de mais oportunidades para os grupos menos favorecidos dentro de qualquer sociedade</w:t>
      </w:r>
      <w:r w:rsidRPr="00B57F0F">
        <w:rPr>
          <w:rFonts w:ascii="Times New Roman" w:hAnsi="Times New Roman"/>
          <w:sz w:val="20"/>
          <w:szCs w:val="20"/>
        </w:rPr>
        <w:t>.</w:t>
      </w:r>
      <w:r>
        <w:rPr>
          <w:rStyle w:val="Refdenotaderodap"/>
          <w:rFonts w:ascii="Times New Roman" w:hAnsi="Times New Roman"/>
          <w:sz w:val="20"/>
          <w:szCs w:val="20"/>
        </w:rPr>
        <w:footnoteReference w:id="156"/>
      </w:r>
    </w:p>
    <w:p w:rsidR="00CE3680" w:rsidRDefault="00CE3680" w:rsidP="00CE3680">
      <w:pPr>
        <w:autoSpaceDE w:val="0"/>
        <w:autoSpaceDN w:val="0"/>
        <w:adjustRightInd w:val="0"/>
        <w:spacing w:after="0" w:line="240" w:lineRule="auto"/>
        <w:ind w:left="2268"/>
        <w:jc w:val="both"/>
        <w:rPr>
          <w:rFonts w:ascii="Times New Roman" w:hAnsi="Times New Roman"/>
          <w:sz w:val="20"/>
          <w:szCs w:val="20"/>
        </w:rPr>
      </w:pPr>
    </w:p>
    <w:p w:rsidR="00CE3680" w:rsidRDefault="00CE3680" w:rsidP="00CE368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 xml:space="preserve">A articulação entre o CDES e o Banco Mundial era orgânica, no sentido de que era sistemática e programática. O CDES promovia vários encontros, congressos, seminários, mesas redondas, com participação de integrantes do Banco, na condição de convidados, visitantes ou palestrantes. O CDES também enviava conselheiros para participar de eventos promovidos pelo Banco, na Europa. Havia também a utilização de documentos produzidos pelo Banco sobre as condições macroeconômicas e sociais latino-americanas, inclusive de como o </w:t>
      </w:r>
      <w:r w:rsidR="0021566B">
        <w:rPr>
          <w:rFonts w:ascii="Times New Roman" w:hAnsi="Times New Roman"/>
          <w:sz w:val="24"/>
          <w:szCs w:val="24"/>
        </w:rPr>
        <w:t>comba</w:t>
      </w:r>
      <w:r>
        <w:rPr>
          <w:rFonts w:ascii="Times New Roman" w:hAnsi="Times New Roman"/>
          <w:sz w:val="24"/>
          <w:szCs w:val="24"/>
        </w:rPr>
        <w:t xml:space="preserve">te à pobreza poderia impulsionar o crescimento, relação de soma zero devidamente mensurado em termos percentuais. E mais: nossa pesquisa encontrou documento intitulado “Conselho de Desenvolvimento Econômico e Social – Brasil: Versão Preliminar”, elaborado pela SEDES em junho de 2004, o qual afirma, em trecho final, que trata dos “Recursos Aportados”, que </w:t>
      </w:r>
    </w:p>
    <w:p w:rsidR="00CE3680" w:rsidRDefault="00CE3680" w:rsidP="00CE3680">
      <w:pPr>
        <w:autoSpaceDE w:val="0"/>
        <w:autoSpaceDN w:val="0"/>
        <w:adjustRightInd w:val="0"/>
        <w:spacing w:line="240" w:lineRule="auto"/>
        <w:ind w:left="2268"/>
        <w:jc w:val="both"/>
        <w:rPr>
          <w:rFonts w:ascii="Times New Roman" w:hAnsi="Times New Roman"/>
          <w:sz w:val="24"/>
          <w:szCs w:val="24"/>
        </w:rPr>
      </w:pPr>
      <w:r w:rsidRPr="00E579F5">
        <w:rPr>
          <w:rFonts w:ascii="Times New Roman" w:hAnsi="Times New Roman"/>
          <w:sz w:val="20"/>
          <w:szCs w:val="20"/>
        </w:rPr>
        <w:t>A SEDES é responsável por três ações específicas no Orçamento da União. Os recursos são insuficientes para todas as atividades, desta forma buscou-se, através da cooperação internacional, captar novos recursos para os projetos de desenvolvimento institucional e disseminação do processo de concertação. (...) Os organismos internacionais, parceiros atuais da SEDES, são: BIRD, BID e OIT</w:t>
      </w:r>
      <w:r>
        <w:rPr>
          <w:rFonts w:ascii="Times New Roman" w:hAnsi="Times New Roman"/>
          <w:sz w:val="20"/>
          <w:szCs w:val="20"/>
        </w:rPr>
        <w:t>.</w:t>
      </w:r>
      <w:r>
        <w:rPr>
          <w:rStyle w:val="Refdenotaderodap"/>
          <w:rFonts w:ascii="Times New Roman" w:hAnsi="Times New Roman"/>
          <w:sz w:val="20"/>
          <w:szCs w:val="20"/>
        </w:rPr>
        <w:footnoteReference w:id="157"/>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Logo em seguida, o documento revelava que o Banco Mundial contribuiu com recurso da ordem de US$ 500.000,00 para “treinamento e capacitação dos servidores, nas funções de mediação e facilitação de diálogos com a sociedade”</w:t>
      </w:r>
      <w:r w:rsidR="00EB4951">
        <w:rPr>
          <w:rFonts w:ascii="Times New Roman" w:hAnsi="Times New Roman"/>
          <w:sz w:val="24"/>
          <w:szCs w:val="24"/>
        </w:rPr>
        <w:t>.</w:t>
      </w:r>
      <w:r w:rsidR="00EB4951">
        <w:rPr>
          <w:rStyle w:val="Refdenotaderodap"/>
          <w:rFonts w:ascii="Times New Roman" w:hAnsi="Times New Roman"/>
          <w:sz w:val="24"/>
          <w:szCs w:val="24"/>
        </w:rPr>
        <w:footnoteReference w:id="158"/>
      </w:r>
      <w:r>
        <w:rPr>
          <w:rFonts w:ascii="Times New Roman" w:hAnsi="Times New Roman"/>
          <w:sz w:val="24"/>
          <w:szCs w:val="24"/>
        </w:rPr>
        <w:t xml:space="preserve"> Afirmava ainda o documento que estava em negociação com o BID (Banco Interamericano de Desenvolvimento) “uma doação de US$ 2.000.000,00, sendo que a contrapartida seria com gastos com pessoal e demais instalações da SEDES. Esses recursos serão gerenciados por um Acordo de Cooperação Técnica com a UNESCO” (idem). Interessante observar que em nenhum outro documento do Conselho a questão do financiamento de suas atividades foi abordada ou esclarecida, nem na sua página eletrônica, e constata-se também um silêncio absoluto deste tema entre os analistas e pesquisadores do CDES.</w:t>
      </w:r>
    </w:p>
    <w:p w:rsidR="00CE3680" w:rsidRPr="007C1F1E"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Algumas breves passagens das discussões travadas sobre ou que cincundavam a questão das “desigualdades” na plenária do CDES podem ser úteis na percepção da visão de mundo dos conselheiros sobre este tema:  </w:t>
      </w:r>
    </w:p>
    <w:p w:rsidR="00CE3680" w:rsidRDefault="00CE3680" w:rsidP="00CE3680">
      <w:pPr>
        <w:autoSpaceDE w:val="0"/>
        <w:autoSpaceDN w:val="0"/>
        <w:adjustRightInd w:val="0"/>
        <w:spacing w:after="0" w:line="240" w:lineRule="auto"/>
        <w:ind w:left="2268"/>
        <w:jc w:val="both"/>
        <w:rPr>
          <w:rFonts w:ascii="Times New Roman" w:hAnsi="Times New Roman"/>
          <w:sz w:val="20"/>
          <w:szCs w:val="20"/>
        </w:rPr>
      </w:pPr>
    </w:p>
    <w:p w:rsidR="00CE3680" w:rsidRDefault="00CE3680" w:rsidP="00CE3680">
      <w:pPr>
        <w:autoSpaceDE w:val="0"/>
        <w:autoSpaceDN w:val="0"/>
        <w:adjustRightInd w:val="0"/>
        <w:spacing w:after="0" w:line="240" w:lineRule="auto"/>
        <w:ind w:left="2268"/>
        <w:jc w:val="both"/>
        <w:rPr>
          <w:rFonts w:ascii="Times New Roman" w:hAnsi="Times New Roman"/>
          <w:sz w:val="20"/>
          <w:szCs w:val="20"/>
        </w:rPr>
      </w:pPr>
      <w:r w:rsidRPr="004C3059">
        <w:rPr>
          <w:rFonts w:ascii="Times New Roman" w:hAnsi="Times New Roman"/>
          <w:sz w:val="20"/>
          <w:szCs w:val="20"/>
        </w:rPr>
        <w:t>A desigualdade tem sexo, cor e endereço, devemos ter uma estratégia de governo e de Estado para essas questões em todas as políticas públicas.</w:t>
      </w:r>
      <w:r>
        <w:rPr>
          <w:rFonts w:ascii="Times New Roman" w:hAnsi="Times New Roman"/>
          <w:sz w:val="20"/>
          <w:szCs w:val="20"/>
        </w:rPr>
        <w:t xml:space="preserve"> (</w:t>
      </w:r>
      <w:r w:rsidRPr="004C3059">
        <w:rPr>
          <w:rFonts w:ascii="Times New Roman" w:hAnsi="Times New Roman"/>
          <w:sz w:val="20"/>
          <w:szCs w:val="20"/>
        </w:rPr>
        <w:t>Conselheiro José Antônio Maroni</w:t>
      </w:r>
      <w:r>
        <w:rPr>
          <w:rFonts w:ascii="Times New Roman" w:hAnsi="Times New Roman"/>
          <w:sz w:val="20"/>
          <w:szCs w:val="20"/>
        </w:rPr>
        <w:t>,</w:t>
      </w:r>
      <w:r w:rsidRPr="004C3059">
        <w:rPr>
          <w:rFonts w:ascii="Times New Roman" w:hAnsi="Times New Roman"/>
          <w:sz w:val="20"/>
          <w:szCs w:val="20"/>
        </w:rPr>
        <w:t xml:space="preserve"> na 6ª Reunião Plenária</w:t>
      </w:r>
      <w:r>
        <w:rPr>
          <w:rFonts w:ascii="Times New Roman" w:hAnsi="Times New Roman"/>
          <w:sz w:val="20"/>
          <w:szCs w:val="20"/>
        </w:rPr>
        <w:t>, 11/03/2004, p. 12)</w:t>
      </w:r>
      <w:r w:rsidRPr="004C3059">
        <w:rPr>
          <w:rFonts w:ascii="Times New Roman" w:hAnsi="Times New Roman"/>
          <w:sz w:val="20"/>
          <w:szCs w:val="20"/>
        </w:rPr>
        <w:t>.</w:t>
      </w:r>
    </w:p>
    <w:p w:rsidR="00CE3680" w:rsidRDefault="00CE3680" w:rsidP="00CE3680">
      <w:pPr>
        <w:autoSpaceDE w:val="0"/>
        <w:autoSpaceDN w:val="0"/>
        <w:adjustRightInd w:val="0"/>
        <w:spacing w:after="0" w:line="240" w:lineRule="auto"/>
        <w:ind w:left="2268"/>
        <w:jc w:val="both"/>
        <w:rPr>
          <w:rFonts w:ascii="Times New Roman" w:hAnsi="Times New Roman"/>
          <w:sz w:val="20"/>
          <w:szCs w:val="20"/>
        </w:rPr>
      </w:pPr>
    </w:p>
    <w:p w:rsidR="00CE3680" w:rsidRDefault="00CE3680" w:rsidP="00CE3680">
      <w:pPr>
        <w:autoSpaceDE w:val="0"/>
        <w:autoSpaceDN w:val="0"/>
        <w:adjustRightInd w:val="0"/>
        <w:spacing w:after="0" w:line="240" w:lineRule="auto"/>
        <w:ind w:left="2268"/>
        <w:jc w:val="both"/>
        <w:rPr>
          <w:rFonts w:ascii="Times New Roman" w:hAnsi="Times New Roman"/>
          <w:sz w:val="20"/>
          <w:szCs w:val="20"/>
        </w:rPr>
      </w:pPr>
      <w:r w:rsidRPr="004C3059">
        <w:rPr>
          <w:rFonts w:ascii="Times New Roman" w:hAnsi="Times New Roman"/>
          <w:sz w:val="20"/>
          <w:szCs w:val="20"/>
        </w:rPr>
        <w:t>O País tem 170 milhões de habitantes e desigualdades que nos permitem ir da Suíça ao país mais pobre do mundo. É necessário combinar programas de transferência de renda que devem ser temporários com inclusão pela via do trabalho do emprego e da renda</w:t>
      </w:r>
      <w:r>
        <w:rPr>
          <w:rFonts w:ascii="Times New Roman" w:hAnsi="Times New Roman"/>
          <w:sz w:val="20"/>
          <w:szCs w:val="20"/>
        </w:rPr>
        <w:t xml:space="preserve">. (Secretário do CDES, Ministro Jaques Wagner, na </w:t>
      </w:r>
      <w:r w:rsidRPr="004C3059">
        <w:rPr>
          <w:rFonts w:ascii="Times New Roman" w:hAnsi="Times New Roman"/>
          <w:sz w:val="20"/>
          <w:szCs w:val="20"/>
        </w:rPr>
        <w:t>6ª Reunião Plenária</w:t>
      </w:r>
      <w:r>
        <w:rPr>
          <w:rFonts w:ascii="Times New Roman" w:hAnsi="Times New Roman"/>
          <w:sz w:val="20"/>
          <w:szCs w:val="20"/>
        </w:rPr>
        <w:t>, 11/03/</w:t>
      </w:r>
      <w:r w:rsidRPr="004C3059">
        <w:rPr>
          <w:rFonts w:ascii="Times New Roman" w:hAnsi="Times New Roman"/>
          <w:sz w:val="20"/>
          <w:szCs w:val="20"/>
        </w:rPr>
        <w:t>2004</w:t>
      </w:r>
      <w:r>
        <w:rPr>
          <w:rFonts w:ascii="Times New Roman" w:hAnsi="Times New Roman"/>
          <w:sz w:val="20"/>
          <w:szCs w:val="20"/>
        </w:rPr>
        <w:t>, p. 14).</w:t>
      </w:r>
    </w:p>
    <w:p w:rsidR="00CE3680" w:rsidRDefault="00CE3680" w:rsidP="00CE3680">
      <w:pPr>
        <w:autoSpaceDE w:val="0"/>
        <w:autoSpaceDN w:val="0"/>
        <w:adjustRightInd w:val="0"/>
        <w:spacing w:after="0" w:line="240" w:lineRule="auto"/>
        <w:ind w:left="2268"/>
        <w:jc w:val="both"/>
        <w:rPr>
          <w:rFonts w:ascii="Times New Roman" w:hAnsi="Times New Roman"/>
          <w:sz w:val="20"/>
          <w:szCs w:val="20"/>
        </w:rPr>
      </w:pPr>
    </w:p>
    <w:p w:rsidR="00CE3680" w:rsidRPr="00B90A1B" w:rsidRDefault="00CE3680" w:rsidP="00CE3680">
      <w:pPr>
        <w:autoSpaceDE w:val="0"/>
        <w:autoSpaceDN w:val="0"/>
        <w:adjustRightInd w:val="0"/>
        <w:spacing w:after="0" w:line="240" w:lineRule="auto"/>
        <w:ind w:left="2268"/>
        <w:jc w:val="both"/>
        <w:rPr>
          <w:rFonts w:ascii="Times New Roman" w:hAnsi="Times New Roman"/>
          <w:sz w:val="20"/>
          <w:szCs w:val="20"/>
        </w:rPr>
      </w:pPr>
      <w:r w:rsidRPr="00B90A1B">
        <w:rPr>
          <w:rFonts w:ascii="Times New Roman" w:hAnsi="Times New Roman"/>
          <w:sz w:val="20"/>
          <w:szCs w:val="20"/>
        </w:rPr>
        <w:t>A luta pelo predomínio da cultura de paz na sociedade brasileira terá de percorrer um longo caminho, em que se enfrente</w:t>
      </w:r>
      <w:r>
        <w:rPr>
          <w:rFonts w:ascii="Times New Roman" w:hAnsi="Times New Roman"/>
          <w:sz w:val="20"/>
          <w:szCs w:val="20"/>
        </w:rPr>
        <w:t>m</w:t>
      </w:r>
      <w:r w:rsidRPr="00B90A1B">
        <w:rPr>
          <w:rFonts w:ascii="Times New Roman" w:hAnsi="Times New Roman"/>
          <w:sz w:val="20"/>
          <w:szCs w:val="20"/>
        </w:rPr>
        <w:t xml:space="preserve"> as desigualdades sociais, promovendo políticas de pleno emprego, crescimento econômico e redistribuição de renda.</w:t>
      </w:r>
      <w:r>
        <w:rPr>
          <w:rFonts w:ascii="Times New Roman" w:hAnsi="Times New Roman"/>
          <w:sz w:val="20"/>
          <w:szCs w:val="20"/>
        </w:rPr>
        <w:t xml:space="preserve"> (Conselheiro Sérgio Haddad, na 14ª Reunião Plenária, 05/10/2005, p. 14).</w:t>
      </w:r>
    </w:p>
    <w:p w:rsidR="00CE3680" w:rsidRDefault="00CE3680" w:rsidP="00CE368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ab/>
      </w:r>
    </w:p>
    <w:p w:rsidR="00CE3680" w:rsidRDefault="00CE3680" w:rsidP="00CE3680">
      <w:pPr>
        <w:autoSpaceDE w:val="0"/>
        <w:autoSpaceDN w:val="0"/>
        <w:adjustRightInd w:val="0"/>
        <w:spacing w:after="0" w:line="240" w:lineRule="auto"/>
        <w:ind w:left="2268"/>
        <w:jc w:val="both"/>
        <w:rPr>
          <w:rFonts w:ascii="Times New Roman" w:hAnsi="Times New Roman"/>
          <w:sz w:val="20"/>
          <w:szCs w:val="20"/>
        </w:rPr>
      </w:pPr>
      <w:r w:rsidRPr="009508AD">
        <w:rPr>
          <w:rFonts w:ascii="Times New Roman" w:hAnsi="Times New Roman"/>
          <w:sz w:val="20"/>
          <w:szCs w:val="20"/>
        </w:rPr>
        <w:t>Se relembrarmos as conclusões a que chegamos sobre o Brasil que queremos, a diretriz estratégica que elegemos como a mais importante para orientar as ações de modo atingir os objetivos estabelecidos, foi o combate à extrema desigualdade social, inclusive de gênero e raça, reduzindo a concentração de renda e riqueza e propiciando a igualdade de oportunidade e mobilidade social.</w:t>
      </w:r>
      <w:r>
        <w:rPr>
          <w:rFonts w:ascii="Times New Roman" w:hAnsi="Times New Roman"/>
          <w:sz w:val="20"/>
          <w:szCs w:val="20"/>
        </w:rPr>
        <w:t xml:space="preserve"> (Conselheiro Fernando Xavier Ferreira, na 17ª Reunião Plenária, 10/05/2006, p. 14).</w:t>
      </w:r>
    </w:p>
    <w:p w:rsidR="00CE3680" w:rsidRPr="0084122D" w:rsidRDefault="00CE3680" w:rsidP="00CE3680">
      <w:pPr>
        <w:autoSpaceDE w:val="0"/>
        <w:autoSpaceDN w:val="0"/>
        <w:adjustRightInd w:val="0"/>
        <w:spacing w:after="0" w:line="240" w:lineRule="auto"/>
        <w:ind w:left="2268"/>
        <w:jc w:val="both"/>
        <w:rPr>
          <w:rFonts w:ascii="Times New Roman" w:hAnsi="Times New Roman"/>
          <w:sz w:val="20"/>
          <w:szCs w:val="20"/>
        </w:rPr>
      </w:pPr>
    </w:p>
    <w:p w:rsidR="00CE3680" w:rsidRPr="00094D22" w:rsidRDefault="00CE3680" w:rsidP="0009528F">
      <w:pPr>
        <w:autoSpaceDE w:val="0"/>
        <w:autoSpaceDN w:val="0"/>
        <w:adjustRightInd w:val="0"/>
        <w:spacing w:after="0" w:line="360" w:lineRule="auto"/>
        <w:ind w:firstLine="708"/>
        <w:jc w:val="both"/>
        <w:rPr>
          <w:rFonts w:ascii="Tahoma" w:hAnsi="Tahoma" w:cs="Tahoma"/>
          <w:sz w:val="20"/>
          <w:szCs w:val="20"/>
        </w:rPr>
      </w:pPr>
      <w:r>
        <w:rPr>
          <w:rFonts w:ascii="Times New Roman" w:hAnsi="Times New Roman"/>
          <w:sz w:val="24"/>
          <w:szCs w:val="24"/>
        </w:rPr>
        <w:t xml:space="preserve">Obviamente que as </w:t>
      </w:r>
      <w:r w:rsidR="0087743E">
        <w:rPr>
          <w:rFonts w:ascii="Times New Roman" w:hAnsi="Times New Roman"/>
          <w:sz w:val="24"/>
          <w:szCs w:val="24"/>
        </w:rPr>
        <w:t>intervenções</w:t>
      </w:r>
      <w:r>
        <w:rPr>
          <w:rFonts w:ascii="Times New Roman" w:hAnsi="Times New Roman"/>
          <w:sz w:val="24"/>
          <w:szCs w:val="24"/>
        </w:rPr>
        <w:t xml:space="preserve"> trazidas são meramente exemplificativas de uma aproximação e/ou coalizão de percepções sobre uma temática bastante ampla e complexa, largamente debatida no CDES. Inclusive, as falas de cada conselheiro, numa mesma ocasião, são atravessadas por posições vacilantes. </w:t>
      </w:r>
      <w:r w:rsidR="0069100E" w:rsidRPr="00094D22">
        <w:rPr>
          <w:rFonts w:ascii="Times New Roman" w:hAnsi="Times New Roman"/>
          <w:sz w:val="24"/>
          <w:szCs w:val="24"/>
        </w:rPr>
        <w:t>N</w:t>
      </w:r>
      <w:r w:rsidRPr="00094D22">
        <w:rPr>
          <w:rFonts w:ascii="Times New Roman" w:hAnsi="Times New Roman"/>
          <w:sz w:val="24"/>
          <w:szCs w:val="24"/>
        </w:rPr>
        <w:t xml:space="preserve">ão pretendemos </w:t>
      </w:r>
      <w:r w:rsidR="00B13E04" w:rsidRPr="00094D22">
        <w:rPr>
          <w:rFonts w:ascii="Times New Roman" w:hAnsi="Times New Roman"/>
          <w:sz w:val="24"/>
          <w:szCs w:val="24"/>
        </w:rPr>
        <w:t>aprofundar</w:t>
      </w:r>
      <w:r w:rsidRPr="00094D22">
        <w:rPr>
          <w:rFonts w:ascii="Times New Roman" w:hAnsi="Times New Roman"/>
          <w:sz w:val="24"/>
          <w:szCs w:val="24"/>
        </w:rPr>
        <w:t xml:space="preserve"> as tensões e conflitos havidos nas discussões plenárias </w:t>
      </w:r>
      <w:r w:rsidR="00C72E51" w:rsidRPr="00094D22">
        <w:rPr>
          <w:rFonts w:ascii="Times New Roman" w:hAnsi="Times New Roman"/>
          <w:i/>
          <w:sz w:val="24"/>
          <w:szCs w:val="24"/>
        </w:rPr>
        <w:t>especificamente</w:t>
      </w:r>
      <w:r w:rsidRPr="00094D22">
        <w:rPr>
          <w:rFonts w:ascii="Times New Roman" w:hAnsi="Times New Roman"/>
          <w:sz w:val="24"/>
          <w:szCs w:val="24"/>
        </w:rPr>
        <w:t xml:space="preserve">acerca da questão das “desigualdades” ou das “iniquidades”, </w:t>
      </w:r>
      <w:r w:rsidR="00B13E04" w:rsidRPr="00094D22">
        <w:rPr>
          <w:rFonts w:ascii="Times New Roman" w:hAnsi="Times New Roman"/>
          <w:sz w:val="24"/>
          <w:szCs w:val="24"/>
        </w:rPr>
        <w:t xml:space="preserve">principalmente </w:t>
      </w:r>
      <w:r w:rsidRPr="00094D22">
        <w:rPr>
          <w:rFonts w:ascii="Times New Roman" w:hAnsi="Times New Roman"/>
          <w:sz w:val="24"/>
          <w:szCs w:val="24"/>
        </w:rPr>
        <w:t>no âmbito conceitua</w:t>
      </w:r>
      <w:r w:rsidR="00B13E04" w:rsidRPr="00094D22">
        <w:rPr>
          <w:rFonts w:ascii="Times New Roman" w:hAnsi="Times New Roman"/>
          <w:sz w:val="24"/>
          <w:szCs w:val="24"/>
        </w:rPr>
        <w:t xml:space="preserve">l. No que se refere aos modos de enfrentamento às desigualdades eles </w:t>
      </w:r>
      <w:r w:rsidR="00C72E51" w:rsidRPr="00094D22">
        <w:rPr>
          <w:rFonts w:ascii="Times New Roman" w:hAnsi="Times New Roman"/>
          <w:sz w:val="24"/>
          <w:szCs w:val="24"/>
        </w:rPr>
        <w:t xml:space="preserve">costumeiramente </w:t>
      </w:r>
      <w:r w:rsidR="00B13E04" w:rsidRPr="00094D22">
        <w:rPr>
          <w:rFonts w:ascii="Times New Roman" w:hAnsi="Times New Roman"/>
          <w:sz w:val="24"/>
          <w:szCs w:val="24"/>
        </w:rPr>
        <w:t xml:space="preserve">apareciam </w:t>
      </w:r>
      <w:r w:rsidR="00C72E51" w:rsidRPr="00094D22">
        <w:rPr>
          <w:rFonts w:ascii="Times New Roman" w:hAnsi="Times New Roman"/>
          <w:sz w:val="24"/>
          <w:szCs w:val="24"/>
        </w:rPr>
        <w:t xml:space="preserve">no bojo das discussõessobre </w:t>
      </w:r>
      <w:r w:rsidR="00B13E04" w:rsidRPr="00094D22">
        <w:rPr>
          <w:rFonts w:ascii="Times New Roman" w:hAnsi="Times New Roman"/>
          <w:sz w:val="24"/>
          <w:szCs w:val="24"/>
        </w:rPr>
        <w:t xml:space="preserve">a temática </w:t>
      </w:r>
      <w:r w:rsidR="00C72E51" w:rsidRPr="00094D22">
        <w:rPr>
          <w:rFonts w:ascii="Times New Roman" w:hAnsi="Times New Roman"/>
          <w:sz w:val="24"/>
          <w:szCs w:val="24"/>
        </w:rPr>
        <w:t xml:space="preserve">do </w:t>
      </w:r>
      <w:r w:rsidR="00B13E04" w:rsidRPr="00094D22">
        <w:rPr>
          <w:rFonts w:ascii="Times New Roman" w:hAnsi="Times New Roman"/>
          <w:sz w:val="24"/>
          <w:szCs w:val="24"/>
        </w:rPr>
        <w:t>“desenvolvimento com inclusão social”, objeto de análise do capítulo 3.</w:t>
      </w:r>
    </w:p>
    <w:p w:rsidR="00CE3680" w:rsidRDefault="0009528F"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E</w:t>
      </w:r>
      <w:r w:rsidR="00CE3680" w:rsidRPr="00543D21">
        <w:rPr>
          <w:rFonts w:ascii="Times New Roman" w:hAnsi="Times New Roman"/>
          <w:sz w:val="24"/>
          <w:szCs w:val="24"/>
        </w:rPr>
        <w:t xml:space="preserve">m nenhum momento a desigualdade aparece num contexto de determinações histórico-sociais de uma formação social calcada na subsunção, na exploração e na expropriação do trabalho pelo capital no processo de </w:t>
      </w:r>
      <w:r w:rsidR="00CE3680">
        <w:rPr>
          <w:rFonts w:ascii="Times New Roman" w:hAnsi="Times New Roman"/>
          <w:sz w:val="24"/>
          <w:szCs w:val="24"/>
        </w:rPr>
        <w:t xml:space="preserve">expansão da </w:t>
      </w:r>
      <w:r w:rsidR="00CE3680" w:rsidRPr="00543D21">
        <w:rPr>
          <w:rFonts w:ascii="Times New Roman" w:hAnsi="Times New Roman"/>
          <w:sz w:val="24"/>
          <w:szCs w:val="24"/>
        </w:rPr>
        <w:t>acumulação capitalista.</w:t>
      </w:r>
      <w:r w:rsidR="00CE3680">
        <w:rPr>
          <w:rFonts w:ascii="Times New Roman" w:hAnsi="Times New Roman"/>
          <w:sz w:val="24"/>
          <w:szCs w:val="24"/>
        </w:rPr>
        <w:t xml:space="preserve"> Ora, isto é um aspecto </w:t>
      </w:r>
      <w:r w:rsidR="00CE3680" w:rsidRPr="00065981">
        <w:rPr>
          <w:rFonts w:ascii="Times New Roman" w:hAnsi="Times New Roman"/>
          <w:i/>
          <w:sz w:val="24"/>
          <w:szCs w:val="24"/>
        </w:rPr>
        <w:t>fundante</w:t>
      </w:r>
      <w:r w:rsidR="00CE3680">
        <w:rPr>
          <w:rFonts w:ascii="Times New Roman" w:hAnsi="Times New Roman"/>
          <w:sz w:val="24"/>
          <w:szCs w:val="24"/>
        </w:rPr>
        <w:t xml:space="preserve">e </w:t>
      </w:r>
      <w:r w:rsidR="00CE3680">
        <w:rPr>
          <w:rFonts w:ascii="Times New Roman" w:hAnsi="Times New Roman"/>
          <w:i/>
          <w:sz w:val="24"/>
          <w:szCs w:val="24"/>
        </w:rPr>
        <w:t xml:space="preserve">estruturante </w:t>
      </w:r>
      <w:r w:rsidR="00CE3680">
        <w:rPr>
          <w:rFonts w:ascii="Times New Roman" w:hAnsi="Times New Roman"/>
          <w:sz w:val="24"/>
          <w:szCs w:val="24"/>
        </w:rPr>
        <w:t>das relações de produção capitalistas. A crescente socialização das forças produtivas entra em contradição com a apropriação e destinação privada hiperconcentrada do excedente socialmente produzido, isto é, com as relações sociais de produção, sem contar com a incessante conversão mercantil das distintas esferas vida social (mercantilização de valores de uso). Assim,</w:t>
      </w:r>
      <w:r w:rsidR="00EB4951">
        <w:rPr>
          <w:rFonts w:ascii="Times New Roman" w:hAnsi="Times New Roman"/>
          <w:sz w:val="24"/>
          <w:szCs w:val="24"/>
        </w:rPr>
        <w:t xml:space="preserve"> a ordem do capital avoluma, com</w:t>
      </w:r>
      <w:r w:rsidR="00CE3680">
        <w:rPr>
          <w:rFonts w:ascii="Times New Roman" w:hAnsi="Times New Roman"/>
          <w:sz w:val="24"/>
          <w:szCs w:val="24"/>
        </w:rPr>
        <w:t xml:space="preserve"> cada vez mais freq</w:t>
      </w:r>
      <w:r w:rsidR="005913F9">
        <w:rPr>
          <w:rFonts w:ascii="Times New Roman" w:hAnsi="Times New Roman"/>
          <w:sz w:val="24"/>
          <w:szCs w:val="24"/>
        </w:rPr>
        <w:t>u</w:t>
      </w:r>
      <w:r w:rsidR="00CE3680">
        <w:rPr>
          <w:rFonts w:ascii="Times New Roman" w:hAnsi="Times New Roman"/>
          <w:sz w:val="24"/>
          <w:szCs w:val="24"/>
        </w:rPr>
        <w:t xml:space="preserve">ência e agudez, profundas crises sistêmicas, </w:t>
      </w:r>
      <w:r w:rsidR="00CE3680" w:rsidRPr="00065981">
        <w:rPr>
          <w:rFonts w:ascii="Times New Roman" w:hAnsi="Times New Roman"/>
          <w:i/>
          <w:sz w:val="24"/>
          <w:szCs w:val="24"/>
        </w:rPr>
        <w:t>interdita</w:t>
      </w:r>
      <w:r w:rsidR="00CE3680">
        <w:rPr>
          <w:rFonts w:ascii="Times New Roman" w:hAnsi="Times New Roman"/>
          <w:i/>
          <w:sz w:val="24"/>
          <w:szCs w:val="24"/>
        </w:rPr>
        <w:t>ndo</w:t>
      </w:r>
      <w:r w:rsidR="00CE3680">
        <w:rPr>
          <w:rFonts w:ascii="Times New Roman" w:hAnsi="Times New Roman"/>
          <w:sz w:val="24"/>
          <w:szCs w:val="24"/>
        </w:rPr>
        <w:t>qualquer possibilidade de solução da desigualdade e das privações do conjunto das classes subalternas por meio de uma genuína socialização do excedente produzido. Virgínia Fontes traduz e sintetiza magistralmente este movimento:</w:t>
      </w:r>
    </w:p>
    <w:p w:rsidR="00CE3680" w:rsidRPr="003169B9" w:rsidRDefault="00CE3680" w:rsidP="00CE3680">
      <w:pPr>
        <w:autoSpaceDE w:val="0"/>
        <w:autoSpaceDN w:val="0"/>
        <w:adjustRightInd w:val="0"/>
        <w:spacing w:line="240" w:lineRule="auto"/>
        <w:ind w:left="2268"/>
        <w:jc w:val="both"/>
        <w:rPr>
          <w:rFonts w:ascii="Times New Roman" w:hAnsi="Times New Roman"/>
          <w:sz w:val="20"/>
          <w:szCs w:val="20"/>
        </w:rPr>
      </w:pPr>
      <w:r>
        <w:rPr>
          <w:rFonts w:ascii="Times New Roman" w:hAnsi="Times New Roman"/>
          <w:sz w:val="20"/>
          <w:szCs w:val="20"/>
        </w:rPr>
        <w:t xml:space="preserve">(...) a </w:t>
      </w:r>
      <w:r w:rsidRPr="003169B9">
        <w:rPr>
          <w:rFonts w:ascii="Times New Roman" w:hAnsi="Times New Roman"/>
          <w:sz w:val="20"/>
          <w:szCs w:val="20"/>
        </w:rPr>
        <w:t>megaconcentração de capitais parece cavar continuamente o solo da crise social, para, emseguida,transformar a tragédia humana em base para sua lucratividade, convertendo a penúria que provoca em mercado para os bens que produz. A crise se torna ameaça permanente e sempre mais grave, inclusive, porque as escassas redes de proteção que os direitos asseguravam continuam a ser sistematicamente minadas.</w:t>
      </w:r>
      <w:r>
        <w:rPr>
          <w:rStyle w:val="Refdenotaderodap"/>
          <w:rFonts w:ascii="Times New Roman" w:hAnsi="Times New Roman"/>
          <w:sz w:val="20"/>
          <w:szCs w:val="20"/>
        </w:rPr>
        <w:footnoteReference w:id="159"/>
      </w:r>
    </w:p>
    <w:p w:rsidR="00CE3680" w:rsidRDefault="00CE3680" w:rsidP="00CE3680">
      <w:pPr>
        <w:autoSpaceDE w:val="0"/>
        <w:autoSpaceDN w:val="0"/>
        <w:adjustRightInd w:val="0"/>
        <w:spacing w:line="360" w:lineRule="auto"/>
        <w:ind w:firstLine="708"/>
        <w:jc w:val="both"/>
        <w:rPr>
          <w:rFonts w:ascii="Times New Roman" w:hAnsi="Times New Roman"/>
          <w:sz w:val="24"/>
          <w:szCs w:val="24"/>
        </w:rPr>
      </w:pPr>
      <w:r w:rsidRPr="00065981">
        <w:rPr>
          <w:rFonts w:ascii="Times New Roman" w:hAnsi="Times New Roman"/>
          <w:sz w:val="24"/>
          <w:szCs w:val="24"/>
        </w:rPr>
        <w:t>As</w:t>
      </w:r>
      <w:r>
        <w:rPr>
          <w:rFonts w:ascii="Times New Roman" w:hAnsi="Times New Roman"/>
          <w:sz w:val="24"/>
          <w:szCs w:val="24"/>
        </w:rPr>
        <w:t xml:space="preserve"> análises totalizantes são afastadas, deslocando o enfrentamento da “questão social”, o estudo sobre sua estruturação e perpetuação, do campo das lutas de classes, das formas de lutas contra a produção social de expropriados, para o campo previamente esquadrinhado e limitado da sua mensuração, através de inúmeras pesquisas, produção de indicadores, relatórios de acompanhamento e avaliação de políticas, tal como o Observatório da Equidade propunha. O trato investigativo e analítico da produção da desigualdade no capitalismo como </w:t>
      </w:r>
      <w:r w:rsidRPr="008F4CCE">
        <w:rPr>
          <w:rFonts w:ascii="Times New Roman" w:hAnsi="Times New Roman"/>
          <w:i/>
          <w:sz w:val="24"/>
          <w:szCs w:val="24"/>
        </w:rPr>
        <w:t xml:space="preserve">fenômeno histórico de </w:t>
      </w:r>
      <w:r>
        <w:rPr>
          <w:rFonts w:ascii="Times New Roman" w:hAnsi="Times New Roman"/>
          <w:i/>
          <w:sz w:val="24"/>
          <w:szCs w:val="24"/>
        </w:rPr>
        <w:t xml:space="preserve">uma relação social de </w:t>
      </w:r>
      <w:r w:rsidRPr="008F4CCE">
        <w:rPr>
          <w:rFonts w:ascii="Times New Roman" w:hAnsi="Times New Roman"/>
          <w:i/>
          <w:sz w:val="24"/>
          <w:szCs w:val="24"/>
        </w:rPr>
        <w:t>classe</w:t>
      </w:r>
      <w:r>
        <w:rPr>
          <w:rFonts w:ascii="Times New Roman" w:hAnsi="Times New Roman"/>
          <w:sz w:val="24"/>
          <w:szCs w:val="24"/>
        </w:rPr>
        <w:t xml:space="preserve"> dava lugar à aplicação e manuseio de um arsenal de instrumentos “técnico-científicos” homogeneizadores da realidade social.</w:t>
      </w:r>
    </w:p>
    <w:p w:rsidR="00CE3680" w:rsidRPr="00190945" w:rsidRDefault="00CE3680" w:rsidP="00CE3680">
      <w:pPr>
        <w:rPr>
          <w:rFonts w:ascii="Times New Roman" w:hAnsi="Times New Roman"/>
          <w:b/>
          <w:sz w:val="24"/>
          <w:szCs w:val="24"/>
        </w:rPr>
      </w:pPr>
      <w:r>
        <w:rPr>
          <w:rFonts w:ascii="Times New Roman" w:hAnsi="Times New Roman"/>
          <w:b/>
          <w:sz w:val="24"/>
          <w:szCs w:val="24"/>
        </w:rPr>
        <w:t xml:space="preserve">1.6 - </w:t>
      </w:r>
      <w:r w:rsidRPr="00190945">
        <w:rPr>
          <w:rFonts w:ascii="Times New Roman" w:hAnsi="Times New Roman"/>
          <w:b/>
          <w:sz w:val="24"/>
          <w:szCs w:val="24"/>
        </w:rPr>
        <w:t>O Comitê Gestor</w:t>
      </w:r>
    </w:p>
    <w:p w:rsidR="00CE3680" w:rsidRPr="00C10150" w:rsidRDefault="00CE3680" w:rsidP="00CE3680">
      <w:pPr>
        <w:autoSpaceDE w:val="0"/>
        <w:autoSpaceDN w:val="0"/>
        <w:adjustRightInd w:val="0"/>
        <w:spacing w:after="0" w:line="360" w:lineRule="auto"/>
        <w:jc w:val="both"/>
        <w:rPr>
          <w:rFonts w:ascii="Times New Roman" w:hAnsi="Times New Roman"/>
          <w:sz w:val="20"/>
          <w:szCs w:val="20"/>
        </w:rPr>
      </w:pPr>
      <w:r>
        <w:rPr>
          <w:rFonts w:ascii="Tahoma" w:hAnsi="Tahoma" w:cs="Tahoma"/>
          <w:sz w:val="20"/>
          <w:szCs w:val="20"/>
        </w:rPr>
        <w:tab/>
      </w:r>
      <w:r>
        <w:rPr>
          <w:rFonts w:ascii="Times New Roman" w:hAnsi="Times New Roman"/>
          <w:sz w:val="24"/>
          <w:szCs w:val="24"/>
        </w:rPr>
        <w:t>A origem da criação do Comitê Gestor retoma e revolve a questão, por parte dos conselheiros, da eficácia e relevância d</w:t>
      </w:r>
      <w:r w:rsidR="00EB4951">
        <w:rPr>
          <w:rFonts w:ascii="Times New Roman" w:hAnsi="Times New Roman"/>
          <w:sz w:val="24"/>
          <w:szCs w:val="24"/>
        </w:rPr>
        <w:t>o CDES</w:t>
      </w:r>
      <w:r>
        <w:rPr>
          <w:rFonts w:ascii="Times New Roman" w:hAnsi="Times New Roman"/>
          <w:sz w:val="24"/>
          <w:szCs w:val="24"/>
        </w:rPr>
        <w:t xml:space="preserve">. </w:t>
      </w:r>
      <w:r w:rsidR="00C0307C">
        <w:rPr>
          <w:rFonts w:ascii="Times New Roman" w:hAnsi="Times New Roman"/>
          <w:sz w:val="24"/>
          <w:szCs w:val="24"/>
        </w:rPr>
        <w:t>Vimos que, d</w:t>
      </w:r>
      <w:r>
        <w:rPr>
          <w:rFonts w:ascii="Times New Roman" w:hAnsi="Times New Roman"/>
          <w:sz w:val="24"/>
          <w:szCs w:val="24"/>
        </w:rPr>
        <w:t xml:space="preserve">urante um ano (entre julho de 2004 e agosto de 2005), os conselheiros </w:t>
      </w:r>
      <w:r w:rsidR="00496CD3">
        <w:rPr>
          <w:rFonts w:ascii="Times New Roman" w:hAnsi="Times New Roman"/>
          <w:sz w:val="24"/>
          <w:szCs w:val="24"/>
        </w:rPr>
        <w:t>es</w:t>
      </w:r>
      <w:r>
        <w:rPr>
          <w:rFonts w:ascii="Times New Roman" w:hAnsi="Times New Roman"/>
          <w:sz w:val="24"/>
          <w:szCs w:val="24"/>
        </w:rPr>
        <w:t>tiveram envolvidos na elaboração da Agenda Nacional de Desenvolvimento (AND)</w:t>
      </w:r>
      <w:r w:rsidR="00E31259">
        <w:rPr>
          <w:rFonts w:ascii="Times New Roman" w:hAnsi="Times New Roman"/>
          <w:sz w:val="24"/>
          <w:szCs w:val="24"/>
        </w:rPr>
        <w:t>.</w:t>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 cascata inicial de denúncias sobre a “crise do mensalão” pegou em cheio o lançamento da AND por ocasião da 13ª Reunião Plenária do Conselho, em agosto de 2005, data sucessivamente adiada devido à crise.</w:t>
      </w:r>
      <w:r w:rsidRPr="00B56BDD">
        <w:rPr>
          <w:rStyle w:val="Refdenotaderodap"/>
          <w:rFonts w:ascii="Times New Roman" w:hAnsi="Times New Roman"/>
          <w:sz w:val="24"/>
          <w:szCs w:val="24"/>
        </w:rPr>
        <w:footnoteReference w:id="160"/>
      </w:r>
      <w:r>
        <w:rPr>
          <w:rFonts w:ascii="Times New Roman" w:hAnsi="Times New Roman"/>
          <w:sz w:val="24"/>
          <w:szCs w:val="24"/>
        </w:rPr>
        <w:t>O assim chamado “escândalo do mensalão” ocupou a pauta diária dos noticiários que, aliado à troca de Ministros, a instauração de Comissões Parlamentares de Inquérito, a mudança na estrutura or</w:t>
      </w:r>
      <w:r w:rsidR="00C1495D">
        <w:rPr>
          <w:rFonts w:ascii="Times New Roman" w:hAnsi="Times New Roman"/>
          <w:sz w:val="24"/>
          <w:szCs w:val="24"/>
        </w:rPr>
        <w:t xml:space="preserve">ganizacional da SEDES </w:t>
      </w:r>
      <w:r>
        <w:rPr>
          <w:rFonts w:ascii="Times New Roman" w:hAnsi="Times New Roman"/>
          <w:sz w:val="24"/>
          <w:szCs w:val="24"/>
        </w:rPr>
        <w:t>teria</w:t>
      </w:r>
      <w:r w:rsidR="00C1495D">
        <w:rPr>
          <w:rFonts w:ascii="Times New Roman" w:hAnsi="Times New Roman"/>
          <w:sz w:val="24"/>
          <w:szCs w:val="24"/>
        </w:rPr>
        <w:t>m</w:t>
      </w:r>
      <w:r>
        <w:rPr>
          <w:rFonts w:ascii="Times New Roman" w:hAnsi="Times New Roman"/>
          <w:sz w:val="24"/>
          <w:szCs w:val="24"/>
        </w:rPr>
        <w:t xml:space="preserve"> contribuído para geração de um clima de dúvidas, expectativas e preocupação.</w:t>
      </w:r>
      <w:r>
        <w:rPr>
          <w:rStyle w:val="Refdenotaderodap"/>
          <w:rFonts w:ascii="Times New Roman" w:hAnsi="Times New Roman"/>
          <w:sz w:val="24"/>
          <w:szCs w:val="24"/>
        </w:rPr>
        <w:footnoteReference w:id="161"/>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Em relato detalhado de quem se envolveu direta e profundamente com o CDES neste período, Garcia</w:t>
      </w:r>
      <w:r>
        <w:rPr>
          <w:rStyle w:val="Refdenotaderodap"/>
          <w:rFonts w:ascii="Times New Roman" w:hAnsi="Times New Roman"/>
          <w:sz w:val="24"/>
          <w:szCs w:val="24"/>
        </w:rPr>
        <w:footnoteReference w:id="162"/>
      </w:r>
      <w:r>
        <w:rPr>
          <w:rFonts w:ascii="Times New Roman" w:hAnsi="Times New Roman"/>
          <w:sz w:val="24"/>
          <w:szCs w:val="24"/>
        </w:rPr>
        <w:t xml:space="preserve"> afirmava que o entendimento predominante entre os conselheiros era o de que a AND oferecia e exigia uma transição do modelo vigente, por meio de uma revisão do conjunto das opções feitas pelo governo e em especial a da política econômica, tendo em vista que, na opinião do autor, o conteúdo da Agenda não estava em conformidade com as orientações predominantes do governo.</w:t>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De forma enviesada ou objetiva, as intervenções dos conselheiros na 13ª Reunião Plenária se deram neste sentido. Às manifestações de apoio ao Presidente e pedidos de rigorosa apuração e punição dos acusados somaram-se sugestões de mudança de rumo via estratégias de desenvolvimento traçadas pela AND. Nesta visão, a saída da crise política poderia ser abreviada com respostas do Executivo na área da política econômica e avanço social.  Tratar-se-ia de resgatar os projetos históricos das forças políticas e sociais que apoiaram a eleição de Lula da Silva. Destacamos abaixo algumas falas dirigidas diretamente a Lula da Silva, quando da sua participação na 13ª Reunião Plenária:</w:t>
      </w:r>
    </w:p>
    <w:p w:rsidR="00CE3680" w:rsidRPr="00D74DDF" w:rsidRDefault="00CE3680" w:rsidP="00CE3680">
      <w:pPr>
        <w:autoSpaceDE w:val="0"/>
        <w:autoSpaceDN w:val="0"/>
        <w:adjustRightInd w:val="0"/>
        <w:spacing w:after="0" w:line="240" w:lineRule="auto"/>
        <w:ind w:left="2268"/>
        <w:jc w:val="both"/>
        <w:rPr>
          <w:rFonts w:ascii="Times New Roman" w:hAnsi="Times New Roman"/>
          <w:sz w:val="20"/>
          <w:szCs w:val="20"/>
        </w:rPr>
      </w:pPr>
      <w:r w:rsidRPr="00D74DDF">
        <w:rPr>
          <w:rFonts w:ascii="Times New Roman" w:hAnsi="Times New Roman"/>
          <w:sz w:val="20"/>
          <w:szCs w:val="20"/>
        </w:rPr>
        <w:t>E faço votos que a atual crise leve o Governo a perceber onde ele deve sintonizar melhor com as aspirações que motivaram sua eleição, para que se justifique politicamente na medida que as atende. (</w:t>
      </w:r>
      <w:r w:rsidRPr="00D74DDF">
        <w:rPr>
          <w:rFonts w:ascii="Times New Roman" w:hAnsi="Times New Roman"/>
          <w:bCs/>
          <w:sz w:val="20"/>
          <w:szCs w:val="20"/>
        </w:rPr>
        <w:t xml:space="preserve">Conselheiro Dom Luiz Demetrio Valentini, </w:t>
      </w:r>
      <w:r>
        <w:rPr>
          <w:rFonts w:ascii="Times New Roman" w:hAnsi="Times New Roman"/>
          <w:bCs/>
          <w:sz w:val="20"/>
          <w:szCs w:val="20"/>
        </w:rPr>
        <w:t xml:space="preserve">da </w:t>
      </w:r>
      <w:r w:rsidRPr="00D74DDF">
        <w:rPr>
          <w:rFonts w:ascii="Times New Roman" w:hAnsi="Times New Roman"/>
          <w:bCs/>
          <w:sz w:val="20"/>
          <w:szCs w:val="20"/>
        </w:rPr>
        <w:t>CNBB)</w:t>
      </w:r>
      <w:r>
        <w:rPr>
          <w:rFonts w:ascii="Times New Roman" w:hAnsi="Times New Roman"/>
          <w:bCs/>
          <w:sz w:val="20"/>
          <w:szCs w:val="20"/>
        </w:rPr>
        <w:t>.</w:t>
      </w:r>
    </w:p>
    <w:p w:rsidR="00CE3680" w:rsidRPr="00D74DDF" w:rsidRDefault="00CE3680" w:rsidP="00CE3680">
      <w:pPr>
        <w:autoSpaceDE w:val="0"/>
        <w:autoSpaceDN w:val="0"/>
        <w:adjustRightInd w:val="0"/>
        <w:spacing w:after="0" w:line="240" w:lineRule="auto"/>
        <w:ind w:left="2268"/>
        <w:jc w:val="both"/>
        <w:rPr>
          <w:rFonts w:ascii="Times New Roman" w:hAnsi="Times New Roman"/>
          <w:sz w:val="20"/>
          <w:szCs w:val="20"/>
        </w:rPr>
      </w:pPr>
    </w:p>
    <w:p w:rsidR="00CE3680" w:rsidRPr="00D74DDF" w:rsidRDefault="00CE3680" w:rsidP="00CE3680">
      <w:pPr>
        <w:autoSpaceDE w:val="0"/>
        <w:autoSpaceDN w:val="0"/>
        <w:adjustRightInd w:val="0"/>
        <w:spacing w:after="0" w:line="240" w:lineRule="auto"/>
        <w:ind w:left="2268"/>
        <w:jc w:val="both"/>
        <w:rPr>
          <w:rFonts w:ascii="Times New Roman" w:hAnsi="Times New Roman"/>
          <w:sz w:val="20"/>
          <w:szCs w:val="20"/>
        </w:rPr>
      </w:pPr>
      <w:r w:rsidRPr="00D74DDF">
        <w:rPr>
          <w:rFonts w:ascii="Times New Roman" w:hAnsi="Times New Roman"/>
          <w:sz w:val="20"/>
          <w:szCs w:val="20"/>
        </w:rPr>
        <w:t>Emprego; investimento em infraestrutura; universalização do direito a saúde, educação e tecnologia, programas de engenharia e arquitetura pública que garantam a moradia digna; a recuperação do salário mínimo através de uma política de recuperação; redução das taxas de juros; a ampliação do Conselho Monetário Nacional, proposta essa debatida e aprovada neste Conselho; e a retomadas dasreformas que marcaram o início do seu governo, certamente, serão itens constantes destapauta de trabalho. Convoque aqueles que sonharam e lutaram ao seu lado para construir aestrada do desenvolvimento deste país. (Conselheiro Jorge Nazareno, da Força Sindical).</w:t>
      </w:r>
    </w:p>
    <w:p w:rsidR="00CE3680" w:rsidRPr="00D74DDF" w:rsidRDefault="00CE3680" w:rsidP="00CE3680">
      <w:pPr>
        <w:autoSpaceDE w:val="0"/>
        <w:autoSpaceDN w:val="0"/>
        <w:adjustRightInd w:val="0"/>
        <w:spacing w:after="0" w:line="240" w:lineRule="auto"/>
        <w:ind w:left="2268"/>
        <w:jc w:val="both"/>
        <w:rPr>
          <w:rFonts w:ascii="Times New Roman" w:hAnsi="Times New Roman"/>
          <w:sz w:val="20"/>
          <w:szCs w:val="20"/>
        </w:rPr>
      </w:pPr>
    </w:p>
    <w:p w:rsidR="00CE3680" w:rsidRPr="00D74DDF" w:rsidRDefault="00CE3680" w:rsidP="00CE3680">
      <w:pPr>
        <w:autoSpaceDE w:val="0"/>
        <w:autoSpaceDN w:val="0"/>
        <w:adjustRightInd w:val="0"/>
        <w:spacing w:after="0" w:line="240" w:lineRule="auto"/>
        <w:ind w:left="2268"/>
        <w:jc w:val="both"/>
        <w:rPr>
          <w:rFonts w:ascii="Times New Roman" w:hAnsi="Times New Roman"/>
          <w:sz w:val="20"/>
          <w:szCs w:val="20"/>
        </w:rPr>
      </w:pPr>
      <w:r w:rsidRPr="00D74DDF">
        <w:rPr>
          <w:rFonts w:ascii="Times New Roman" w:hAnsi="Times New Roman"/>
          <w:sz w:val="20"/>
          <w:szCs w:val="20"/>
        </w:rPr>
        <w:t xml:space="preserve">O seu projeto de governo popular - aliás, o primeiroverdadeiramente popular da nossa história - não pode passar à posteridade como a pá de calsobre a utopia das esquerdas, das gerações que não se dobraram à opressão e da sociedadecivil em geral, que construiu, ao longo de no mínimo 20 anos, as linhas mestras sobre as quaisseu programa de governo se ergueu. Em um mundo que clama pelo desenvolvimentosustentável, pela inclusão social, pelo respeito ao meio ambiente, por empresas socialmenteresponsáveis, pelo alvorecer de valores como ética e transparência, seu Governo deve ressurgircom força redobrada, demonstrando ao mundo que, mesmo em meio à pior crise, a confiançanestes valores tem a força do milagre. (Conselheiro Ricardo Young, </w:t>
      </w:r>
      <w:r>
        <w:rPr>
          <w:rFonts w:ascii="Times New Roman" w:hAnsi="Times New Roman"/>
          <w:sz w:val="20"/>
          <w:szCs w:val="20"/>
        </w:rPr>
        <w:t xml:space="preserve">do </w:t>
      </w:r>
      <w:r w:rsidRPr="00D74DDF">
        <w:rPr>
          <w:rFonts w:ascii="Times New Roman" w:hAnsi="Times New Roman"/>
          <w:sz w:val="20"/>
          <w:szCs w:val="20"/>
        </w:rPr>
        <w:t>Instituto Ethos</w:t>
      </w:r>
      <w:r>
        <w:rPr>
          <w:rFonts w:ascii="Times New Roman" w:hAnsi="Times New Roman"/>
          <w:sz w:val="20"/>
          <w:szCs w:val="20"/>
        </w:rPr>
        <w:t xml:space="preserve"> e PNBE</w:t>
      </w:r>
      <w:r w:rsidRPr="00D74DDF">
        <w:rPr>
          <w:rFonts w:ascii="Times New Roman" w:hAnsi="Times New Roman"/>
          <w:sz w:val="20"/>
          <w:szCs w:val="20"/>
        </w:rPr>
        <w:t>)</w:t>
      </w:r>
      <w:r>
        <w:rPr>
          <w:rFonts w:ascii="Times New Roman" w:hAnsi="Times New Roman"/>
          <w:sz w:val="20"/>
          <w:szCs w:val="20"/>
        </w:rPr>
        <w:t>.</w:t>
      </w:r>
    </w:p>
    <w:p w:rsidR="00CE3680" w:rsidRDefault="00CE3680" w:rsidP="00CE3680">
      <w:pPr>
        <w:autoSpaceDE w:val="0"/>
        <w:autoSpaceDN w:val="0"/>
        <w:adjustRightInd w:val="0"/>
        <w:spacing w:after="0" w:line="240" w:lineRule="auto"/>
        <w:rPr>
          <w:rFonts w:ascii="Times New Roman" w:hAnsi="Times New Roman"/>
          <w:sz w:val="24"/>
          <w:szCs w:val="24"/>
        </w:rPr>
      </w:pPr>
    </w:p>
    <w:p w:rsidR="00CE3680" w:rsidRDefault="00CE3680" w:rsidP="00CE368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O discurso do Presidente, feito de improviso, reservou a maior parte de seu tempo para abordar a crise política. Lula em nenhum momento se referiu às sugestões dos conselheiros sobre a mudança de rumo que deveria ser tomada e a necessidade imediata do começo da implantação da Agenda. Apenas leu um pequeno trecho dela. Estava bastante envolvido em tomar posições e dar satisfações à correligionários, à mídia e à personalidades destacadas a respeito da crise que envolvia o PT e figuras de proa dos ministérios.</w:t>
      </w:r>
      <w:r>
        <w:rPr>
          <w:rStyle w:val="Refdenotaderodap"/>
          <w:rFonts w:ascii="Times New Roman" w:hAnsi="Times New Roman"/>
          <w:sz w:val="24"/>
          <w:szCs w:val="24"/>
        </w:rPr>
        <w:footnoteReference w:id="163"/>
      </w:r>
      <w:r>
        <w:rPr>
          <w:rFonts w:ascii="Times New Roman" w:hAnsi="Times New Roman"/>
          <w:sz w:val="24"/>
          <w:szCs w:val="24"/>
        </w:rPr>
        <w:t xml:space="preserve"> Não fez e não se comprometeu a fazer nenhuma avaliação das proposições contidas na Agenda. Não estabeleceu prazos para dar respostas às sugestões dos conselheiros e muito menos se colocou como uma “liderança” implementadora do projeto construído pelos conselheiros, como aspiravam. Segundo Garcia, o efeito produzido sobre a maioria dos conselheiros foi de desconforto, frustração, perplexidade e de decepção, muito embora alguns poucos ficassem satisfeitos com a declaração de Lula de que “não haveria populismo econômico”.</w:t>
      </w:r>
      <w:r>
        <w:rPr>
          <w:rStyle w:val="Refdenotaderodap"/>
          <w:rFonts w:ascii="Times New Roman" w:hAnsi="Times New Roman"/>
          <w:sz w:val="24"/>
          <w:szCs w:val="24"/>
        </w:rPr>
        <w:footnoteReference w:id="164"/>
      </w:r>
    </w:p>
    <w:p w:rsidR="00CE3680" w:rsidRDefault="00CE3680" w:rsidP="00CE368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 xml:space="preserve">Outras quatro Reuniões Plenárias foram realizadas (14ª: 14/10/2005, 15ª: 01/12/2005, 16ª: 23/03/2006 e 17ª: 10/05/2006) e os conselheiros não tinham recebido respostas ou considerações do governo sobre as propostas contidas na AND.  Jaques Wagner, incentivador e defensor da Agenda, deixava a coordenação do CDES, em março de 2006, para concorrer ao governo do Estado da Bahia. Na 17ª Reunião Plenária, com o retorno de Tarso Genro à Secretaria Executiva do Conselho, as tensões se aguçaram e alguns conselheiros revelaram suas insatisfações de forma contundente: </w:t>
      </w:r>
    </w:p>
    <w:p w:rsidR="00CE3680" w:rsidRPr="00FA6793" w:rsidRDefault="00CE3680" w:rsidP="00CE3680">
      <w:pPr>
        <w:autoSpaceDE w:val="0"/>
        <w:autoSpaceDN w:val="0"/>
        <w:adjustRightInd w:val="0"/>
        <w:spacing w:before="240" w:line="240" w:lineRule="auto"/>
        <w:ind w:left="2268"/>
        <w:jc w:val="both"/>
        <w:rPr>
          <w:rFonts w:ascii="Times New Roman" w:hAnsi="Times New Roman"/>
          <w:sz w:val="20"/>
          <w:szCs w:val="20"/>
        </w:rPr>
      </w:pPr>
      <w:r w:rsidRPr="00FA6793">
        <w:rPr>
          <w:rFonts w:ascii="Times New Roman" w:hAnsi="Times New Roman"/>
          <w:sz w:val="20"/>
          <w:szCs w:val="20"/>
        </w:rPr>
        <w:t xml:space="preserve">Eu me pergunto, seguidas vezes, se estamos chegando ao que realmente se queriaquando fomos designados pra cá e convidados, se estamos alcançando realmente aquilo quesonhávamos. Eu entendo que o Conselho, pelo próprio nome, é órgão de assessoramento, nóstemos que ter essa consciência que todo aquele que trabalha em assessoramento leva também a forte dose de frustração, porque nem tudo que se assessora, se realiza. </w:t>
      </w:r>
      <w:r>
        <w:rPr>
          <w:rFonts w:ascii="Times New Roman" w:hAnsi="Times New Roman"/>
          <w:sz w:val="20"/>
          <w:szCs w:val="20"/>
        </w:rPr>
        <w:t>(...)</w:t>
      </w:r>
      <w:r w:rsidRPr="00FA6793">
        <w:rPr>
          <w:rFonts w:ascii="Times New Roman" w:hAnsi="Times New Roman"/>
          <w:sz w:val="20"/>
          <w:szCs w:val="20"/>
        </w:rPr>
        <w:t xml:space="preserve"> Mas depois de grandes debates, discussões, muitas delas conseguidas até por unanimidade, é frustrante reconhecer que muito pouco, pelo menos na minha impressão, o governo aproveitou. Muito pouco teve aderência às </w:t>
      </w:r>
      <w:r>
        <w:rPr>
          <w:rFonts w:ascii="Times New Roman" w:hAnsi="Times New Roman"/>
          <w:sz w:val="20"/>
          <w:szCs w:val="20"/>
        </w:rPr>
        <w:t>políticas do governo (Conselheiro General Luiz Gonzaga Schoroeder Lessa, ATA da 17ª Reunião Plenária, 15/05/2006, p. 21-22).</w:t>
      </w:r>
    </w:p>
    <w:p w:rsidR="00CE3680" w:rsidRDefault="00CE3680" w:rsidP="00CE3680">
      <w:pPr>
        <w:autoSpaceDE w:val="0"/>
        <w:autoSpaceDN w:val="0"/>
        <w:adjustRightInd w:val="0"/>
        <w:spacing w:after="0" w:line="240" w:lineRule="auto"/>
        <w:ind w:left="2268"/>
        <w:jc w:val="both"/>
        <w:rPr>
          <w:rFonts w:ascii="Times New Roman" w:hAnsi="Times New Roman"/>
          <w:sz w:val="20"/>
          <w:szCs w:val="20"/>
        </w:rPr>
      </w:pPr>
      <w:r w:rsidRPr="00A9153F">
        <w:rPr>
          <w:rFonts w:ascii="Times New Roman" w:hAnsi="Times New Roman"/>
          <w:sz w:val="20"/>
          <w:szCs w:val="20"/>
        </w:rPr>
        <w:t>(...) infelizmente eu sei que alguns não concordarão comigo, eu diria que, não o Presidente, não o Ministro Genro, mas o interesse dos Ministros pelo Conselho é, digamos assim, mais educado do que interessado. De maneira que o nosso trabalho tem sido muito mais de empurrar do que, na verdade, ver da parte deles o interesse de absorver o que estamos dizendo aqui.</w:t>
      </w:r>
      <w:r>
        <w:rPr>
          <w:rFonts w:ascii="Times New Roman" w:hAnsi="Times New Roman"/>
          <w:sz w:val="20"/>
          <w:szCs w:val="20"/>
        </w:rPr>
        <w:t xml:space="preserve"> (Conselheiro Horácio Lafer Piva, ATA da 17ª Reunião Plenária, 15/05/2006, p. 21)</w:t>
      </w:r>
    </w:p>
    <w:p w:rsidR="00CE3680" w:rsidRDefault="00CE3680" w:rsidP="00CE3680">
      <w:pPr>
        <w:autoSpaceDE w:val="0"/>
        <w:autoSpaceDN w:val="0"/>
        <w:adjustRightInd w:val="0"/>
        <w:spacing w:after="0" w:line="240" w:lineRule="auto"/>
        <w:ind w:left="2268"/>
        <w:jc w:val="both"/>
        <w:rPr>
          <w:rFonts w:ascii="Times New Roman" w:hAnsi="Times New Roman"/>
          <w:sz w:val="20"/>
          <w:szCs w:val="20"/>
        </w:rPr>
      </w:pPr>
    </w:p>
    <w:p w:rsidR="00CE3680" w:rsidRDefault="00CE3680" w:rsidP="00CE3680">
      <w:pPr>
        <w:autoSpaceDE w:val="0"/>
        <w:autoSpaceDN w:val="0"/>
        <w:adjustRightInd w:val="0"/>
        <w:spacing w:after="0" w:line="240" w:lineRule="auto"/>
        <w:ind w:left="2268"/>
        <w:jc w:val="both"/>
        <w:rPr>
          <w:rFonts w:ascii="Times New Roman" w:hAnsi="Times New Roman"/>
          <w:sz w:val="20"/>
          <w:szCs w:val="20"/>
        </w:rPr>
      </w:pPr>
      <w:r w:rsidRPr="00865E55">
        <w:rPr>
          <w:rFonts w:ascii="Times New Roman" w:hAnsi="Times New Roman"/>
          <w:sz w:val="20"/>
          <w:szCs w:val="20"/>
        </w:rPr>
        <w:t>A eficácia do Conselho para as políticas públicas foi baixa, muitas coisas nós sugerimos não foram levadas em conta, não houve resposta, também não houve continuidade no trabalho da gente, não há um método único de trabalho, então, acho que a gente fica agora pensando qual é o legado que nós vamos deixar para que o Conselho não acabe no próximo governo. (...) não adianta nós fazermos</w:t>
      </w:r>
      <w:r>
        <w:rPr>
          <w:rFonts w:ascii="Times New Roman" w:hAnsi="Times New Roman"/>
          <w:sz w:val="20"/>
          <w:szCs w:val="20"/>
        </w:rPr>
        <w:t xml:space="preserve"> o trabalho e não ter eficácia (...). Então eu acho que </w:t>
      </w:r>
      <w:r w:rsidRPr="00865E55">
        <w:rPr>
          <w:rFonts w:ascii="Times New Roman" w:hAnsi="Times New Roman"/>
          <w:sz w:val="20"/>
          <w:szCs w:val="20"/>
        </w:rPr>
        <w:t xml:space="preserve">temos que estabelecer o modo em que nós trabalhamos, que nós produzimos, mas que também queremos ter, dos ministérios e da presidência da república a quem nós aconselhamos,uma reposta. Não que seja vinculante o que nós decidimos, mas que o compromisso moral é de vínculo sim, de que eles nos digam porque não, pelo menos. </w:t>
      </w:r>
      <w:r>
        <w:rPr>
          <w:rFonts w:ascii="Times New Roman" w:hAnsi="Times New Roman"/>
          <w:sz w:val="20"/>
          <w:szCs w:val="20"/>
        </w:rPr>
        <w:t>(Conselheira Sonia Fleury, ATA da 17ª Reunião Plenária, 15/05/2006, p. 24-25).</w:t>
      </w:r>
    </w:p>
    <w:p w:rsidR="00CE3680" w:rsidRPr="00865E55" w:rsidRDefault="00CE3680" w:rsidP="00CE3680">
      <w:pPr>
        <w:autoSpaceDE w:val="0"/>
        <w:autoSpaceDN w:val="0"/>
        <w:adjustRightInd w:val="0"/>
        <w:spacing w:after="0" w:line="240" w:lineRule="auto"/>
        <w:ind w:left="2268"/>
        <w:jc w:val="both"/>
        <w:rPr>
          <w:rFonts w:ascii="Times New Roman" w:hAnsi="Times New Roman"/>
          <w:sz w:val="24"/>
          <w:szCs w:val="24"/>
        </w:rPr>
      </w:pPr>
    </w:p>
    <w:p w:rsidR="006561DA" w:rsidRPr="00A801A7" w:rsidRDefault="00CE3680" w:rsidP="00C0307C">
      <w:pPr>
        <w:pStyle w:val="Textodenotaderodap"/>
        <w:spacing w:after="240" w:line="360" w:lineRule="auto"/>
        <w:jc w:val="both"/>
        <w:rPr>
          <w:rFonts w:ascii="Times New Roman" w:hAnsi="Times New Roman"/>
          <w:sz w:val="24"/>
          <w:szCs w:val="24"/>
        </w:rPr>
      </w:pPr>
      <w:r>
        <w:rPr>
          <w:rFonts w:ascii="Times New Roman" w:hAnsi="Times New Roman"/>
          <w:sz w:val="24"/>
          <w:szCs w:val="24"/>
        </w:rPr>
        <w:tab/>
      </w:r>
      <w:r w:rsidR="00DC6B2E">
        <w:rPr>
          <w:rFonts w:ascii="Times New Roman" w:hAnsi="Times New Roman"/>
          <w:sz w:val="24"/>
          <w:szCs w:val="24"/>
        </w:rPr>
        <w:t xml:space="preserve">Após a intervenção citada acima, </w:t>
      </w:r>
      <w:r w:rsidRPr="0016114C">
        <w:rPr>
          <w:rFonts w:ascii="Times New Roman" w:hAnsi="Times New Roman"/>
          <w:sz w:val="24"/>
          <w:szCs w:val="24"/>
        </w:rPr>
        <w:t>Sônia Fleury participou apenas de mais uma</w:t>
      </w:r>
      <w:r>
        <w:rPr>
          <w:rFonts w:ascii="Times New Roman" w:hAnsi="Times New Roman"/>
          <w:sz w:val="24"/>
          <w:szCs w:val="24"/>
        </w:rPr>
        <w:t xml:space="preserve"> Reunião Plenária, </w:t>
      </w:r>
      <w:r w:rsidRPr="0016114C">
        <w:rPr>
          <w:rFonts w:ascii="Times New Roman" w:hAnsi="Times New Roman"/>
          <w:sz w:val="24"/>
          <w:szCs w:val="24"/>
        </w:rPr>
        <w:t>a 18ª</w:t>
      </w:r>
      <w:r>
        <w:rPr>
          <w:rFonts w:ascii="Times New Roman" w:hAnsi="Times New Roman"/>
          <w:sz w:val="24"/>
          <w:szCs w:val="24"/>
        </w:rPr>
        <w:t>,</w:t>
      </w:r>
      <w:r w:rsidRPr="0016114C">
        <w:rPr>
          <w:rFonts w:ascii="Times New Roman" w:hAnsi="Times New Roman"/>
          <w:sz w:val="24"/>
          <w:szCs w:val="24"/>
        </w:rPr>
        <w:t xml:space="preserve"> e seu nome não mais constava nas Atas subseq</w:t>
      </w:r>
      <w:r w:rsidR="005913F9">
        <w:rPr>
          <w:rFonts w:ascii="Times New Roman" w:hAnsi="Times New Roman"/>
          <w:sz w:val="24"/>
          <w:szCs w:val="24"/>
        </w:rPr>
        <w:t>u</w:t>
      </w:r>
      <w:r w:rsidRPr="0016114C">
        <w:rPr>
          <w:rFonts w:ascii="Times New Roman" w:hAnsi="Times New Roman"/>
          <w:sz w:val="24"/>
          <w:szCs w:val="24"/>
        </w:rPr>
        <w:t>entes. Na 21ª Reunião</w:t>
      </w:r>
      <w:r>
        <w:rPr>
          <w:rFonts w:ascii="Times New Roman" w:hAnsi="Times New Roman"/>
          <w:sz w:val="24"/>
          <w:szCs w:val="24"/>
        </w:rPr>
        <w:t>, em 17 de maio de 2007,</w:t>
      </w:r>
      <w:r w:rsidRPr="0016114C">
        <w:rPr>
          <w:rFonts w:ascii="Times New Roman" w:hAnsi="Times New Roman"/>
          <w:sz w:val="24"/>
          <w:szCs w:val="24"/>
        </w:rPr>
        <w:t xml:space="preserve"> houve a (re)convocação de conselheiros e o nome de Sonia Fleury não </w:t>
      </w:r>
      <w:r>
        <w:rPr>
          <w:rFonts w:ascii="Times New Roman" w:hAnsi="Times New Roman"/>
          <w:sz w:val="24"/>
          <w:szCs w:val="24"/>
        </w:rPr>
        <w:t>aparecia</w:t>
      </w:r>
      <w:r w:rsidRPr="0016114C">
        <w:rPr>
          <w:rFonts w:ascii="Times New Roman" w:hAnsi="Times New Roman"/>
          <w:sz w:val="24"/>
          <w:szCs w:val="24"/>
        </w:rPr>
        <w:t xml:space="preserve"> na listagem. Segundo depoimento dado ao jornal “O Estado de São Paulo”,</w:t>
      </w:r>
      <w:r>
        <w:rPr>
          <w:rStyle w:val="Refdenotaderodap"/>
          <w:rFonts w:ascii="Times New Roman" w:hAnsi="Times New Roman"/>
          <w:sz w:val="24"/>
          <w:szCs w:val="24"/>
        </w:rPr>
        <w:footnoteReference w:id="165"/>
      </w:r>
      <w:r w:rsidRPr="0016114C">
        <w:rPr>
          <w:rFonts w:ascii="Times New Roman" w:hAnsi="Times New Roman"/>
          <w:sz w:val="24"/>
          <w:szCs w:val="24"/>
        </w:rPr>
        <w:t xml:space="preserve"> a ex-conselheira revela</w:t>
      </w:r>
      <w:r>
        <w:rPr>
          <w:rFonts w:ascii="Times New Roman" w:hAnsi="Times New Roman"/>
          <w:sz w:val="24"/>
          <w:szCs w:val="24"/>
        </w:rPr>
        <w:t>va que “n</w:t>
      </w:r>
      <w:r w:rsidRPr="0016114C">
        <w:rPr>
          <w:rFonts w:ascii="Times New Roman" w:hAnsi="Times New Roman"/>
          <w:sz w:val="24"/>
          <w:szCs w:val="24"/>
        </w:rPr>
        <w:t>a substituição do ministro Jaques Wagner por Walfrido Mares Guia [na verdade ele foi substituído por Tarso Genro], me telefonaram, agradeceram pelos serviços prestados. Depois, recebi carta do ministro de agradecimento”.</w:t>
      </w:r>
      <w:r w:rsidR="00341C78">
        <w:rPr>
          <w:rFonts w:ascii="Times New Roman" w:hAnsi="Times New Roman"/>
          <w:sz w:val="24"/>
          <w:szCs w:val="24"/>
        </w:rPr>
        <w:t>E</w:t>
      </w:r>
      <w:r w:rsidR="006561DA" w:rsidRPr="00A801A7">
        <w:rPr>
          <w:rFonts w:ascii="Times New Roman" w:hAnsi="Times New Roman"/>
          <w:sz w:val="24"/>
          <w:szCs w:val="24"/>
        </w:rPr>
        <w:t>sclareceu que as divergências toleradas pelo governo na plenária do CDES tinham limites bem precisos:</w:t>
      </w:r>
    </w:p>
    <w:p w:rsidR="006561DA" w:rsidRPr="00A801A7" w:rsidRDefault="006561DA" w:rsidP="006561DA">
      <w:pPr>
        <w:spacing w:line="240" w:lineRule="auto"/>
        <w:ind w:left="2268"/>
        <w:jc w:val="both"/>
        <w:rPr>
          <w:rFonts w:ascii="Times New Roman" w:hAnsi="Times New Roman"/>
          <w:sz w:val="20"/>
          <w:szCs w:val="20"/>
        </w:rPr>
      </w:pPr>
      <w:r w:rsidRPr="00A801A7">
        <w:rPr>
          <w:rFonts w:ascii="Times New Roman" w:eastAsia="Times New Roman" w:hAnsi="Times New Roman"/>
          <w:sz w:val="20"/>
          <w:szCs w:val="20"/>
          <w:lang w:eastAsia="pt-BR"/>
        </w:rPr>
        <w:t xml:space="preserve">Todas as substituições [de um conselheiro por outro] são políticas. Os mais fáceis de substituir são os intelectuais. Não representávamos nenhuma instituição. Não há critério definido para a substituição. A Jurema Werneck, do grupo Criola, foi eliminada sem que se negociasse para que deixasse de ser suplente e passasse a titular. </w:t>
      </w:r>
      <w:r w:rsidRPr="00A801A7">
        <w:rPr>
          <w:rFonts w:ascii="Times New Roman" w:eastAsia="Times New Roman" w:hAnsi="Times New Roman"/>
          <w:b/>
          <w:sz w:val="20"/>
          <w:szCs w:val="20"/>
          <w:lang w:eastAsia="pt-BR"/>
        </w:rPr>
        <w:t>Ela incomodava, falava das mulheres negras e pobres, de um lugar na sociedade que incomoda</w:t>
      </w:r>
      <w:r w:rsidRPr="00A801A7">
        <w:rPr>
          <w:rFonts w:ascii="Times New Roman" w:eastAsia="Times New Roman" w:hAnsi="Times New Roman"/>
          <w:sz w:val="20"/>
          <w:szCs w:val="20"/>
          <w:lang w:eastAsia="pt-BR"/>
        </w:rPr>
        <w:t>. Apesar de tudo, o conselho é instrumento importante.</w:t>
      </w:r>
      <w:r w:rsidRPr="00A801A7">
        <w:rPr>
          <w:rStyle w:val="Refdenotaderodap"/>
          <w:rFonts w:ascii="Times New Roman" w:eastAsia="Times New Roman" w:hAnsi="Times New Roman"/>
          <w:sz w:val="20"/>
          <w:szCs w:val="20"/>
          <w:lang w:eastAsia="pt-BR"/>
        </w:rPr>
        <w:footnoteReference w:id="166"/>
      </w:r>
    </w:p>
    <w:p w:rsidR="006561DA" w:rsidRPr="00094D22" w:rsidRDefault="006561DA" w:rsidP="006561DA">
      <w:pPr>
        <w:autoSpaceDE w:val="0"/>
        <w:autoSpaceDN w:val="0"/>
        <w:adjustRightInd w:val="0"/>
        <w:spacing w:after="0" w:line="360" w:lineRule="auto"/>
        <w:ind w:firstLine="708"/>
        <w:jc w:val="both"/>
        <w:rPr>
          <w:rFonts w:ascii="Times New Roman" w:hAnsi="Times New Roman"/>
          <w:sz w:val="24"/>
          <w:szCs w:val="24"/>
        </w:rPr>
      </w:pPr>
      <w:r w:rsidRPr="00A801A7">
        <w:rPr>
          <w:rFonts w:ascii="Times New Roman" w:hAnsi="Times New Roman"/>
          <w:sz w:val="24"/>
          <w:szCs w:val="24"/>
        </w:rPr>
        <w:t>Consenso e coerção caminhavam lado a lado, se</w:t>
      </w:r>
      <w:r w:rsidR="008B0BF4">
        <w:rPr>
          <w:rFonts w:ascii="Times New Roman" w:hAnsi="Times New Roman"/>
          <w:sz w:val="24"/>
          <w:szCs w:val="24"/>
        </w:rPr>
        <w:t xml:space="preserve">letivamente direcionados, mesmo </w:t>
      </w:r>
      <w:r w:rsidRPr="00A801A7">
        <w:rPr>
          <w:rFonts w:ascii="Times New Roman" w:hAnsi="Times New Roman"/>
          <w:sz w:val="24"/>
          <w:szCs w:val="24"/>
        </w:rPr>
        <w:t>num Conselho auto-intitulado “concertacionista” ou “pactuador”</w:t>
      </w:r>
      <w:r w:rsidR="008B0BF4" w:rsidRPr="00094D22">
        <w:rPr>
          <w:rFonts w:ascii="Times New Roman" w:hAnsi="Times New Roman"/>
          <w:sz w:val="24"/>
          <w:szCs w:val="24"/>
        </w:rPr>
        <w:t>e que, portanto, precisava estabeler limites para a</w:t>
      </w:r>
      <w:r w:rsidR="0078507F" w:rsidRPr="00094D22">
        <w:rPr>
          <w:rFonts w:ascii="Times New Roman" w:hAnsi="Times New Roman"/>
          <w:sz w:val="24"/>
          <w:szCs w:val="24"/>
        </w:rPr>
        <w:t>s reflexões</w:t>
      </w:r>
      <w:r w:rsidR="00DC613E" w:rsidRPr="00094D22">
        <w:rPr>
          <w:rFonts w:ascii="Times New Roman" w:hAnsi="Times New Roman"/>
          <w:sz w:val="24"/>
          <w:szCs w:val="24"/>
        </w:rPr>
        <w:t xml:space="preserve">mais </w:t>
      </w:r>
      <w:r w:rsidR="008B0BF4" w:rsidRPr="00094D22">
        <w:rPr>
          <w:rFonts w:ascii="Times New Roman" w:hAnsi="Times New Roman"/>
          <w:sz w:val="24"/>
          <w:szCs w:val="24"/>
        </w:rPr>
        <w:t>crítica</w:t>
      </w:r>
      <w:r w:rsidR="0078507F" w:rsidRPr="00094D22">
        <w:rPr>
          <w:rFonts w:ascii="Times New Roman" w:hAnsi="Times New Roman"/>
          <w:sz w:val="24"/>
          <w:szCs w:val="24"/>
        </w:rPr>
        <w:t>s. Essas não precisavam ser seriamente desafiadoras ou disruptivas</w:t>
      </w:r>
      <w:r w:rsidR="001909EF" w:rsidRPr="00094D22">
        <w:rPr>
          <w:rFonts w:ascii="Times New Roman" w:hAnsi="Times New Roman"/>
          <w:sz w:val="24"/>
          <w:szCs w:val="24"/>
        </w:rPr>
        <w:t xml:space="preserve"> à sociabilidade do capital</w:t>
      </w:r>
      <w:r w:rsidR="0078507F" w:rsidRPr="00094D22">
        <w:rPr>
          <w:rFonts w:ascii="Times New Roman" w:hAnsi="Times New Roman"/>
          <w:sz w:val="24"/>
          <w:szCs w:val="24"/>
        </w:rPr>
        <w:t>, bastando destoar d</w:t>
      </w:r>
      <w:r w:rsidR="00933B67" w:rsidRPr="00094D22">
        <w:rPr>
          <w:rFonts w:ascii="Times New Roman" w:hAnsi="Times New Roman"/>
          <w:sz w:val="24"/>
          <w:szCs w:val="24"/>
        </w:rPr>
        <w:t>a regularidade das intervenções a partir d</w:t>
      </w:r>
      <w:r w:rsidR="001909EF" w:rsidRPr="00094D22">
        <w:rPr>
          <w:rFonts w:ascii="Times New Roman" w:hAnsi="Times New Roman"/>
          <w:sz w:val="24"/>
          <w:szCs w:val="24"/>
        </w:rPr>
        <w:t xml:space="preserve">e reivindicações redistributivas que pudessem atingir o grande capital, como a taxação do sistema financeiro para o financiamento da Previdência Social, </w:t>
      </w:r>
      <w:r w:rsidR="00C0307C">
        <w:rPr>
          <w:rFonts w:ascii="Times New Roman" w:hAnsi="Times New Roman"/>
          <w:sz w:val="24"/>
          <w:szCs w:val="24"/>
        </w:rPr>
        <w:t>proposta feita pela conselheira Fleury</w:t>
      </w:r>
      <w:r w:rsidR="001909EF" w:rsidRPr="00094D22">
        <w:rPr>
          <w:rFonts w:ascii="Times New Roman" w:hAnsi="Times New Roman"/>
          <w:sz w:val="24"/>
          <w:szCs w:val="24"/>
        </w:rPr>
        <w:t xml:space="preserve">. </w:t>
      </w:r>
      <w:r w:rsidR="008B0BF4" w:rsidRPr="00094D22">
        <w:rPr>
          <w:rFonts w:ascii="Times New Roman" w:hAnsi="Times New Roman"/>
          <w:sz w:val="24"/>
          <w:szCs w:val="24"/>
        </w:rPr>
        <w:t>Sendo assim, a</w:t>
      </w:r>
      <w:r w:rsidRPr="00094D22">
        <w:rPr>
          <w:rFonts w:ascii="Times New Roman" w:hAnsi="Times New Roman"/>
          <w:sz w:val="24"/>
          <w:szCs w:val="24"/>
        </w:rPr>
        <w:t xml:space="preserve"> recomposição parcial dos conselheiros realizada em 2007 também serviu para destituir </w:t>
      </w:r>
      <w:r w:rsidR="00595135" w:rsidRPr="00094D22">
        <w:rPr>
          <w:rFonts w:ascii="Times New Roman" w:hAnsi="Times New Roman"/>
          <w:sz w:val="24"/>
          <w:szCs w:val="24"/>
        </w:rPr>
        <w:t>alguns</w:t>
      </w:r>
      <w:r w:rsidRPr="00094D22">
        <w:rPr>
          <w:rFonts w:ascii="Times New Roman" w:hAnsi="Times New Roman"/>
          <w:sz w:val="24"/>
          <w:szCs w:val="24"/>
        </w:rPr>
        <w:t xml:space="preserve"> elementos mais “críticos”</w:t>
      </w:r>
      <w:r w:rsidR="00595135" w:rsidRPr="00094D22">
        <w:rPr>
          <w:rFonts w:ascii="Times New Roman" w:hAnsi="Times New Roman"/>
          <w:sz w:val="24"/>
          <w:szCs w:val="24"/>
        </w:rPr>
        <w:t xml:space="preserve">, como Fleury e Werneck, aparando arestas </w:t>
      </w:r>
      <w:r w:rsidR="009F4BCE" w:rsidRPr="00094D22">
        <w:rPr>
          <w:rFonts w:ascii="Times New Roman" w:hAnsi="Times New Roman"/>
          <w:sz w:val="24"/>
          <w:szCs w:val="24"/>
        </w:rPr>
        <w:t>de forma a se ajustar</w:t>
      </w:r>
      <w:r w:rsidR="008B0BF4" w:rsidRPr="00094D22">
        <w:rPr>
          <w:rFonts w:ascii="Times New Roman" w:hAnsi="Times New Roman"/>
          <w:sz w:val="24"/>
          <w:szCs w:val="24"/>
        </w:rPr>
        <w:t xml:space="preserve"> aos desígnios esperados pela SEDES</w:t>
      </w:r>
      <w:r w:rsidR="00156A02" w:rsidRPr="00094D22">
        <w:rPr>
          <w:rFonts w:ascii="Times New Roman" w:hAnsi="Times New Roman"/>
          <w:sz w:val="24"/>
          <w:szCs w:val="24"/>
        </w:rPr>
        <w:t xml:space="preserve">, isto é, </w:t>
      </w:r>
      <w:r w:rsidR="00825433" w:rsidRPr="00094D22">
        <w:rPr>
          <w:rFonts w:ascii="Times New Roman" w:hAnsi="Times New Roman"/>
          <w:sz w:val="24"/>
          <w:szCs w:val="24"/>
        </w:rPr>
        <w:t xml:space="preserve">as tensões e conflitos eram esperados, mas administrados </w:t>
      </w:r>
      <w:r w:rsidR="00156A02" w:rsidRPr="00094D22">
        <w:rPr>
          <w:rFonts w:ascii="Times New Roman" w:hAnsi="Times New Roman"/>
          <w:sz w:val="24"/>
          <w:szCs w:val="24"/>
        </w:rPr>
        <w:t xml:space="preserve">de forma </w:t>
      </w:r>
      <w:r w:rsidR="00825433" w:rsidRPr="00094D22">
        <w:rPr>
          <w:rFonts w:ascii="Times New Roman" w:hAnsi="Times New Roman"/>
          <w:sz w:val="24"/>
          <w:szCs w:val="24"/>
        </w:rPr>
        <w:t xml:space="preserve">que não tendessem ao rompimento, à “histeria </w:t>
      </w:r>
      <w:r w:rsidR="00DC613E" w:rsidRPr="00094D22">
        <w:rPr>
          <w:rFonts w:ascii="Times New Roman" w:hAnsi="Times New Roman"/>
          <w:sz w:val="24"/>
          <w:szCs w:val="24"/>
        </w:rPr>
        <w:t>retórica</w:t>
      </w:r>
      <w:r w:rsidR="00825433" w:rsidRPr="00094D22">
        <w:rPr>
          <w:rFonts w:ascii="Times New Roman" w:hAnsi="Times New Roman"/>
          <w:sz w:val="24"/>
          <w:szCs w:val="24"/>
        </w:rPr>
        <w:t>”, nas palavras de Tarso Genro.</w:t>
      </w:r>
      <w:r w:rsidR="00DC613E" w:rsidRPr="00094D22">
        <w:rPr>
          <w:rStyle w:val="Refdenotaderodap"/>
          <w:rFonts w:ascii="Times New Roman" w:hAnsi="Times New Roman"/>
          <w:sz w:val="24"/>
          <w:szCs w:val="24"/>
        </w:rPr>
        <w:footnoteReference w:id="167"/>
      </w:r>
    </w:p>
    <w:p w:rsidR="006561DA" w:rsidRDefault="005D2C9B" w:rsidP="006561DA">
      <w:pPr>
        <w:pStyle w:val="Textodenotaderodap"/>
        <w:spacing w:line="360" w:lineRule="auto"/>
        <w:ind w:firstLine="708"/>
        <w:jc w:val="both"/>
        <w:rPr>
          <w:rFonts w:ascii="Times New Roman" w:hAnsi="Times New Roman"/>
          <w:sz w:val="24"/>
          <w:szCs w:val="24"/>
        </w:rPr>
      </w:pPr>
      <w:r>
        <w:rPr>
          <w:rFonts w:ascii="Times New Roman" w:hAnsi="Times New Roman"/>
          <w:sz w:val="24"/>
          <w:szCs w:val="24"/>
        </w:rPr>
        <w:t>Na mesma entrevista, q</w:t>
      </w:r>
      <w:r w:rsidR="006561DA">
        <w:rPr>
          <w:rFonts w:ascii="Times New Roman" w:hAnsi="Times New Roman"/>
          <w:sz w:val="24"/>
          <w:szCs w:val="24"/>
        </w:rPr>
        <w:t>uando perguntada pelo jornal qual foi a principal mudança do Conselho, declarou:</w:t>
      </w:r>
    </w:p>
    <w:p w:rsidR="006561DA" w:rsidRDefault="006561DA" w:rsidP="006561DA">
      <w:pPr>
        <w:autoSpaceDE w:val="0"/>
        <w:autoSpaceDN w:val="0"/>
        <w:adjustRightInd w:val="0"/>
        <w:spacing w:after="0" w:line="240" w:lineRule="auto"/>
        <w:ind w:left="2268"/>
        <w:jc w:val="both"/>
        <w:rPr>
          <w:rFonts w:ascii="Times New Roman" w:hAnsi="Times New Roman"/>
          <w:sz w:val="20"/>
          <w:szCs w:val="20"/>
        </w:rPr>
      </w:pPr>
      <w:r w:rsidRPr="0016114C">
        <w:rPr>
          <w:rFonts w:ascii="Times New Roman" w:hAnsi="Times New Roman"/>
          <w:sz w:val="20"/>
          <w:szCs w:val="20"/>
        </w:rPr>
        <w:t xml:space="preserve">O conselho não se pronunciava mais. </w:t>
      </w:r>
      <w:r w:rsidRPr="0016114C">
        <w:rPr>
          <w:rFonts w:ascii="Times New Roman" w:hAnsi="Times New Roman"/>
          <w:b/>
          <w:sz w:val="20"/>
          <w:szCs w:val="20"/>
        </w:rPr>
        <w:t>Quem tinha poder, os grandes empresários, deixaram de se manifestar. Eles saem do conselho e vão direto para o gabinete dos ministros, do presidente. Não precisam falar no conselho. O conselho é um órgão burocrático, há um controle político total.</w:t>
      </w:r>
      <w:r w:rsidRPr="0016114C">
        <w:rPr>
          <w:rFonts w:ascii="Times New Roman" w:hAnsi="Times New Roman"/>
          <w:sz w:val="20"/>
          <w:szCs w:val="20"/>
        </w:rPr>
        <w:t xml:space="preserve"> Em outros países, a secretaria do conselho é técnica, não-governamental, como aqui. Por um lado, </w:t>
      </w:r>
      <w:r w:rsidRPr="00615D5E">
        <w:rPr>
          <w:rFonts w:ascii="Times New Roman" w:hAnsi="Times New Roman"/>
          <w:b/>
          <w:sz w:val="20"/>
          <w:szCs w:val="20"/>
        </w:rPr>
        <w:t>o conselho é legitimado pelo governo</w:t>
      </w:r>
      <w:r w:rsidRPr="0016114C">
        <w:rPr>
          <w:rFonts w:ascii="Times New Roman" w:hAnsi="Times New Roman"/>
          <w:sz w:val="20"/>
          <w:szCs w:val="20"/>
        </w:rPr>
        <w:t xml:space="preserve">. Em outros países, o presidente não necessariamente vai às reuniões. Aqui, o presidente participa. Mas, por outro lado, </w:t>
      </w:r>
      <w:r w:rsidRPr="00615D5E">
        <w:rPr>
          <w:rFonts w:ascii="Times New Roman" w:hAnsi="Times New Roman"/>
          <w:b/>
          <w:sz w:val="20"/>
          <w:szCs w:val="20"/>
        </w:rPr>
        <w:t>o governo tem muito mais controle, escolhe quem vai estar lá</w:t>
      </w:r>
      <w:r w:rsidRPr="0016114C">
        <w:rPr>
          <w:rFonts w:ascii="Times New Roman" w:hAnsi="Times New Roman"/>
          <w:sz w:val="20"/>
          <w:szCs w:val="20"/>
        </w:rPr>
        <w:t xml:space="preserve">. </w:t>
      </w:r>
      <w:r w:rsidRPr="0016114C">
        <w:rPr>
          <w:rFonts w:ascii="Times New Roman" w:hAnsi="Times New Roman"/>
          <w:b/>
          <w:sz w:val="20"/>
          <w:szCs w:val="20"/>
        </w:rPr>
        <w:t>Troca o conselheiro quando bem entende, constrói a agenda, chama para se manifestar quem ele quer que se manifeste, pessoas que não vão criar problema</w:t>
      </w:r>
      <w:r w:rsidRPr="0016114C">
        <w:rPr>
          <w:rFonts w:ascii="Times New Roman" w:hAnsi="Times New Roman"/>
          <w:sz w:val="20"/>
          <w:szCs w:val="20"/>
        </w:rPr>
        <w:t>.</w:t>
      </w:r>
      <w:r w:rsidR="005D2C9B">
        <w:rPr>
          <w:rStyle w:val="Refdenotaderodap"/>
          <w:rFonts w:ascii="Times New Roman" w:hAnsi="Times New Roman"/>
          <w:sz w:val="20"/>
          <w:szCs w:val="20"/>
        </w:rPr>
        <w:footnoteReference w:id="168"/>
      </w:r>
    </w:p>
    <w:p w:rsidR="006561DA" w:rsidRDefault="006561DA" w:rsidP="006561DA">
      <w:pPr>
        <w:autoSpaceDE w:val="0"/>
        <w:autoSpaceDN w:val="0"/>
        <w:adjustRightInd w:val="0"/>
        <w:spacing w:after="0" w:line="360" w:lineRule="auto"/>
        <w:ind w:firstLine="708"/>
        <w:jc w:val="both"/>
        <w:rPr>
          <w:rFonts w:ascii="Times New Roman" w:hAnsi="Times New Roman"/>
          <w:sz w:val="24"/>
          <w:szCs w:val="24"/>
        </w:rPr>
      </w:pPr>
    </w:p>
    <w:p w:rsidR="00CE3680" w:rsidRDefault="00341C78" w:rsidP="006561DA">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w:t>
      </w:r>
      <w:r w:rsidR="00CE3680">
        <w:rPr>
          <w:rFonts w:ascii="Times New Roman" w:hAnsi="Times New Roman"/>
          <w:sz w:val="24"/>
          <w:szCs w:val="24"/>
        </w:rPr>
        <w:t xml:space="preserve"> declaração de Fleury confirmava o coro das intervenções de outros conselheiros num ponto específico, mas muito importante, exposto ainda em agosto de 2004 por ocasião da “Mesa redonda: Diálogo Social - Alavanca para o Desenvolvimento”: a insatisfação, em tom de denúncia, da existência da tática dos “produtores de silêncio” ou dos que “não falavam, mas decidiam”:</w:t>
      </w:r>
    </w:p>
    <w:p w:rsidR="00DC613E" w:rsidRDefault="00DC613E" w:rsidP="006561DA">
      <w:pPr>
        <w:autoSpaceDE w:val="0"/>
        <w:autoSpaceDN w:val="0"/>
        <w:adjustRightInd w:val="0"/>
        <w:spacing w:after="0" w:line="360" w:lineRule="auto"/>
        <w:ind w:firstLine="708"/>
        <w:jc w:val="both"/>
        <w:rPr>
          <w:rFonts w:ascii="Times New Roman" w:hAnsi="Times New Roman"/>
          <w:sz w:val="24"/>
          <w:szCs w:val="24"/>
        </w:rPr>
      </w:pPr>
    </w:p>
    <w:p w:rsidR="00CE3680" w:rsidRDefault="00CE3680" w:rsidP="00CE3680">
      <w:pPr>
        <w:autoSpaceDE w:val="0"/>
        <w:autoSpaceDN w:val="0"/>
        <w:adjustRightInd w:val="0"/>
        <w:spacing w:after="0" w:line="240" w:lineRule="auto"/>
        <w:ind w:left="2268"/>
        <w:jc w:val="both"/>
        <w:rPr>
          <w:rFonts w:ascii="Times New Roman" w:hAnsi="Times New Roman"/>
          <w:sz w:val="20"/>
          <w:szCs w:val="20"/>
        </w:rPr>
      </w:pPr>
      <w:r w:rsidRPr="004B7BB9">
        <w:rPr>
          <w:rFonts w:ascii="Times New Roman" w:hAnsi="Times New Roman"/>
          <w:sz w:val="20"/>
          <w:szCs w:val="20"/>
        </w:rPr>
        <w:t xml:space="preserve">Tenho uma outra preocupação quando falamos em diálogo social, quando há o debate e muitos não se manifestam, </w:t>
      </w:r>
      <w:r w:rsidRPr="001C27FE">
        <w:rPr>
          <w:rFonts w:ascii="Times New Roman" w:hAnsi="Times New Roman"/>
          <w:b/>
          <w:sz w:val="20"/>
          <w:szCs w:val="20"/>
        </w:rPr>
        <w:t>pois aqueles que estão silenciosos podem estar influindo mais na decisão do que quem fala</w:t>
      </w:r>
      <w:r w:rsidRPr="00F332DD">
        <w:rPr>
          <w:rFonts w:ascii="Times New Roman" w:hAnsi="Times New Roman"/>
          <w:b/>
          <w:sz w:val="20"/>
          <w:szCs w:val="20"/>
        </w:rPr>
        <w:t>. Nós falamos muito e decidimos pouco e quem não fala nada deve estar decidindo muito</w:t>
      </w:r>
      <w:r w:rsidRPr="004B7BB9">
        <w:rPr>
          <w:rFonts w:ascii="Times New Roman" w:hAnsi="Times New Roman"/>
          <w:sz w:val="20"/>
          <w:szCs w:val="20"/>
        </w:rPr>
        <w:t xml:space="preserve"> e nós nem sabemos quem são eles. Portanto, toda a transparência desse debate perde para o invisível.</w:t>
      </w:r>
      <w:r>
        <w:rPr>
          <w:rFonts w:ascii="Times New Roman" w:hAnsi="Times New Roman"/>
          <w:sz w:val="20"/>
          <w:szCs w:val="20"/>
        </w:rPr>
        <w:t xml:space="preserve"> (Conselheiro Pedro Teruel, SEDES,– grifos meus).</w:t>
      </w:r>
      <w:r>
        <w:rPr>
          <w:rStyle w:val="Refdenotaderodap"/>
          <w:rFonts w:ascii="Times New Roman" w:hAnsi="Times New Roman"/>
          <w:sz w:val="20"/>
          <w:szCs w:val="20"/>
        </w:rPr>
        <w:footnoteReference w:id="169"/>
      </w:r>
    </w:p>
    <w:p w:rsidR="00CE3680" w:rsidRPr="004B7BB9" w:rsidRDefault="00CE3680" w:rsidP="00CE3680">
      <w:pPr>
        <w:autoSpaceDE w:val="0"/>
        <w:autoSpaceDN w:val="0"/>
        <w:adjustRightInd w:val="0"/>
        <w:spacing w:after="0" w:line="240" w:lineRule="auto"/>
        <w:jc w:val="both"/>
        <w:rPr>
          <w:rFonts w:ascii="Times New Roman" w:hAnsi="Times New Roman"/>
          <w:sz w:val="20"/>
          <w:szCs w:val="20"/>
        </w:rPr>
      </w:pPr>
    </w:p>
    <w:p w:rsidR="00CE4F47" w:rsidRDefault="00CE4F47" w:rsidP="00CE3680">
      <w:pPr>
        <w:autoSpaceDE w:val="0"/>
        <w:autoSpaceDN w:val="0"/>
        <w:adjustRightInd w:val="0"/>
        <w:spacing w:after="0" w:line="240" w:lineRule="auto"/>
        <w:ind w:left="2268"/>
        <w:jc w:val="both"/>
        <w:rPr>
          <w:rFonts w:ascii="Times New Roman" w:hAnsi="Times New Roman"/>
          <w:sz w:val="20"/>
          <w:szCs w:val="20"/>
        </w:rPr>
      </w:pPr>
    </w:p>
    <w:p w:rsidR="00CE4F47" w:rsidRPr="00094D22" w:rsidRDefault="00CE4F47" w:rsidP="00CE4F47">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b/>
      </w:r>
      <w:r w:rsidRPr="00094D22">
        <w:rPr>
          <w:rFonts w:ascii="Times New Roman" w:hAnsi="Times New Roman"/>
          <w:sz w:val="24"/>
          <w:szCs w:val="24"/>
        </w:rPr>
        <w:t xml:space="preserve">A conselheira Jurema Werneck </w:t>
      </w:r>
      <w:r w:rsidR="0067142F" w:rsidRPr="00094D22">
        <w:rPr>
          <w:rFonts w:ascii="Times New Roman" w:hAnsi="Times New Roman"/>
          <w:sz w:val="24"/>
          <w:szCs w:val="24"/>
        </w:rPr>
        <w:t xml:space="preserve">indicou com clareza </w:t>
      </w:r>
      <w:r w:rsidRPr="00094D22">
        <w:rPr>
          <w:rFonts w:ascii="Times New Roman" w:hAnsi="Times New Roman"/>
          <w:sz w:val="24"/>
          <w:szCs w:val="24"/>
        </w:rPr>
        <w:t>quem era os “silenciosos”:</w:t>
      </w:r>
    </w:p>
    <w:p w:rsidR="00CE4F47" w:rsidRDefault="005D5D7F" w:rsidP="005D5D7F">
      <w:pPr>
        <w:autoSpaceDE w:val="0"/>
        <w:autoSpaceDN w:val="0"/>
        <w:adjustRightInd w:val="0"/>
        <w:spacing w:after="0" w:line="240" w:lineRule="auto"/>
        <w:ind w:left="2268"/>
        <w:jc w:val="both"/>
        <w:rPr>
          <w:rFonts w:ascii="Times New Roman" w:hAnsi="Times New Roman"/>
          <w:sz w:val="24"/>
          <w:szCs w:val="24"/>
        </w:rPr>
      </w:pPr>
      <w:r w:rsidRPr="004B7BB9">
        <w:rPr>
          <w:rFonts w:ascii="Times New Roman" w:hAnsi="Times New Roman"/>
          <w:sz w:val="20"/>
          <w:szCs w:val="20"/>
        </w:rPr>
        <w:t xml:space="preserve">Penso que é um desafio para este conselho e para muitos dos nossos colegas do Conselho, entre os quais me incluo, é aprender novos mecanismos de lidar com esses, que, inclusive, aqui, entre nós, </w:t>
      </w:r>
      <w:r w:rsidRPr="00D145F0">
        <w:rPr>
          <w:rFonts w:ascii="Times New Roman" w:hAnsi="Times New Roman"/>
          <w:b/>
          <w:sz w:val="20"/>
          <w:szCs w:val="20"/>
        </w:rPr>
        <w:t>partici</w:t>
      </w:r>
      <w:r w:rsidRPr="001C27FE">
        <w:rPr>
          <w:rFonts w:ascii="Times New Roman" w:hAnsi="Times New Roman"/>
          <w:b/>
          <w:sz w:val="20"/>
          <w:szCs w:val="20"/>
        </w:rPr>
        <w:t>pam produzindo silêncio e mais silêncio</w:t>
      </w:r>
      <w:r w:rsidRPr="004B7BB9">
        <w:rPr>
          <w:rFonts w:ascii="Times New Roman" w:hAnsi="Times New Roman"/>
          <w:sz w:val="20"/>
          <w:szCs w:val="20"/>
        </w:rPr>
        <w:t>. Seu empenho é basicamente a produção do silêncio, enquanto nós buscamos o diálogo.</w:t>
      </w:r>
    </w:p>
    <w:p w:rsidR="00CE4F47" w:rsidRPr="00094D22" w:rsidRDefault="00CE4F47" w:rsidP="00887032">
      <w:pPr>
        <w:autoSpaceDE w:val="0"/>
        <w:autoSpaceDN w:val="0"/>
        <w:adjustRightInd w:val="0"/>
        <w:spacing w:after="0" w:line="240" w:lineRule="auto"/>
        <w:ind w:left="2268"/>
        <w:jc w:val="both"/>
        <w:rPr>
          <w:rFonts w:ascii="Times New Roman" w:hAnsi="Times New Roman"/>
          <w:sz w:val="20"/>
          <w:szCs w:val="20"/>
        </w:rPr>
      </w:pPr>
      <w:r w:rsidRPr="00094D22">
        <w:rPr>
          <w:rFonts w:ascii="Times New Roman" w:hAnsi="Times New Roman"/>
          <w:sz w:val="20"/>
          <w:szCs w:val="20"/>
        </w:rPr>
        <w:t>Nesse processo de trabalho do Conselho a conselheira Sonia Fleury apresentou (...) uma proposta,</w:t>
      </w:r>
      <w:r w:rsidRPr="00094D22">
        <w:rPr>
          <w:rStyle w:val="Refdenotaderodap"/>
          <w:rFonts w:ascii="Times New Roman" w:hAnsi="Times New Roman"/>
          <w:sz w:val="20"/>
          <w:szCs w:val="20"/>
        </w:rPr>
        <w:footnoteReference w:id="170"/>
      </w:r>
      <w:r w:rsidRPr="00094D22">
        <w:rPr>
          <w:rFonts w:ascii="Times New Roman" w:hAnsi="Times New Roman"/>
          <w:sz w:val="20"/>
          <w:szCs w:val="20"/>
        </w:rPr>
        <w:t xml:space="preserve"> em relação ao </w:t>
      </w:r>
      <w:r w:rsidRPr="00094D22">
        <w:rPr>
          <w:rFonts w:ascii="Times New Roman" w:hAnsi="Times New Roman"/>
          <w:b/>
          <w:sz w:val="20"/>
          <w:szCs w:val="20"/>
        </w:rPr>
        <w:t>sistema financeiro</w:t>
      </w:r>
      <w:r w:rsidRPr="00094D22">
        <w:rPr>
          <w:rFonts w:ascii="Times New Roman" w:hAnsi="Times New Roman"/>
          <w:sz w:val="20"/>
          <w:szCs w:val="20"/>
        </w:rPr>
        <w:t xml:space="preserve">. </w:t>
      </w:r>
      <w:r w:rsidRPr="00094D22">
        <w:rPr>
          <w:rFonts w:ascii="Times New Roman" w:hAnsi="Times New Roman"/>
          <w:b/>
          <w:sz w:val="20"/>
          <w:szCs w:val="20"/>
        </w:rPr>
        <w:t xml:space="preserve">É claro que existem alguns conselheiros do sistema financeiro que não abriram a boca. </w:t>
      </w:r>
      <w:r w:rsidR="00887032" w:rsidRPr="00094D22">
        <w:rPr>
          <w:rFonts w:ascii="Times New Roman" w:hAnsi="Times New Roman"/>
          <w:b/>
          <w:sz w:val="20"/>
          <w:szCs w:val="20"/>
        </w:rPr>
        <w:t>É claro que há outros que não são do sistema financeiro e que, também, não falaram</w:t>
      </w:r>
      <w:r w:rsidR="00887032" w:rsidRPr="00094D22">
        <w:rPr>
          <w:rFonts w:ascii="Times New Roman" w:hAnsi="Times New Roman"/>
          <w:sz w:val="20"/>
          <w:szCs w:val="20"/>
        </w:rPr>
        <w:t xml:space="preserve"> (...). De fato, na construção de uma concertação, nem sempre o acordo possível é um sim para todos os lados. </w:t>
      </w:r>
      <w:r w:rsidR="00887032" w:rsidRPr="00094D22">
        <w:rPr>
          <w:rFonts w:ascii="Times New Roman" w:hAnsi="Times New Roman"/>
          <w:b/>
          <w:sz w:val="20"/>
          <w:szCs w:val="20"/>
        </w:rPr>
        <w:t>Há sempre alguém que vai perder e espero que sejam aqueles que estão colocando a política do lado de fora,</w:t>
      </w:r>
      <w:r w:rsidR="00887032" w:rsidRPr="00094D22">
        <w:rPr>
          <w:rFonts w:ascii="Times New Roman" w:hAnsi="Times New Roman"/>
          <w:sz w:val="20"/>
          <w:szCs w:val="20"/>
        </w:rPr>
        <w:t xml:space="preserve"> aqueles que pensam que concertação é mais um novo nome para redefinir seus interesses.</w:t>
      </w:r>
    </w:p>
    <w:p w:rsidR="00887032" w:rsidRPr="00094D22" w:rsidRDefault="00887032" w:rsidP="00887032">
      <w:pPr>
        <w:autoSpaceDE w:val="0"/>
        <w:autoSpaceDN w:val="0"/>
        <w:adjustRightInd w:val="0"/>
        <w:spacing w:after="0" w:line="240" w:lineRule="auto"/>
        <w:ind w:left="2268"/>
        <w:jc w:val="both"/>
        <w:rPr>
          <w:rFonts w:ascii="Times New Roman" w:hAnsi="Times New Roman"/>
          <w:sz w:val="20"/>
          <w:szCs w:val="20"/>
        </w:rPr>
      </w:pPr>
      <w:r w:rsidRPr="00094D22">
        <w:rPr>
          <w:rFonts w:ascii="Times New Roman" w:hAnsi="Times New Roman"/>
          <w:sz w:val="20"/>
          <w:szCs w:val="20"/>
        </w:rPr>
        <w:t xml:space="preserve">Aqui no CDES eu represento a legião daqueles que tem buscado romper o silêncio. </w:t>
      </w:r>
      <w:r w:rsidRPr="00094D22">
        <w:rPr>
          <w:rFonts w:ascii="Times New Roman" w:hAnsi="Times New Roman"/>
          <w:b/>
          <w:sz w:val="20"/>
          <w:szCs w:val="20"/>
        </w:rPr>
        <w:t>O desafio, agora, é para esses setores que continuam afirmando o silêncio, apesar de dizerem que estão numa mesa de concertação</w:t>
      </w:r>
      <w:r w:rsidRPr="00094D22">
        <w:rPr>
          <w:rFonts w:ascii="Times New Roman" w:hAnsi="Times New Roman"/>
          <w:sz w:val="20"/>
          <w:szCs w:val="20"/>
        </w:rPr>
        <w:t xml:space="preserve">. </w:t>
      </w:r>
    </w:p>
    <w:p w:rsidR="00CE3680" w:rsidRPr="00094D22" w:rsidRDefault="00CE3680" w:rsidP="00CE3680">
      <w:pPr>
        <w:autoSpaceDE w:val="0"/>
        <w:autoSpaceDN w:val="0"/>
        <w:adjustRightInd w:val="0"/>
        <w:spacing w:after="0" w:line="240" w:lineRule="auto"/>
        <w:ind w:left="2268"/>
        <w:jc w:val="both"/>
        <w:rPr>
          <w:rFonts w:ascii="Times New Roman" w:hAnsi="Times New Roman"/>
          <w:sz w:val="20"/>
          <w:szCs w:val="20"/>
        </w:rPr>
      </w:pPr>
      <w:r w:rsidRPr="00094D22">
        <w:rPr>
          <w:rFonts w:ascii="Times New Roman" w:hAnsi="Times New Roman"/>
          <w:sz w:val="20"/>
          <w:szCs w:val="20"/>
        </w:rPr>
        <w:t>(...) Que esses setores saiam do silêncio em que efetivamente têm permanecido e apresentem uma posição mais clara, mais explícita, de que eles, também, estão do lado de um novo país.</w:t>
      </w:r>
      <w:r w:rsidRPr="00094D22">
        <w:rPr>
          <w:rFonts w:ascii="Times New Roman" w:hAnsi="Times New Roman"/>
          <w:b/>
          <w:sz w:val="20"/>
          <w:szCs w:val="20"/>
        </w:rPr>
        <w:t xml:space="preserve"> É preciso que eles percam um pouco</w:t>
      </w:r>
      <w:r w:rsidRPr="00094D22">
        <w:rPr>
          <w:rFonts w:ascii="Times New Roman" w:hAnsi="Times New Roman"/>
          <w:sz w:val="20"/>
          <w:szCs w:val="20"/>
        </w:rPr>
        <w:t xml:space="preserve">, pois o que irão </w:t>
      </w:r>
      <w:r w:rsidR="00341C78" w:rsidRPr="00094D22">
        <w:rPr>
          <w:rFonts w:ascii="Times New Roman" w:hAnsi="Times New Roman"/>
          <w:sz w:val="20"/>
          <w:szCs w:val="20"/>
        </w:rPr>
        <w:t>perder será um ganho para todos</w:t>
      </w:r>
      <w:r w:rsidR="00A801A7" w:rsidRPr="00094D22">
        <w:rPr>
          <w:rFonts w:ascii="Times New Roman" w:hAnsi="Times New Roman"/>
          <w:sz w:val="20"/>
          <w:szCs w:val="20"/>
        </w:rPr>
        <w:t xml:space="preserve"> (Conselheira Jurema Werneck</w:t>
      </w:r>
      <w:r w:rsidRPr="00094D22">
        <w:rPr>
          <w:rFonts w:ascii="Times New Roman" w:hAnsi="Times New Roman"/>
          <w:sz w:val="20"/>
          <w:szCs w:val="20"/>
        </w:rPr>
        <w:t>).</w:t>
      </w:r>
      <w:r w:rsidRPr="00094D22">
        <w:rPr>
          <w:rStyle w:val="Refdenotaderodap"/>
          <w:rFonts w:ascii="Times New Roman" w:hAnsi="Times New Roman"/>
          <w:sz w:val="20"/>
          <w:szCs w:val="20"/>
        </w:rPr>
        <w:footnoteReference w:id="171"/>
      </w:r>
    </w:p>
    <w:p w:rsidR="0022312B" w:rsidRDefault="0022312B" w:rsidP="0022312B">
      <w:pPr>
        <w:autoSpaceDE w:val="0"/>
        <w:autoSpaceDN w:val="0"/>
        <w:adjustRightInd w:val="0"/>
        <w:spacing w:after="0" w:line="240" w:lineRule="auto"/>
        <w:jc w:val="both"/>
        <w:rPr>
          <w:rFonts w:ascii="Times New Roman" w:hAnsi="Times New Roman"/>
          <w:sz w:val="20"/>
          <w:szCs w:val="20"/>
        </w:rPr>
      </w:pPr>
    </w:p>
    <w:p w:rsidR="0022312B" w:rsidRPr="0022312B" w:rsidRDefault="0022312B" w:rsidP="0022312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p>
    <w:p w:rsidR="005D5D7F" w:rsidRPr="00094D22" w:rsidRDefault="005D5D7F" w:rsidP="005D5D7F">
      <w:pPr>
        <w:autoSpaceDE w:val="0"/>
        <w:autoSpaceDN w:val="0"/>
        <w:adjustRightInd w:val="0"/>
        <w:spacing w:after="0" w:line="360" w:lineRule="auto"/>
        <w:ind w:firstLine="708"/>
        <w:jc w:val="both"/>
        <w:rPr>
          <w:rFonts w:ascii="Times New Roman" w:hAnsi="Times New Roman"/>
          <w:sz w:val="24"/>
          <w:szCs w:val="24"/>
        </w:rPr>
      </w:pPr>
      <w:r w:rsidRPr="00094D22">
        <w:rPr>
          <w:rFonts w:ascii="Times New Roman" w:hAnsi="Times New Roman"/>
          <w:sz w:val="24"/>
          <w:szCs w:val="24"/>
        </w:rPr>
        <w:t>As leituras das atas das reuniões plenárias entre o período que corresponde ao primeiro governo Lula da Silva (2003-2006) nos mostraram que, de fato, os conselheiros ligados à fração bancária-financeira quase não se pronunciavam nas reuniões, salvo em questões muito sensíveis a eles, como a discussão acerca da ampliação de membros no Conselho Monetário Nacional.</w:t>
      </w:r>
      <w:r w:rsidR="006001D3" w:rsidRPr="00094D22">
        <w:rPr>
          <w:rStyle w:val="Refdenotaderodap"/>
          <w:rFonts w:ascii="Times New Roman" w:hAnsi="Times New Roman"/>
          <w:sz w:val="24"/>
          <w:szCs w:val="24"/>
        </w:rPr>
        <w:footnoteReference w:id="172"/>
      </w:r>
      <w:r w:rsidRPr="00094D22">
        <w:rPr>
          <w:rFonts w:ascii="Times New Roman" w:hAnsi="Times New Roman"/>
          <w:sz w:val="24"/>
          <w:szCs w:val="24"/>
        </w:rPr>
        <w:t xml:space="preserve"> Os conselheiros acima citados tinham razão ao sustentarem que o CDES não era o lugar prioritário onde </w:t>
      </w:r>
      <w:r w:rsidR="00CD3FF7" w:rsidRPr="00094D22">
        <w:rPr>
          <w:rFonts w:ascii="Times New Roman" w:hAnsi="Times New Roman"/>
          <w:sz w:val="24"/>
          <w:szCs w:val="24"/>
        </w:rPr>
        <w:t>os banqueiros</w:t>
      </w:r>
      <w:r w:rsidRPr="00094D22">
        <w:rPr>
          <w:rFonts w:ascii="Times New Roman" w:hAnsi="Times New Roman"/>
          <w:sz w:val="24"/>
          <w:szCs w:val="24"/>
        </w:rPr>
        <w:t>buscava</w:t>
      </w:r>
      <w:r w:rsidR="00CD3FF7" w:rsidRPr="00094D22">
        <w:rPr>
          <w:rFonts w:ascii="Times New Roman" w:hAnsi="Times New Roman"/>
          <w:sz w:val="24"/>
          <w:szCs w:val="24"/>
        </w:rPr>
        <w:t>m</w:t>
      </w:r>
      <w:r w:rsidRPr="00094D22">
        <w:rPr>
          <w:rFonts w:ascii="Times New Roman" w:hAnsi="Times New Roman"/>
          <w:sz w:val="24"/>
          <w:szCs w:val="24"/>
        </w:rPr>
        <w:t xml:space="preserve"> garantir e ampl</w:t>
      </w:r>
      <w:r w:rsidR="00CD3FF7" w:rsidRPr="00094D22">
        <w:rPr>
          <w:rFonts w:ascii="Times New Roman" w:hAnsi="Times New Roman"/>
          <w:sz w:val="24"/>
          <w:szCs w:val="24"/>
        </w:rPr>
        <w:t>iar seus interesses</w:t>
      </w:r>
      <w:r w:rsidRPr="00094D22">
        <w:rPr>
          <w:rFonts w:ascii="Times New Roman" w:hAnsi="Times New Roman"/>
          <w:sz w:val="24"/>
          <w:szCs w:val="24"/>
        </w:rPr>
        <w:t xml:space="preserve">. </w:t>
      </w:r>
      <w:r w:rsidR="00CD3FF7" w:rsidRPr="00094D22">
        <w:rPr>
          <w:rFonts w:ascii="Times New Roman" w:hAnsi="Times New Roman"/>
          <w:sz w:val="24"/>
          <w:szCs w:val="24"/>
        </w:rPr>
        <w:t xml:space="preserve">Ao lado deles, </w:t>
      </w:r>
      <w:r w:rsidR="00310297" w:rsidRPr="00094D22">
        <w:rPr>
          <w:rFonts w:ascii="Times New Roman" w:hAnsi="Times New Roman"/>
          <w:sz w:val="24"/>
          <w:szCs w:val="24"/>
        </w:rPr>
        <w:t xml:space="preserve">segundo Werneck, </w:t>
      </w:r>
      <w:r w:rsidR="00CD3FF7" w:rsidRPr="00094D22">
        <w:rPr>
          <w:rFonts w:ascii="Times New Roman" w:hAnsi="Times New Roman"/>
          <w:sz w:val="24"/>
          <w:szCs w:val="24"/>
        </w:rPr>
        <w:t xml:space="preserve">existiam outros “silenciosos” </w:t>
      </w:r>
      <w:r w:rsidR="00310297" w:rsidRPr="00094D22">
        <w:rPr>
          <w:rFonts w:ascii="Times New Roman" w:hAnsi="Times New Roman"/>
          <w:sz w:val="24"/>
          <w:szCs w:val="24"/>
        </w:rPr>
        <w:t xml:space="preserve">“que não são do sistema financeiro”, mas que, no contexto da fala trazida por ela tratava-se de </w:t>
      </w:r>
      <w:r w:rsidR="00EA6193" w:rsidRPr="00094D22">
        <w:rPr>
          <w:rFonts w:ascii="Times New Roman" w:hAnsi="Times New Roman"/>
          <w:sz w:val="24"/>
          <w:szCs w:val="24"/>
        </w:rPr>
        <w:t xml:space="preserve">outros </w:t>
      </w:r>
      <w:r w:rsidR="00310297" w:rsidRPr="00094D22">
        <w:rPr>
          <w:rFonts w:ascii="Times New Roman" w:hAnsi="Times New Roman"/>
          <w:sz w:val="24"/>
          <w:szCs w:val="24"/>
        </w:rPr>
        <w:t>“grandes empresários”,</w:t>
      </w:r>
      <w:r w:rsidR="006001D3" w:rsidRPr="00094D22">
        <w:rPr>
          <w:rFonts w:ascii="Times New Roman" w:hAnsi="Times New Roman"/>
          <w:sz w:val="24"/>
          <w:szCs w:val="24"/>
        </w:rPr>
        <w:t xml:space="preserve">segundo </w:t>
      </w:r>
      <w:r w:rsidR="00310297" w:rsidRPr="00094D22">
        <w:rPr>
          <w:rFonts w:ascii="Times New Roman" w:hAnsi="Times New Roman"/>
          <w:sz w:val="24"/>
          <w:szCs w:val="24"/>
        </w:rPr>
        <w:t>expressão dada por F</w:t>
      </w:r>
      <w:r w:rsidR="00CD3FF7" w:rsidRPr="00094D22">
        <w:rPr>
          <w:rFonts w:ascii="Times New Roman" w:hAnsi="Times New Roman"/>
          <w:sz w:val="24"/>
          <w:szCs w:val="24"/>
        </w:rPr>
        <w:t>leury</w:t>
      </w:r>
      <w:r w:rsidR="00310297" w:rsidRPr="00094D22">
        <w:rPr>
          <w:rFonts w:ascii="Times New Roman" w:hAnsi="Times New Roman"/>
          <w:sz w:val="24"/>
          <w:szCs w:val="24"/>
        </w:rPr>
        <w:t>.</w:t>
      </w:r>
    </w:p>
    <w:p w:rsidR="00CE3680" w:rsidRDefault="00CE3680" w:rsidP="00310297">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Havia uma grande convergência de diagnósticos, preocupações e aspirações por parte de muitos conselheiros que tensionava as relações com a SEDES e o governo. O principal pomo de discórdia era, sem dúvida, a “efetividade” do Conselho, isto é, que suas recomendações fossem levadas adiante pelo Executivo, mesmo que as pautas sobre as quais deliberavam fossem emanadas do governo. Sobre esta última questão, muito latente nas atividades iniciais do Conselho, sob força da inscrição das contrarreformas nas ações imediatas do Executivo, houve uma distensão maior posteriormente, sobretudo na temática da Educação e das Reformas Tributária e Política. Tarso Genro, em especial, desde cedo tentou amenizar as queixas, declarando que “cerca de 70% do que o Conselho propôs foi encampado no projeto encaminhado pelo executivo ao Congresso e este índice de aproveitamento é o mesmo que foi aprovado pelos deputados”.</w:t>
      </w:r>
      <w:r>
        <w:rPr>
          <w:rStyle w:val="Refdenotaderodap"/>
          <w:rFonts w:ascii="Times New Roman" w:hAnsi="Times New Roman"/>
          <w:sz w:val="24"/>
          <w:szCs w:val="24"/>
        </w:rPr>
        <w:footnoteReference w:id="173"/>
      </w:r>
    </w:p>
    <w:p w:rsidR="00CE3680" w:rsidRDefault="00CE3680"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De todo modo, a produção da Agenda Nacional de Desenvolvimento foi fundamental para legitimar o papel e a importância dos conselheiros, ainda que expectativas de efetivação da Agenda fossem superestimadas diante de um governo que dava provas de ser dirigido pelas frações monopolistas do grande capital. As sucessivas falas de Palocci e Meirelles no CDES não ofereciam brechas ou margens de manobras, muito embora precisassem fazer alusão à receptividade de diálogo. Mesmo assim, alguns conselheiros acreditavam que, organizados no CDES, poderiam construir forças capazes de influir nas mudanças da política macroeconômica adotada até então e acreditavam que a AND transformar-se-ia num instrumento, ou melhor, numa plataforma de medidas para tal intento.</w:t>
      </w:r>
      <w:r w:rsidR="00481A34">
        <w:rPr>
          <w:rFonts w:ascii="Times New Roman" w:hAnsi="Times New Roman"/>
          <w:sz w:val="24"/>
          <w:szCs w:val="24"/>
        </w:rPr>
        <w:t xml:space="preserve"> A</w:t>
      </w:r>
      <w:r>
        <w:rPr>
          <w:rFonts w:ascii="Times New Roman" w:hAnsi="Times New Roman"/>
          <w:sz w:val="24"/>
          <w:szCs w:val="24"/>
        </w:rPr>
        <w:t xml:space="preserve"> costura de um projeto que introjetasse uma “cunha desenvolvimentista” (com claras definições de políticas industriais e distribuição de renda minimalista) no governo e mesmo dentro do CDES, não foi se</w:t>
      </w:r>
      <w:r w:rsidR="00481A34">
        <w:rPr>
          <w:rFonts w:ascii="Times New Roman" w:hAnsi="Times New Roman"/>
          <w:sz w:val="24"/>
          <w:szCs w:val="24"/>
        </w:rPr>
        <w:t xml:space="preserve">m intensas disputas, ainda que </w:t>
      </w:r>
      <w:r>
        <w:rPr>
          <w:rFonts w:ascii="Times New Roman" w:hAnsi="Times New Roman"/>
          <w:sz w:val="24"/>
          <w:szCs w:val="24"/>
        </w:rPr>
        <w:t>era nos GT’s onde ocorriam os embates mais intensos, tomadas e defesas de posições mais firmes, consistentes e agudas.</w:t>
      </w:r>
    </w:p>
    <w:p w:rsidR="00E628E6" w:rsidRPr="00443ED0" w:rsidRDefault="00E628E6" w:rsidP="00CE3680">
      <w:pPr>
        <w:autoSpaceDE w:val="0"/>
        <w:autoSpaceDN w:val="0"/>
        <w:adjustRightInd w:val="0"/>
        <w:spacing w:after="0" w:line="360" w:lineRule="auto"/>
        <w:ind w:firstLine="708"/>
        <w:jc w:val="both"/>
        <w:rPr>
          <w:rFonts w:ascii="Times New Roman" w:hAnsi="Times New Roman"/>
          <w:sz w:val="24"/>
          <w:szCs w:val="24"/>
        </w:rPr>
      </w:pPr>
      <w:r w:rsidRPr="00443ED0">
        <w:rPr>
          <w:rFonts w:ascii="Times New Roman" w:hAnsi="Times New Roman"/>
          <w:sz w:val="24"/>
          <w:szCs w:val="24"/>
        </w:rPr>
        <w:t>P</w:t>
      </w:r>
      <w:r w:rsidR="00CE3680" w:rsidRPr="00443ED0">
        <w:rPr>
          <w:rFonts w:ascii="Times New Roman" w:hAnsi="Times New Roman"/>
          <w:sz w:val="24"/>
          <w:szCs w:val="24"/>
        </w:rPr>
        <w:t>or mais que as acusações no plano dos discursos afirmassem que a política de juros altos, elevados superávits e profunda dívida líquida do setor público, derivada da remuneração dos títulos públicos em mãos da fração bancária-financeira, esvaziassem ou retardassem as chances de “retomada de um novo modelo macroeconômico”</w:t>
      </w:r>
      <w:r w:rsidRPr="00443ED0">
        <w:rPr>
          <w:rFonts w:ascii="Times New Roman" w:hAnsi="Times New Roman"/>
          <w:sz w:val="24"/>
          <w:szCs w:val="24"/>
        </w:rPr>
        <w:t>, não é possível afirmar que as recomendações emanadas do CDES desagrada</w:t>
      </w:r>
      <w:r w:rsidR="00277FC9">
        <w:rPr>
          <w:rFonts w:ascii="Times New Roman" w:hAnsi="Times New Roman"/>
          <w:sz w:val="24"/>
          <w:szCs w:val="24"/>
        </w:rPr>
        <w:t>sse</w:t>
      </w:r>
      <w:r w:rsidRPr="00443ED0">
        <w:rPr>
          <w:rFonts w:ascii="Times New Roman" w:hAnsi="Times New Roman"/>
          <w:sz w:val="24"/>
          <w:szCs w:val="24"/>
        </w:rPr>
        <w:t>m o setor bancário</w:t>
      </w:r>
      <w:r w:rsidR="00CE3680" w:rsidRPr="00443ED0">
        <w:rPr>
          <w:rFonts w:ascii="Times New Roman" w:hAnsi="Times New Roman"/>
          <w:sz w:val="24"/>
          <w:szCs w:val="24"/>
        </w:rPr>
        <w:t xml:space="preserve">. </w:t>
      </w:r>
    </w:p>
    <w:p w:rsidR="00CE3680" w:rsidRPr="00443ED0" w:rsidRDefault="00CE3680" w:rsidP="00CE3680">
      <w:pPr>
        <w:autoSpaceDE w:val="0"/>
        <w:autoSpaceDN w:val="0"/>
        <w:adjustRightInd w:val="0"/>
        <w:spacing w:after="0" w:line="360" w:lineRule="auto"/>
        <w:ind w:firstLine="708"/>
        <w:jc w:val="both"/>
        <w:rPr>
          <w:rFonts w:ascii="Times New Roman" w:hAnsi="Times New Roman"/>
          <w:sz w:val="24"/>
          <w:szCs w:val="24"/>
        </w:rPr>
      </w:pPr>
      <w:r w:rsidRPr="00443ED0">
        <w:rPr>
          <w:rFonts w:ascii="Times New Roman" w:hAnsi="Times New Roman"/>
          <w:sz w:val="24"/>
          <w:szCs w:val="24"/>
        </w:rPr>
        <w:t>Como sabemos, financiamento de obras de infraestrutura e de construção civil (programas habitacionais, por exemplo), mecanismos de incorporação marginal de parcelas da população de menor renda ao consumo, via crédito consignado ou programas de assistência social (por meio de repasses de recursos públicos para agências bancárias), expansão do microcrédito, reformas previdenciária (regulamentação da previdência complementar para servidores públicos) e tributária (formas de desoneração do grande capital)</w:t>
      </w:r>
      <w:r w:rsidRPr="00443ED0">
        <w:rPr>
          <w:rStyle w:val="Refdenotaderodap"/>
          <w:rFonts w:ascii="Times New Roman" w:hAnsi="Times New Roman"/>
          <w:sz w:val="24"/>
          <w:szCs w:val="24"/>
        </w:rPr>
        <w:footnoteReference w:id="174"/>
      </w:r>
      <w:r w:rsidRPr="00443ED0">
        <w:rPr>
          <w:rFonts w:ascii="Times New Roman" w:hAnsi="Times New Roman"/>
          <w:sz w:val="24"/>
          <w:szCs w:val="24"/>
        </w:rPr>
        <w:t xml:space="preserve"> expressavam fortes incentivos à expansão do capital em geral, sem preterir, de forma alguma, a fração bancária. </w:t>
      </w:r>
    </w:p>
    <w:p w:rsidR="00CE3680" w:rsidRDefault="00DC3EF8" w:rsidP="00CE3680">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O</w:t>
      </w:r>
      <w:r w:rsidR="00CE3680">
        <w:rPr>
          <w:rFonts w:ascii="Times New Roman" w:hAnsi="Times New Roman"/>
          <w:sz w:val="24"/>
          <w:szCs w:val="24"/>
        </w:rPr>
        <w:t xml:space="preserve">s conselheiros </w:t>
      </w:r>
      <w:r>
        <w:rPr>
          <w:rFonts w:ascii="Times New Roman" w:hAnsi="Times New Roman"/>
          <w:sz w:val="24"/>
          <w:szCs w:val="24"/>
        </w:rPr>
        <w:t xml:space="preserve">não </w:t>
      </w:r>
      <w:r w:rsidR="00CE3680">
        <w:rPr>
          <w:rFonts w:ascii="Times New Roman" w:hAnsi="Times New Roman"/>
          <w:sz w:val="24"/>
          <w:szCs w:val="24"/>
        </w:rPr>
        <w:t>se subjugavam às determinações da SEDES</w:t>
      </w:r>
      <w:r>
        <w:rPr>
          <w:rFonts w:ascii="Times New Roman" w:hAnsi="Times New Roman"/>
          <w:sz w:val="24"/>
          <w:szCs w:val="24"/>
        </w:rPr>
        <w:t xml:space="preserve">, </w:t>
      </w:r>
      <w:r w:rsidR="00CE3680">
        <w:rPr>
          <w:rFonts w:ascii="Times New Roman" w:hAnsi="Times New Roman"/>
          <w:sz w:val="24"/>
          <w:szCs w:val="24"/>
        </w:rPr>
        <w:t>hav</w:t>
      </w:r>
      <w:r>
        <w:rPr>
          <w:rFonts w:ascii="Times New Roman" w:hAnsi="Times New Roman"/>
          <w:sz w:val="24"/>
          <w:szCs w:val="24"/>
        </w:rPr>
        <w:t>endo</w:t>
      </w:r>
      <w:r w:rsidR="00CE3680">
        <w:rPr>
          <w:rFonts w:ascii="Times New Roman" w:hAnsi="Times New Roman"/>
          <w:sz w:val="24"/>
          <w:szCs w:val="24"/>
        </w:rPr>
        <w:t xml:space="preserve"> tensões e disputas, principalmente no que tange a aderência ou não dos acordos e recomendações às decisões presidenciais, ao modo d</w:t>
      </w:r>
      <w:r w:rsidR="0046523C">
        <w:rPr>
          <w:rFonts w:ascii="Times New Roman" w:hAnsi="Times New Roman"/>
          <w:sz w:val="24"/>
          <w:szCs w:val="24"/>
        </w:rPr>
        <w:t>e funcionamento do Conselho e à</w:t>
      </w:r>
      <w:r w:rsidR="00CE3680">
        <w:rPr>
          <w:rFonts w:ascii="Times New Roman" w:hAnsi="Times New Roman"/>
          <w:sz w:val="24"/>
          <w:szCs w:val="24"/>
        </w:rPr>
        <w:t xml:space="preserve"> ingerência dos consel</w:t>
      </w:r>
      <w:r w:rsidR="0046523C">
        <w:rPr>
          <w:rFonts w:ascii="Times New Roman" w:hAnsi="Times New Roman"/>
          <w:sz w:val="24"/>
          <w:szCs w:val="24"/>
        </w:rPr>
        <w:t>heiros nas pautas das reuniões, procurando incluir temas ou preocupações</w:t>
      </w:r>
      <w:r w:rsidR="00F5157E">
        <w:rPr>
          <w:rFonts w:ascii="Times New Roman" w:hAnsi="Times New Roman"/>
          <w:sz w:val="24"/>
          <w:szCs w:val="24"/>
        </w:rPr>
        <w:t>.</w:t>
      </w:r>
    </w:p>
    <w:p w:rsidR="00CE3680" w:rsidRPr="00615D5E" w:rsidRDefault="00CE3680" w:rsidP="00CE3680">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A última cartada dos conselheiros, no período delimitado por esta pesquisa, a fim de dirimir ou equacionar, de uma só vez, estas três dificuldades, foi tentada com a criação, em 2008, do Comitê Gestor do CDES. A função a ser desempenhada, a forma de organização e de funcionamento do Comitê Gestor foi bem explicitada na 25ª Reunião Plenária, em 01 de abril de 2008, pelo Secretário Executivo José Múcio Monteiro e pelo conselheiro Clemente Ganz Lúcio (DIEESE). </w:t>
      </w:r>
    </w:p>
    <w:p w:rsidR="00CE3680" w:rsidRPr="00FB435C" w:rsidRDefault="00CE3680" w:rsidP="00CE3680">
      <w:pPr>
        <w:autoSpaceDE w:val="0"/>
        <w:autoSpaceDN w:val="0"/>
        <w:adjustRightInd w:val="0"/>
        <w:spacing w:line="240" w:lineRule="auto"/>
        <w:ind w:left="2268"/>
        <w:jc w:val="both"/>
        <w:rPr>
          <w:rFonts w:ascii="Times New Roman" w:hAnsi="Times New Roman"/>
          <w:sz w:val="24"/>
          <w:szCs w:val="24"/>
        </w:rPr>
      </w:pPr>
      <w:r w:rsidRPr="00FB435C">
        <w:rPr>
          <w:rFonts w:ascii="Times New Roman" w:hAnsi="Times New Roman"/>
          <w:sz w:val="20"/>
          <w:szCs w:val="20"/>
        </w:rPr>
        <w:t>Eu acho que nós precisávamos fazer um estudo interno, uma troca de</w:t>
      </w:r>
      <w:r>
        <w:rPr>
          <w:rFonts w:ascii="Times New Roman" w:hAnsi="Times New Roman"/>
          <w:sz w:val="20"/>
          <w:szCs w:val="20"/>
        </w:rPr>
        <w:t xml:space="preserve"> o</w:t>
      </w:r>
      <w:r w:rsidRPr="00FB435C">
        <w:rPr>
          <w:rFonts w:ascii="Times New Roman" w:hAnsi="Times New Roman"/>
          <w:sz w:val="20"/>
          <w:szCs w:val="20"/>
        </w:rPr>
        <w:t>piniões para ver se o Conselho não necessita de uma governança, de alguém quecobre do Presidente ou do governo aquele conselho que eu lhe dei, aquele projeto queeu lhe apresentei. Qual foi a conseq</w:t>
      </w:r>
      <w:r w:rsidR="005913F9">
        <w:rPr>
          <w:rFonts w:ascii="Times New Roman" w:hAnsi="Times New Roman"/>
          <w:sz w:val="20"/>
          <w:szCs w:val="20"/>
        </w:rPr>
        <w:t>u</w:t>
      </w:r>
      <w:r w:rsidRPr="00FB435C">
        <w:rPr>
          <w:rFonts w:ascii="Times New Roman" w:hAnsi="Times New Roman"/>
          <w:sz w:val="20"/>
          <w:szCs w:val="20"/>
        </w:rPr>
        <w:t>ência? O governo precisa dar algumas respostaspara os senhores, até para que os senhores sintam que o Conselho é uma ferramenta</w:t>
      </w:r>
      <w:r>
        <w:rPr>
          <w:rFonts w:ascii="Times New Roman" w:hAnsi="Times New Roman"/>
          <w:sz w:val="20"/>
          <w:szCs w:val="20"/>
        </w:rPr>
        <w:t xml:space="preserve"> importante. (...) </w:t>
      </w:r>
      <w:r w:rsidRPr="00FB435C">
        <w:rPr>
          <w:rFonts w:ascii="Times New Roman" w:hAnsi="Times New Roman"/>
          <w:sz w:val="20"/>
          <w:szCs w:val="20"/>
        </w:rPr>
        <w:t>Conversei muito com o doutor Jorge Gerdau. E queria a opinião dos senhores se nós deveríamos criar um grupo de governança a cada seis meses, um fórum menor (...) que se reúne com mais freq</w:t>
      </w:r>
      <w:r w:rsidR="005913F9">
        <w:rPr>
          <w:rFonts w:ascii="Times New Roman" w:hAnsi="Times New Roman"/>
          <w:sz w:val="20"/>
          <w:szCs w:val="20"/>
        </w:rPr>
        <w:t>u</w:t>
      </w:r>
      <w:r w:rsidRPr="00FB435C">
        <w:rPr>
          <w:rFonts w:ascii="Times New Roman" w:hAnsi="Times New Roman"/>
          <w:sz w:val="20"/>
          <w:szCs w:val="20"/>
        </w:rPr>
        <w:t>ência, para participar mais, vamos dizer assim, das decisões, ou das dúvidas, ou dos questionamentos do governo e, verdadeiramente, se transformar numa ferramenta de trabalho contributiva, comsatisfação e acho até que o Conselho deve questionar: “Olha, nós apresentamos umaproposta. Por que ela não foi seguida? Se não foi, eu, já que lhe dei um Conselho, eu quero que você me diga porque o meu Conselho não teve, não foi seguido? Ou, se foi seguido, eu quero ter uma satisfação”.</w:t>
      </w:r>
      <w:r>
        <w:rPr>
          <w:rFonts w:ascii="Times New Roman" w:hAnsi="Times New Roman"/>
          <w:sz w:val="20"/>
          <w:szCs w:val="20"/>
        </w:rPr>
        <w:t xml:space="preserve"> (Secretário Executivo José Múcio Monteiro, ATA da 25ª Reunião Plenária, 01/04/2008, p. 2-3).</w:t>
      </w:r>
    </w:p>
    <w:p w:rsidR="00CE3680" w:rsidRDefault="00CE3680" w:rsidP="00094D22">
      <w:pPr>
        <w:spacing w:before="240" w:after="0" w:line="360" w:lineRule="auto"/>
        <w:jc w:val="both"/>
        <w:rPr>
          <w:rFonts w:ascii="Times New Roman" w:hAnsi="Times New Roman"/>
          <w:sz w:val="24"/>
          <w:szCs w:val="24"/>
        </w:rPr>
      </w:pPr>
      <w:r>
        <w:rPr>
          <w:rFonts w:ascii="Times New Roman" w:hAnsi="Times New Roman"/>
          <w:sz w:val="24"/>
          <w:szCs w:val="24"/>
        </w:rPr>
        <w:tab/>
        <w:t>Colocada nestes termos, a proposta do Comitê Gestor seria a de municiar os conselheiros de uma ferramenta com objetivo fundamental de acompanhar, monitorar, assediar ou mesmo pressionar o Presidente e seus ministros a efetivarem ou, no mínimo, a darem satisfações acerca das proposições e elaborações dos conselheiros. Sob a responsabilidade de um pequeno grupo de seis conselheiros, respeitada a representatividade setorial presente no CDES (dividida em empresários, sindicalistas e “terceiro setor”) e com destacada participação, o Comitê Gestor funcionava sob sistema de rodízio entre os integrantes, com</w:t>
      </w:r>
      <w:r w:rsidR="0054188E">
        <w:rPr>
          <w:rFonts w:ascii="Times New Roman" w:hAnsi="Times New Roman"/>
          <w:sz w:val="24"/>
          <w:szCs w:val="24"/>
        </w:rPr>
        <w:t xml:space="preserve"> periodicidade a cada seis meses ou duas</w:t>
      </w:r>
      <w:r>
        <w:rPr>
          <w:rFonts w:ascii="Times New Roman" w:hAnsi="Times New Roman"/>
          <w:sz w:val="24"/>
          <w:szCs w:val="24"/>
        </w:rPr>
        <w:t xml:space="preserve"> reuniões plenárias, eleitos por meio de eventos denominados </w:t>
      </w:r>
      <w:r>
        <w:rPr>
          <w:rFonts w:ascii="Times New Roman" w:hAnsi="Times New Roman"/>
          <w:i/>
          <w:sz w:val="24"/>
          <w:szCs w:val="24"/>
        </w:rPr>
        <w:t>Oficinas de Governança</w:t>
      </w:r>
      <w:r>
        <w:rPr>
          <w:rFonts w:ascii="Times New Roman" w:hAnsi="Times New Roman"/>
          <w:sz w:val="24"/>
          <w:szCs w:val="24"/>
        </w:rPr>
        <w:t xml:space="preserve">. Os membros permanentes do Comitê Gestor eram compostos pelo Secretário Executivo e o Secretário da Secretaria do Conselho. </w:t>
      </w:r>
    </w:p>
    <w:p w:rsidR="00CE3680" w:rsidRDefault="00CE3680" w:rsidP="00CE3680">
      <w:pPr>
        <w:spacing w:line="360" w:lineRule="auto"/>
        <w:ind w:firstLine="708"/>
        <w:jc w:val="both"/>
        <w:rPr>
          <w:rFonts w:ascii="Times New Roman" w:hAnsi="Times New Roman"/>
          <w:sz w:val="24"/>
          <w:szCs w:val="24"/>
        </w:rPr>
      </w:pPr>
      <w:r>
        <w:rPr>
          <w:rFonts w:ascii="Times New Roman" w:hAnsi="Times New Roman"/>
          <w:sz w:val="24"/>
          <w:szCs w:val="24"/>
        </w:rPr>
        <w:t>O documento “A Governança do CDES e a contribuição do CDES para a Governança do processo de desenvolvimento do Brasil”, considerado o Termo de Referência do Comitê, aprovado na 25ª Reunião Plenária, afirmava que o Comitê Gestor era responsável por incrementar/intensificar a interlocução com o governo, com objetivos de:</w:t>
      </w:r>
    </w:p>
    <w:p w:rsidR="00CE3680" w:rsidRPr="006E54D0" w:rsidRDefault="00CE3680" w:rsidP="00CE3680">
      <w:pPr>
        <w:pStyle w:val="PargrafodaLista"/>
        <w:numPr>
          <w:ilvl w:val="0"/>
          <w:numId w:val="7"/>
        </w:numPr>
        <w:spacing w:line="240" w:lineRule="auto"/>
        <w:ind w:left="2268"/>
        <w:jc w:val="both"/>
        <w:rPr>
          <w:rFonts w:ascii="Times New Roman" w:hAnsi="Times New Roman"/>
          <w:sz w:val="20"/>
          <w:szCs w:val="20"/>
        </w:rPr>
      </w:pPr>
      <w:r w:rsidRPr="006E54D0">
        <w:rPr>
          <w:rFonts w:ascii="Times New Roman" w:hAnsi="Times New Roman"/>
          <w:sz w:val="20"/>
          <w:szCs w:val="20"/>
        </w:rPr>
        <w:t>Debater as pautas e recomendações a serem apresentadas nas reuniões plenárias do CDES, ampliando o entendimento, reflexão e o diálogo em torno das contribuições do CDES.</w:t>
      </w:r>
    </w:p>
    <w:p w:rsidR="00CE3680" w:rsidRPr="006E54D0" w:rsidRDefault="00CE3680" w:rsidP="00CE3680">
      <w:pPr>
        <w:pStyle w:val="PargrafodaLista"/>
        <w:numPr>
          <w:ilvl w:val="0"/>
          <w:numId w:val="7"/>
        </w:numPr>
        <w:spacing w:before="240" w:line="240" w:lineRule="auto"/>
        <w:ind w:left="2268"/>
        <w:jc w:val="both"/>
        <w:rPr>
          <w:rFonts w:ascii="Times New Roman" w:hAnsi="Times New Roman"/>
          <w:sz w:val="20"/>
          <w:szCs w:val="20"/>
        </w:rPr>
      </w:pPr>
      <w:r w:rsidRPr="006E54D0">
        <w:rPr>
          <w:rFonts w:ascii="Times New Roman" w:hAnsi="Times New Roman"/>
          <w:sz w:val="20"/>
          <w:szCs w:val="20"/>
        </w:rPr>
        <w:t>Colher demandas para atualização da agenda e avaliação sobre a produção do CDES buscando maior sintonia entre o Conselho e as preocupações, impasses e percepções do governo, podendo mobilizar sua capacidade de a</w:t>
      </w:r>
      <w:r>
        <w:rPr>
          <w:rFonts w:ascii="Times New Roman" w:hAnsi="Times New Roman"/>
          <w:sz w:val="20"/>
          <w:szCs w:val="20"/>
        </w:rPr>
        <w:t>nálise, proposição e influência.</w:t>
      </w:r>
      <w:r>
        <w:rPr>
          <w:rStyle w:val="Refdenotaderodap"/>
          <w:rFonts w:ascii="Times New Roman" w:hAnsi="Times New Roman"/>
          <w:sz w:val="20"/>
          <w:szCs w:val="20"/>
        </w:rPr>
        <w:footnoteReference w:id="175"/>
      </w:r>
    </w:p>
    <w:p w:rsidR="00CE3680" w:rsidRPr="001C5B76" w:rsidRDefault="00CE3680" w:rsidP="00CE3680">
      <w:pPr>
        <w:autoSpaceDE w:val="0"/>
        <w:autoSpaceDN w:val="0"/>
        <w:adjustRightInd w:val="0"/>
        <w:spacing w:line="360" w:lineRule="auto"/>
        <w:ind w:firstLine="708"/>
        <w:jc w:val="both"/>
        <w:rPr>
          <w:rFonts w:ascii="Times New Roman" w:hAnsi="Times New Roman"/>
          <w:sz w:val="24"/>
          <w:szCs w:val="24"/>
        </w:rPr>
      </w:pPr>
      <w:r w:rsidRPr="001C5B76">
        <w:rPr>
          <w:rFonts w:ascii="Times New Roman" w:hAnsi="Times New Roman"/>
          <w:sz w:val="24"/>
          <w:szCs w:val="24"/>
        </w:rPr>
        <w:t xml:space="preserve">A busca de </w:t>
      </w:r>
      <w:r w:rsidRPr="0054188E">
        <w:rPr>
          <w:rFonts w:ascii="Times New Roman" w:hAnsi="Times New Roman"/>
          <w:i/>
          <w:sz w:val="24"/>
          <w:szCs w:val="24"/>
        </w:rPr>
        <w:t>maior autonomia na definição das pautas</w:t>
      </w:r>
      <w:r w:rsidRPr="001C5B76">
        <w:rPr>
          <w:rFonts w:ascii="Times New Roman" w:hAnsi="Times New Roman"/>
          <w:sz w:val="24"/>
          <w:szCs w:val="24"/>
        </w:rPr>
        <w:t xml:space="preserve"> foi outra importante demanda conseguida pelos conselheiros. O presidente Lula da Silva no final da reunião se pronunciou sobre a questão</w:t>
      </w:r>
      <w:r>
        <w:rPr>
          <w:rFonts w:ascii="Times New Roman" w:hAnsi="Times New Roman"/>
          <w:sz w:val="24"/>
          <w:szCs w:val="24"/>
        </w:rPr>
        <w:t>:</w:t>
      </w:r>
      <w:r w:rsidRPr="001C5B76">
        <w:rPr>
          <w:rFonts w:ascii="Times New Roman" w:hAnsi="Times New Roman"/>
          <w:sz w:val="24"/>
          <w:szCs w:val="24"/>
        </w:rPr>
        <w:t xml:space="preserve"> “Da parte do governo, eu queria dizer para vocês uma coisa: não tem tema que não possa ser debatido. Da nossa parte, não tem tema. Basta que vocês apresentem a proposta ao Ministro, a gente organiza...</w:t>
      </w:r>
      <w:r>
        <w:rPr>
          <w:rFonts w:ascii="Times New Roman" w:hAnsi="Times New Roman"/>
          <w:sz w:val="24"/>
          <w:szCs w:val="24"/>
        </w:rPr>
        <w:t xml:space="preserve">” (ATA da 25ª Reunião, p. 41). </w:t>
      </w:r>
      <w:r w:rsidRPr="001C5B76">
        <w:rPr>
          <w:rFonts w:ascii="Times New Roman" w:hAnsi="Times New Roman"/>
          <w:sz w:val="24"/>
          <w:szCs w:val="24"/>
        </w:rPr>
        <w:t xml:space="preserve">Não se tratava, como anteriormente, de tentar inserir debates ou questões desde uma posição externa à </w:t>
      </w:r>
      <w:r>
        <w:rPr>
          <w:rFonts w:ascii="Times New Roman" w:hAnsi="Times New Roman"/>
          <w:sz w:val="24"/>
          <w:szCs w:val="24"/>
        </w:rPr>
        <w:t>SEDES</w:t>
      </w:r>
      <w:r w:rsidRPr="001C5B76">
        <w:rPr>
          <w:rFonts w:ascii="Times New Roman" w:hAnsi="Times New Roman"/>
          <w:sz w:val="24"/>
          <w:szCs w:val="24"/>
        </w:rPr>
        <w:t xml:space="preserve">, mas, com o Comitê Gestor, de trabalhar ao lado dos funcionários da Secretaria na definição de pautas, nas formas de funcionamento da plenária e na autorização da abertura de canais ou meios de acompanhamento das deliberações expedidas pelo Conselho junto ao primeiro escalão ministerial e da Presidência.  A ideia de que o Comitê Gestor funcionasse como grupo de apoio ou suporte às atividades antes limitadas à </w:t>
      </w:r>
      <w:r>
        <w:rPr>
          <w:rFonts w:ascii="Times New Roman" w:hAnsi="Times New Roman"/>
          <w:sz w:val="24"/>
          <w:szCs w:val="24"/>
        </w:rPr>
        <w:t>SEDES</w:t>
      </w:r>
      <w:r w:rsidRPr="001C5B76">
        <w:rPr>
          <w:rFonts w:ascii="Times New Roman" w:hAnsi="Times New Roman"/>
          <w:sz w:val="24"/>
          <w:szCs w:val="24"/>
        </w:rPr>
        <w:t xml:space="preserve"> estava presente nas palavras do conselheiro Clemente Lúcio:</w:t>
      </w:r>
    </w:p>
    <w:p w:rsidR="00CE3680" w:rsidRPr="003526AC" w:rsidRDefault="00CE3680" w:rsidP="00CE3680">
      <w:pPr>
        <w:autoSpaceDE w:val="0"/>
        <w:autoSpaceDN w:val="0"/>
        <w:adjustRightInd w:val="0"/>
        <w:spacing w:line="240" w:lineRule="auto"/>
        <w:ind w:left="2268"/>
        <w:jc w:val="both"/>
        <w:rPr>
          <w:rFonts w:ascii="Times New Roman" w:hAnsi="Times New Roman"/>
          <w:sz w:val="24"/>
          <w:szCs w:val="24"/>
        </w:rPr>
      </w:pPr>
      <w:r w:rsidRPr="003526AC">
        <w:rPr>
          <w:rFonts w:ascii="Times New Roman" w:hAnsi="Times New Roman"/>
          <w:sz w:val="20"/>
          <w:szCs w:val="20"/>
        </w:rPr>
        <w:t>Então, nós verificamos que esse poderia ser um espaço e um instrumento de apoio na gestão do Conselho para diminuir a distância entre essa reunião do Pleno e a gestão cotidiana daquelas indicações que nós fazemos como recomendações e que esse trabalho, pudesse, na verdade, ser um suporte ao Ministro, ao trabalho que ele faz na relação entre o Conselho e o Presidente (...).</w:t>
      </w:r>
      <w:r>
        <w:rPr>
          <w:rFonts w:ascii="Times New Roman" w:hAnsi="Times New Roman"/>
          <w:sz w:val="20"/>
          <w:szCs w:val="20"/>
        </w:rPr>
        <w:t xml:space="preserve"> (ATA da 25ª Reunião Plenária, 01/04/2008, p. 5).</w:t>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 xml:space="preserve">Às atribuições do Comitê Gestor acima, ressalta outra que, até então, </w:t>
      </w:r>
      <w:r w:rsidR="0046523C">
        <w:rPr>
          <w:rFonts w:ascii="Times New Roman" w:hAnsi="Times New Roman"/>
          <w:sz w:val="24"/>
          <w:szCs w:val="24"/>
        </w:rPr>
        <w:t>fora</w:t>
      </w:r>
      <w:r>
        <w:rPr>
          <w:rFonts w:ascii="Times New Roman" w:hAnsi="Times New Roman"/>
          <w:sz w:val="24"/>
          <w:szCs w:val="24"/>
        </w:rPr>
        <w:t xml:space="preserve"> menosprezada pelo próprio Conselho: a divulgação de suas propostas e atividades para o conjunto da sociedade brasileira e as demais agências da sociedade política. De fato, os trabalhos e as produções realizadas pelo CDES sempre tiveram muito pouca repercussão ou ressonância na sociedade brasileira, excetuando os momentos imediatamente anteriores e posteriores à sua criação, nos quais o CDES apareceu ora como aquilo que seus formuladores desejassem que fosse, ou seja, como fórum cuja tarefa exprimia a promessa de contribuir para um novo estágio ou modelo de desenvolvimento com “pactuação”</w:t>
      </w:r>
      <w:r w:rsidR="0046523C">
        <w:rPr>
          <w:rFonts w:ascii="Times New Roman" w:hAnsi="Times New Roman"/>
          <w:sz w:val="24"/>
          <w:szCs w:val="24"/>
        </w:rPr>
        <w:t>,</w:t>
      </w:r>
      <w:r>
        <w:rPr>
          <w:rFonts w:ascii="Times New Roman" w:hAnsi="Times New Roman"/>
          <w:sz w:val="24"/>
          <w:szCs w:val="24"/>
        </w:rPr>
        <w:t xml:space="preserve"> ou um “novo contrato” social entre os distintos setores sociais convocados a assumir tal proposta, ora como órgão acusado de invadir atribuições ou competências próprias do Legislativo, sob a manipulação e égide do Executivo. De qualquer forma, uma das tarefas do Comitê Gestor era a de “colaborar para a estratégia de comunicação do CDES (...) de forma que os atores sociais e institucionais e o conjunto da sociedade tenham maior entendimento e acesso ao instrumento e seus resultados”</w:t>
      </w:r>
      <w:r>
        <w:rPr>
          <w:rStyle w:val="Refdenotaderodap"/>
          <w:rFonts w:ascii="Times New Roman" w:hAnsi="Times New Roman"/>
          <w:sz w:val="24"/>
          <w:szCs w:val="24"/>
        </w:rPr>
        <w:footnoteReference w:id="176"/>
      </w:r>
      <w:r>
        <w:rPr>
          <w:rFonts w:ascii="Times New Roman" w:hAnsi="Times New Roman"/>
          <w:sz w:val="24"/>
          <w:szCs w:val="24"/>
        </w:rPr>
        <w:t xml:space="preserve"> e assim, portanto, assumia formalmente o desafio de romper com o silêncio que o envolvia</w:t>
      </w:r>
      <w:r w:rsidR="0046523C">
        <w:rPr>
          <w:rFonts w:ascii="Times New Roman" w:hAnsi="Times New Roman"/>
          <w:sz w:val="24"/>
          <w:szCs w:val="24"/>
        </w:rPr>
        <w:t>.</w:t>
      </w:r>
    </w:p>
    <w:p w:rsidR="00CE3680" w:rsidRDefault="0046523C" w:rsidP="0046523C">
      <w:pPr>
        <w:spacing w:after="0" w:line="360" w:lineRule="auto"/>
        <w:ind w:firstLine="708"/>
        <w:jc w:val="both"/>
        <w:rPr>
          <w:rFonts w:ascii="Times New Roman" w:hAnsi="Times New Roman"/>
          <w:sz w:val="24"/>
          <w:szCs w:val="24"/>
        </w:rPr>
      </w:pPr>
      <w:r>
        <w:rPr>
          <w:rFonts w:ascii="Times New Roman" w:hAnsi="Times New Roman"/>
          <w:sz w:val="24"/>
          <w:szCs w:val="24"/>
        </w:rPr>
        <w:t>A</w:t>
      </w:r>
      <w:r w:rsidR="00CE3680">
        <w:rPr>
          <w:rFonts w:ascii="Times New Roman" w:hAnsi="Times New Roman"/>
          <w:sz w:val="24"/>
          <w:szCs w:val="24"/>
        </w:rPr>
        <w:t xml:space="preserve"> construção do Comitê Gestor </w:t>
      </w:r>
      <w:r>
        <w:rPr>
          <w:rFonts w:ascii="Times New Roman" w:hAnsi="Times New Roman"/>
          <w:sz w:val="24"/>
          <w:szCs w:val="24"/>
        </w:rPr>
        <w:t xml:space="preserve">foi </w:t>
      </w:r>
      <w:r w:rsidR="00CE3680">
        <w:rPr>
          <w:rFonts w:ascii="Times New Roman" w:hAnsi="Times New Roman"/>
          <w:sz w:val="24"/>
          <w:szCs w:val="24"/>
        </w:rPr>
        <w:t>uma saída formal e aparentemente satisfatória para a grave crise de legitimidade que o CDES passava no período pós-AND.De todo modo, o CDES constituiu-se e desenvolveu-se como uma arena recheada de tensões, disputas e contradições. A formação e consolidação de sua estrutura e instâncias internas, modo de funcionamento, atribuições de competências, relações com a SEDES e o governo, apesar de definidas e normatizadas por medi</w:t>
      </w:r>
      <w:r>
        <w:rPr>
          <w:rFonts w:ascii="Times New Roman" w:hAnsi="Times New Roman"/>
          <w:sz w:val="24"/>
          <w:szCs w:val="24"/>
        </w:rPr>
        <w:t>d</w:t>
      </w:r>
      <w:r w:rsidR="00CE3680">
        <w:rPr>
          <w:rFonts w:ascii="Times New Roman" w:hAnsi="Times New Roman"/>
          <w:sz w:val="24"/>
          <w:szCs w:val="24"/>
        </w:rPr>
        <w:t>as provisórias, leis, decreto, regimento e termos de referência - o que poderia supor um “engessamento” característico de um órgão dirigido pela burocracia – materializaram-se segundo a dinâmica conflitiva das relações sociais e das correlações de forças existentes na realidade brasileira.</w:t>
      </w:r>
    </w:p>
    <w:p w:rsidR="00CE3680" w:rsidRDefault="00CE3680" w:rsidP="00CE3680">
      <w:pPr>
        <w:spacing w:line="360" w:lineRule="auto"/>
        <w:jc w:val="both"/>
        <w:rPr>
          <w:rFonts w:ascii="Times New Roman" w:hAnsi="Times New Roman"/>
          <w:b/>
          <w:sz w:val="24"/>
          <w:szCs w:val="24"/>
        </w:rPr>
      </w:pPr>
    </w:p>
    <w:p w:rsidR="002E6389" w:rsidRDefault="002E6389" w:rsidP="00CE3680">
      <w:pPr>
        <w:spacing w:line="360" w:lineRule="auto"/>
        <w:jc w:val="both"/>
        <w:rPr>
          <w:rFonts w:ascii="Times New Roman" w:hAnsi="Times New Roman"/>
          <w:b/>
          <w:sz w:val="24"/>
          <w:szCs w:val="24"/>
        </w:rPr>
      </w:pPr>
    </w:p>
    <w:p w:rsidR="002E6389" w:rsidRDefault="002E6389" w:rsidP="00CE3680">
      <w:pPr>
        <w:spacing w:line="360" w:lineRule="auto"/>
        <w:jc w:val="both"/>
        <w:rPr>
          <w:rFonts w:ascii="Times New Roman" w:hAnsi="Times New Roman"/>
          <w:b/>
          <w:sz w:val="24"/>
          <w:szCs w:val="24"/>
        </w:rPr>
      </w:pPr>
    </w:p>
    <w:p w:rsidR="002E6389" w:rsidRDefault="002E6389" w:rsidP="00CE3680">
      <w:pPr>
        <w:spacing w:line="360" w:lineRule="auto"/>
        <w:jc w:val="both"/>
        <w:rPr>
          <w:rFonts w:ascii="Times New Roman" w:hAnsi="Times New Roman"/>
          <w:b/>
          <w:sz w:val="24"/>
          <w:szCs w:val="24"/>
        </w:rPr>
      </w:pPr>
    </w:p>
    <w:p w:rsidR="002E6389" w:rsidRDefault="002E6389" w:rsidP="00CE3680">
      <w:pPr>
        <w:spacing w:line="360" w:lineRule="auto"/>
        <w:jc w:val="both"/>
        <w:rPr>
          <w:rFonts w:ascii="Times New Roman" w:hAnsi="Times New Roman"/>
          <w:b/>
          <w:sz w:val="24"/>
          <w:szCs w:val="24"/>
        </w:rPr>
      </w:pPr>
    </w:p>
    <w:p w:rsidR="002E6389" w:rsidRDefault="002E6389" w:rsidP="00CE3680">
      <w:pPr>
        <w:spacing w:line="360" w:lineRule="auto"/>
        <w:jc w:val="both"/>
        <w:rPr>
          <w:rFonts w:ascii="Times New Roman" w:hAnsi="Times New Roman"/>
          <w:b/>
          <w:sz w:val="24"/>
          <w:szCs w:val="24"/>
        </w:rPr>
      </w:pPr>
    </w:p>
    <w:p w:rsidR="002E6389" w:rsidRDefault="002E6389" w:rsidP="00CE3680">
      <w:pPr>
        <w:spacing w:line="360" w:lineRule="auto"/>
        <w:jc w:val="both"/>
        <w:rPr>
          <w:rFonts w:ascii="Times New Roman" w:hAnsi="Times New Roman"/>
          <w:b/>
          <w:sz w:val="24"/>
          <w:szCs w:val="24"/>
        </w:rPr>
      </w:pPr>
    </w:p>
    <w:p w:rsidR="002E6389" w:rsidRDefault="002E6389" w:rsidP="00CE3680">
      <w:pPr>
        <w:spacing w:line="360" w:lineRule="auto"/>
        <w:jc w:val="both"/>
        <w:rPr>
          <w:rFonts w:ascii="Times New Roman" w:hAnsi="Times New Roman"/>
          <w:b/>
          <w:sz w:val="24"/>
          <w:szCs w:val="24"/>
        </w:rPr>
      </w:pPr>
    </w:p>
    <w:p w:rsidR="002E6389" w:rsidRDefault="002E6389" w:rsidP="00CE3680">
      <w:pPr>
        <w:spacing w:line="360" w:lineRule="auto"/>
        <w:jc w:val="both"/>
        <w:rPr>
          <w:rFonts w:ascii="Times New Roman" w:hAnsi="Times New Roman"/>
          <w:b/>
          <w:sz w:val="24"/>
          <w:szCs w:val="24"/>
        </w:rPr>
      </w:pPr>
    </w:p>
    <w:p w:rsidR="002E6389" w:rsidRDefault="002E6389" w:rsidP="00CE3680">
      <w:pPr>
        <w:spacing w:line="360" w:lineRule="auto"/>
        <w:jc w:val="both"/>
        <w:rPr>
          <w:rFonts w:ascii="Times New Roman" w:hAnsi="Times New Roman"/>
          <w:b/>
          <w:sz w:val="24"/>
          <w:szCs w:val="24"/>
        </w:rPr>
      </w:pPr>
    </w:p>
    <w:p w:rsidR="00582426" w:rsidRDefault="00886A40" w:rsidP="00886A40">
      <w:pPr>
        <w:spacing w:line="360" w:lineRule="auto"/>
        <w:jc w:val="center"/>
        <w:rPr>
          <w:rFonts w:ascii="Times New Roman" w:hAnsi="Times New Roman"/>
          <w:b/>
          <w:sz w:val="24"/>
          <w:szCs w:val="24"/>
        </w:rPr>
      </w:pPr>
      <w:r>
        <w:rPr>
          <w:rFonts w:ascii="Times New Roman" w:hAnsi="Times New Roman"/>
          <w:b/>
          <w:sz w:val="24"/>
          <w:szCs w:val="24"/>
        </w:rPr>
        <w:t xml:space="preserve">CAPÍTULO 2 </w:t>
      </w:r>
      <w:r w:rsidR="00582426" w:rsidRPr="00C25709">
        <w:rPr>
          <w:rFonts w:ascii="Times New Roman" w:hAnsi="Times New Roman"/>
          <w:b/>
          <w:sz w:val="24"/>
          <w:szCs w:val="24"/>
        </w:rPr>
        <w:t xml:space="preserve">– </w:t>
      </w:r>
      <w:r w:rsidR="004D75C6">
        <w:rPr>
          <w:rFonts w:ascii="Times New Roman" w:hAnsi="Times New Roman"/>
          <w:b/>
          <w:sz w:val="24"/>
          <w:szCs w:val="24"/>
        </w:rPr>
        <w:t xml:space="preserve">CLASSES, FRAÇÕES DE CLASSES DOMINANTES </w:t>
      </w:r>
      <w:r w:rsidR="00422643">
        <w:rPr>
          <w:rFonts w:ascii="Times New Roman" w:hAnsi="Times New Roman"/>
          <w:b/>
          <w:sz w:val="24"/>
          <w:szCs w:val="24"/>
        </w:rPr>
        <w:t xml:space="preserve">E </w:t>
      </w:r>
      <w:r w:rsidR="002E6389">
        <w:rPr>
          <w:rFonts w:ascii="Times New Roman" w:hAnsi="Times New Roman"/>
          <w:b/>
          <w:sz w:val="24"/>
          <w:szCs w:val="24"/>
        </w:rPr>
        <w:t xml:space="preserve">SUAS </w:t>
      </w:r>
      <w:r w:rsidR="004D75C6">
        <w:rPr>
          <w:rFonts w:ascii="Times New Roman" w:hAnsi="Times New Roman"/>
          <w:b/>
          <w:sz w:val="24"/>
          <w:szCs w:val="24"/>
        </w:rPr>
        <w:t>ENTIDADES DA SOCIEDADE CIVIL NO CDES</w:t>
      </w:r>
    </w:p>
    <w:p w:rsidR="004D75C6" w:rsidRPr="00C25709" w:rsidRDefault="004D75C6" w:rsidP="004D75C6">
      <w:pPr>
        <w:jc w:val="center"/>
        <w:rPr>
          <w:rFonts w:ascii="Times New Roman" w:hAnsi="Times New Roman"/>
          <w:b/>
          <w:sz w:val="24"/>
          <w:szCs w:val="24"/>
        </w:rPr>
      </w:pPr>
    </w:p>
    <w:p w:rsidR="00582426" w:rsidRPr="00303FA9" w:rsidRDefault="00582426" w:rsidP="00582426">
      <w:pPr>
        <w:autoSpaceDE w:val="0"/>
        <w:autoSpaceDN w:val="0"/>
        <w:adjustRightInd w:val="0"/>
        <w:spacing w:after="0"/>
        <w:ind w:left="2268"/>
        <w:jc w:val="right"/>
        <w:rPr>
          <w:rFonts w:ascii="Times New Roman" w:hAnsi="Times New Roman"/>
          <w:sz w:val="20"/>
          <w:szCs w:val="20"/>
        </w:rPr>
      </w:pPr>
      <w:r w:rsidRPr="00303FA9">
        <w:rPr>
          <w:rFonts w:ascii="Times New Roman" w:hAnsi="Times New Roman"/>
          <w:i/>
          <w:sz w:val="20"/>
          <w:szCs w:val="20"/>
        </w:rPr>
        <w:t>(...) nesse conselho (...) nós temos uma enorme pluralidade de classes sociais, de orientação política, de visão programática e, provavelmente, também (...) de opções de natureza partidária. (...) neste Conselho está a elite do país, e aqui estou usando o termo elite não do ponto de vista econômico e financeiro, estou usando o termo elite no sentido sócio-político, ou seja, aqui está seguramente representada uma grande parte das pessoas com capacidade de elaboração, de gestão, de representação, de gerenciamento público e privado, que, em última análise, constitui uma gama enorme de cidadãos e cidadãs da sociedade brasileira de todos os grupos e classes sociais</w:t>
      </w:r>
      <w:r w:rsidRPr="00303FA9">
        <w:rPr>
          <w:rFonts w:ascii="Times New Roman" w:hAnsi="Times New Roman"/>
          <w:sz w:val="20"/>
          <w:szCs w:val="20"/>
        </w:rPr>
        <w:t xml:space="preserve"> (Secretário-executivo do CDES, Tarso Genro, ATA da 19ª Reunião Plenária, 24/08/2006, p. 03).</w:t>
      </w:r>
    </w:p>
    <w:p w:rsidR="00582426" w:rsidRPr="00C25709" w:rsidRDefault="00582426" w:rsidP="00582426">
      <w:pPr>
        <w:spacing w:after="0" w:line="360" w:lineRule="auto"/>
        <w:jc w:val="both"/>
        <w:rPr>
          <w:rFonts w:ascii="Times New Roman" w:hAnsi="Times New Roman"/>
          <w:b/>
          <w:sz w:val="24"/>
          <w:szCs w:val="24"/>
        </w:rPr>
      </w:pPr>
    </w:p>
    <w:p w:rsidR="00582426" w:rsidRPr="00C25709" w:rsidRDefault="00582426" w:rsidP="00582426">
      <w:pPr>
        <w:spacing w:after="0" w:line="360" w:lineRule="auto"/>
        <w:jc w:val="both"/>
        <w:rPr>
          <w:rFonts w:ascii="Times New Roman" w:hAnsi="Times New Roman"/>
          <w:b/>
          <w:sz w:val="24"/>
          <w:szCs w:val="24"/>
        </w:rPr>
      </w:pPr>
    </w:p>
    <w:p w:rsidR="00582426" w:rsidRPr="00C25709" w:rsidRDefault="00582426" w:rsidP="00582426">
      <w:pPr>
        <w:spacing w:line="360" w:lineRule="auto"/>
        <w:jc w:val="both"/>
        <w:rPr>
          <w:rFonts w:ascii="Times New Roman" w:hAnsi="Times New Roman"/>
          <w:b/>
          <w:sz w:val="24"/>
          <w:szCs w:val="24"/>
        </w:rPr>
      </w:pPr>
      <w:r w:rsidRPr="00C25709">
        <w:rPr>
          <w:rFonts w:ascii="Times New Roman" w:hAnsi="Times New Roman"/>
          <w:b/>
          <w:sz w:val="24"/>
          <w:szCs w:val="24"/>
        </w:rPr>
        <w:t>2.1 - Hipóteses de trabalho</w:t>
      </w:r>
    </w:p>
    <w:p w:rsidR="00582426" w:rsidRPr="00C25709" w:rsidRDefault="00582426" w:rsidP="00582426">
      <w:pPr>
        <w:spacing w:after="0" w:line="360" w:lineRule="auto"/>
        <w:ind w:firstLine="708"/>
        <w:jc w:val="both"/>
        <w:rPr>
          <w:rFonts w:ascii="Times New Roman" w:hAnsi="Times New Roman"/>
          <w:sz w:val="24"/>
          <w:szCs w:val="24"/>
        </w:rPr>
      </w:pPr>
      <w:r w:rsidRPr="00C25709">
        <w:rPr>
          <w:rFonts w:ascii="Times New Roman" w:hAnsi="Times New Roman"/>
          <w:sz w:val="24"/>
          <w:szCs w:val="24"/>
        </w:rPr>
        <w:t xml:space="preserve">O presente capítulo tem como intuito </w:t>
      </w:r>
      <w:r w:rsidR="006F620B">
        <w:rPr>
          <w:rFonts w:ascii="Times New Roman" w:hAnsi="Times New Roman"/>
          <w:sz w:val="24"/>
          <w:szCs w:val="24"/>
        </w:rPr>
        <w:t>trabalhar</w:t>
      </w:r>
      <w:r w:rsidR="00422643">
        <w:rPr>
          <w:rFonts w:ascii="Times New Roman" w:hAnsi="Times New Roman"/>
          <w:sz w:val="24"/>
          <w:szCs w:val="24"/>
        </w:rPr>
        <w:t xml:space="preserve"> quatro</w:t>
      </w:r>
      <w:r w:rsidRPr="00C25709">
        <w:rPr>
          <w:rFonts w:ascii="Times New Roman" w:hAnsi="Times New Roman"/>
          <w:sz w:val="24"/>
          <w:szCs w:val="24"/>
        </w:rPr>
        <w:t xml:space="preserve"> hipóteses de pesquisa acerca do CDES. Não se pode, contudo, tomá-las de forma separada, o que arriscaria a perda do entendimento do projeto de hegemonia que se está construindo no país desde </w:t>
      </w:r>
      <w:r w:rsidR="00C0307C">
        <w:rPr>
          <w:rFonts w:ascii="Times New Roman" w:hAnsi="Times New Roman"/>
          <w:sz w:val="24"/>
          <w:szCs w:val="24"/>
        </w:rPr>
        <w:t>anos imediatamente anteriores a</w:t>
      </w:r>
      <w:r w:rsidRPr="00C25709">
        <w:rPr>
          <w:rFonts w:ascii="Times New Roman" w:hAnsi="Times New Roman"/>
          <w:sz w:val="24"/>
          <w:szCs w:val="24"/>
        </w:rPr>
        <w:t>o ingresso do PT na esfera estatal de poder. Tais hipóteses remetem, necessariamente, à complexa e espinhosa reflexão entre capitalismo e democracia ou, mais precisamente, entre a ampliação seletiva do Estado brasileiro aos aparelhos privados de hegemonia empresariais por meio de uma arena institucionalizada que informa e educa, ou melhor, constrói uma nova pedagogia da hegemonia</w:t>
      </w:r>
      <w:r w:rsidRPr="00C25709">
        <w:rPr>
          <w:rStyle w:val="Refdenotaderodap"/>
          <w:rFonts w:ascii="Times New Roman" w:hAnsi="Times New Roman"/>
          <w:sz w:val="24"/>
          <w:szCs w:val="24"/>
        </w:rPr>
        <w:footnoteReference w:id="177"/>
      </w:r>
      <w:r w:rsidRPr="00C25709">
        <w:rPr>
          <w:rFonts w:ascii="Times New Roman" w:hAnsi="Times New Roman"/>
          <w:sz w:val="24"/>
          <w:szCs w:val="24"/>
        </w:rPr>
        <w:t xml:space="preserve"> onde se abandona o projeto de organização autônoma da classe trabalhadora, a produção e disseminação de projetos contra-hegemônicos, em favor da adesão às formas de melhor gerenciamento das garantias econômicas e sociais da ordem burguesa. Eis as hipóteses com as quais trabalharemos: </w:t>
      </w:r>
    </w:p>
    <w:p w:rsidR="00582426" w:rsidRPr="00C25709" w:rsidRDefault="00582426" w:rsidP="00582426">
      <w:pPr>
        <w:pStyle w:val="NormalWeb"/>
        <w:numPr>
          <w:ilvl w:val="0"/>
          <w:numId w:val="1"/>
        </w:numPr>
        <w:spacing w:before="0" w:beforeAutospacing="0" w:after="0" w:afterAutospacing="0" w:line="360" w:lineRule="auto"/>
        <w:jc w:val="both"/>
      </w:pPr>
      <w:r w:rsidRPr="00C25709">
        <w:t xml:space="preserve">O Conselho de Desenvolvimento Econômico e Social é uma arena da sociedade política que </w:t>
      </w:r>
      <w:r w:rsidRPr="00C25709">
        <w:rPr>
          <w:i/>
        </w:rPr>
        <w:t>se diz</w:t>
      </w:r>
      <w:r w:rsidRPr="00C25709">
        <w:t xml:space="preserve"> representativa dos interesses e demandas de diversas entidades da sociedade civil brasileira, mas que é </w:t>
      </w:r>
      <w:r w:rsidRPr="00C25709">
        <w:rPr>
          <w:i/>
        </w:rPr>
        <w:t>de fato</w:t>
      </w:r>
      <w:r w:rsidRPr="00C25709">
        <w:t xml:space="preserve"> uma agência estatal permeada pelas frações burguesas do capital em geral e pela </w:t>
      </w:r>
      <w:r w:rsidRPr="00094D22">
        <w:rPr>
          <w:i/>
        </w:rPr>
        <w:t>predominância d</w:t>
      </w:r>
      <w:r w:rsidR="00E451BC" w:rsidRPr="00094D22">
        <w:rPr>
          <w:i/>
        </w:rPr>
        <w:t xml:space="preserve">e </w:t>
      </w:r>
      <w:r w:rsidR="00E01193" w:rsidRPr="00094D22">
        <w:rPr>
          <w:i/>
        </w:rPr>
        <w:t xml:space="preserve">distintos </w:t>
      </w:r>
      <w:r w:rsidR="00E451BC" w:rsidRPr="00094D22">
        <w:rPr>
          <w:i/>
        </w:rPr>
        <w:t>setores da</w:t>
      </w:r>
      <w:r w:rsidRPr="00094D22">
        <w:rPr>
          <w:i/>
        </w:rPr>
        <w:t xml:space="preserve"> fração </w:t>
      </w:r>
      <w:r w:rsidR="00E4096B">
        <w:rPr>
          <w:i/>
        </w:rPr>
        <w:t xml:space="preserve">do capital </w:t>
      </w:r>
      <w:r w:rsidR="00AC550A" w:rsidRPr="00094D22">
        <w:rPr>
          <w:i/>
        </w:rPr>
        <w:t>produtora de valor</w:t>
      </w:r>
      <w:r w:rsidR="00E4096B">
        <w:rPr>
          <w:i/>
        </w:rPr>
        <w:t xml:space="preserve">. </w:t>
      </w:r>
      <w:r w:rsidRPr="00C25709">
        <w:t>Mais da metade da composição social da plenária do Conselho durante os governos Lula da Silva comportava conselheiros</w:t>
      </w:r>
      <w:r w:rsidR="000E2F38">
        <w:t xml:space="preserve">-empresários </w:t>
      </w:r>
      <w:r w:rsidRPr="00C25709">
        <w:rPr>
          <w:i/>
        </w:rPr>
        <w:t>diretamente</w:t>
      </w:r>
      <w:r w:rsidRPr="00C25709">
        <w:t xml:space="preserve"> vinculados aos grandes grupos econômicos e firmas ins</w:t>
      </w:r>
      <w:r w:rsidR="000E2F38">
        <w:t>talados no Brasil e</w:t>
      </w:r>
      <w:r w:rsidRPr="00C25709">
        <w:t xml:space="preserve"> estavam organizados em aparelhos privados de hegemonia de cunho empresarial de vários tipos e funções. </w:t>
      </w:r>
    </w:p>
    <w:p w:rsidR="00582426" w:rsidRPr="00094D22" w:rsidRDefault="00A20EB1" w:rsidP="00582426">
      <w:pPr>
        <w:pStyle w:val="NormalWeb"/>
        <w:numPr>
          <w:ilvl w:val="0"/>
          <w:numId w:val="1"/>
        </w:numPr>
        <w:spacing w:before="0" w:beforeAutospacing="0" w:after="0" w:afterAutospacing="0" w:line="360" w:lineRule="auto"/>
        <w:jc w:val="both"/>
      </w:pPr>
      <w:r w:rsidRPr="00094D22">
        <w:t>Os conselheiros-empresários c</w:t>
      </w:r>
      <w:r w:rsidR="00254DA5" w:rsidRPr="00094D22">
        <w:t>redenciavam-se como autênticos</w:t>
      </w:r>
      <w:r w:rsidR="000E2F38" w:rsidRPr="00094D22">
        <w:rPr>
          <w:i/>
        </w:rPr>
        <w:t xml:space="preserve">intelectuais </w:t>
      </w:r>
      <w:r w:rsidR="00EA5DDF" w:rsidRPr="00094D22">
        <w:rPr>
          <w:i/>
        </w:rPr>
        <w:t>orgânicos</w:t>
      </w:r>
      <w:r w:rsidR="000E2F38" w:rsidRPr="00094D22">
        <w:rPr>
          <w:i/>
        </w:rPr>
        <w:t xml:space="preserve">do </w:t>
      </w:r>
      <w:r w:rsidR="00EA5DDF" w:rsidRPr="00094D22">
        <w:rPr>
          <w:i/>
        </w:rPr>
        <w:t>grande capital monopolista</w:t>
      </w:r>
      <w:r w:rsidR="000E2F38" w:rsidRPr="00094D22">
        <w:t>,</w:t>
      </w:r>
      <w:r w:rsidR="00EA5DDF" w:rsidRPr="00094D22">
        <w:t xml:space="preserve"> ou seja, </w:t>
      </w:r>
      <w:r w:rsidR="00254DA5" w:rsidRPr="00094D22">
        <w:t xml:space="preserve">eram </w:t>
      </w:r>
      <w:r w:rsidR="00EA5DDF" w:rsidRPr="00094D22">
        <w:t>proprietários, s</w:t>
      </w:r>
      <w:r w:rsidR="005D72BB">
        <w:t>o</w:t>
      </w:r>
      <w:r w:rsidR="00EA5DDF" w:rsidRPr="00094D22">
        <w:t>cioproprietários e/ou prepostosdiretos dos meios e recursos sociais de produção</w:t>
      </w:r>
      <w:r w:rsidR="006719F5" w:rsidRPr="00094D22">
        <w:t>, organizadores</w:t>
      </w:r>
      <w:r w:rsidR="00C90668" w:rsidRPr="00094D22">
        <w:t xml:space="preserve">, desde a sociedade civil, </w:t>
      </w:r>
      <w:r w:rsidR="006719F5" w:rsidRPr="00094D22">
        <w:t xml:space="preserve">de </w:t>
      </w:r>
      <w:r w:rsidR="00C90668" w:rsidRPr="00094D22">
        <w:t>aparelho(s) privado(s) de hegemonia</w:t>
      </w:r>
      <w:r w:rsidR="006719F5" w:rsidRPr="00094D22">
        <w:t xml:space="preserve"> empresariais</w:t>
      </w:r>
      <w:r w:rsidR="004423D7">
        <w:t>. Dos 88</w:t>
      </w:r>
      <w:r w:rsidR="00EA5DDF" w:rsidRPr="00094D22">
        <w:t xml:space="preserve"> empresários que passaram pelo CDES </w:t>
      </w:r>
      <w:r w:rsidR="00254DA5" w:rsidRPr="00094D22">
        <w:t>entre 2003 e 2010,</w:t>
      </w:r>
      <w:r w:rsidR="00EA5DDF" w:rsidRPr="00094D22">
        <w:t xml:space="preserve"> 62 deles, isto é, </w:t>
      </w:r>
      <w:r w:rsidR="00EA5DDF" w:rsidRPr="00094D22">
        <w:rPr>
          <w:i/>
        </w:rPr>
        <w:t xml:space="preserve">70% eram mega-empresários </w:t>
      </w:r>
      <w:r w:rsidR="00C90668" w:rsidRPr="00094D22">
        <w:rPr>
          <w:i/>
        </w:rPr>
        <w:t xml:space="preserve">organizadores </w:t>
      </w:r>
      <w:r w:rsidRPr="00094D22">
        <w:rPr>
          <w:i/>
        </w:rPr>
        <w:t xml:space="preserve">e condensadores </w:t>
      </w:r>
      <w:r w:rsidR="00EA5DDF" w:rsidRPr="00094D22">
        <w:rPr>
          <w:i/>
        </w:rPr>
        <w:t>do grande capital</w:t>
      </w:r>
      <w:r w:rsidR="006719F5" w:rsidRPr="00094D22">
        <w:rPr>
          <w:i/>
        </w:rPr>
        <w:t xml:space="preserve"> nos planos econômicos, políticos e </w:t>
      </w:r>
      <w:r w:rsidR="00254DA5" w:rsidRPr="00094D22">
        <w:rPr>
          <w:i/>
        </w:rPr>
        <w:t>s</w:t>
      </w:r>
      <w:r w:rsidR="00CA0999">
        <w:rPr>
          <w:i/>
        </w:rPr>
        <w:t>o</w:t>
      </w:r>
      <w:r w:rsidR="00254DA5" w:rsidRPr="00094D22">
        <w:rPr>
          <w:i/>
        </w:rPr>
        <w:t>cio</w:t>
      </w:r>
      <w:r w:rsidR="006719F5" w:rsidRPr="00094D22">
        <w:rPr>
          <w:i/>
        </w:rPr>
        <w:t>culturais</w:t>
      </w:r>
      <w:r w:rsidR="00EA5DDF" w:rsidRPr="00094D22">
        <w:t xml:space="preserve">. Neste cômputo não entraram os presidentes </w:t>
      </w:r>
      <w:r w:rsidR="00C90668" w:rsidRPr="00094D22">
        <w:t xml:space="preserve"> e diretores </w:t>
      </w:r>
      <w:r w:rsidR="00EA5DDF" w:rsidRPr="00094D22">
        <w:t xml:space="preserve">de entidades e </w:t>
      </w:r>
      <w:r w:rsidR="00C90668" w:rsidRPr="00094D22">
        <w:t xml:space="preserve">de importantes </w:t>
      </w:r>
      <w:r w:rsidR="00EA5DDF" w:rsidRPr="00094D22">
        <w:t>aparelhos privados de hegemonia do grande capital (</w:t>
      </w:r>
      <w:r w:rsidR="000834BC">
        <w:t>FIESP</w:t>
      </w:r>
      <w:r w:rsidR="00EA5DDF" w:rsidRPr="00094D22">
        <w:t>, CNI, ANFAVEA, ABDIB, FEBRAFARMA,</w:t>
      </w:r>
      <w:r w:rsidR="00C90668" w:rsidRPr="00094D22">
        <w:t xml:space="preserve"> etc)que não estavam diretamente </w:t>
      </w:r>
      <w:r w:rsidR="00254DA5" w:rsidRPr="00094D22">
        <w:t>vinculados ao exercício das atividades econômicas empresariais</w:t>
      </w:r>
      <w:r w:rsidR="000C7CF7">
        <w:t>, mas que integravam o CDES</w:t>
      </w:r>
      <w:r w:rsidR="00C90668" w:rsidRPr="00094D22">
        <w:t xml:space="preserve">. </w:t>
      </w:r>
      <w:r w:rsidR="00582426" w:rsidRPr="00094D22">
        <w:t xml:space="preserve">De todo modo, a </w:t>
      </w:r>
      <w:r w:rsidR="00582426" w:rsidRPr="00094D22">
        <w:rPr>
          <w:i/>
        </w:rPr>
        <w:t xml:space="preserve">raison d’être </w:t>
      </w:r>
      <w:r w:rsidR="00582426" w:rsidRPr="00094D22">
        <w:t xml:space="preserve">do Conselho não era o atendimento das </w:t>
      </w:r>
      <w:r w:rsidR="00EF2EC3">
        <w:t xml:space="preserve">reivindicações </w:t>
      </w:r>
      <w:r w:rsidR="00582426" w:rsidRPr="00094D22">
        <w:t>e projetos dos setores populares mas, ao contrário, daqueles afinados ao do grande capital.</w:t>
      </w:r>
    </w:p>
    <w:p w:rsidR="00EA5DDF" w:rsidRPr="00094D22" w:rsidRDefault="007E4791" w:rsidP="00582426">
      <w:pPr>
        <w:pStyle w:val="NormalWeb"/>
        <w:numPr>
          <w:ilvl w:val="0"/>
          <w:numId w:val="1"/>
        </w:numPr>
        <w:spacing w:before="0" w:beforeAutospacing="0" w:after="0" w:afterAutospacing="0" w:line="360" w:lineRule="auto"/>
        <w:jc w:val="both"/>
      </w:pPr>
      <w:r w:rsidRPr="00094D22">
        <w:t xml:space="preserve">Havia, dentre os conselheiros-empresários, uma </w:t>
      </w:r>
      <w:r w:rsidR="006C102C" w:rsidRPr="00094D22">
        <w:t>extensa</w:t>
      </w:r>
      <w:r w:rsidR="00A20EB1" w:rsidRPr="00094D22">
        <w:t xml:space="preserve">e complexa </w:t>
      </w:r>
      <w:r w:rsidRPr="00094D22">
        <w:t xml:space="preserve">rede de entrelaçamento de três tipos: i) interpenetração de capitais, a partir da atuação dos grupos </w:t>
      </w:r>
      <w:r w:rsidR="006C102C" w:rsidRPr="00094D22">
        <w:t xml:space="preserve">econômicos </w:t>
      </w:r>
      <w:r w:rsidRPr="00094D22">
        <w:t xml:space="preserve">e firmas que representavam em várias atividades e setores econômicos; ii) atuação em redes associativas </w:t>
      </w:r>
      <w:r w:rsidR="00A20EB1" w:rsidRPr="00094D22">
        <w:t xml:space="preserve">da sociedade civil empresarial </w:t>
      </w:r>
      <w:r w:rsidRPr="00094D22">
        <w:t>de funções e tipos distintos; iii) interconexões no âmbito da sociedade política para além do Conselho (outros órgãos, agências e aparelhos do Estado).</w:t>
      </w:r>
    </w:p>
    <w:p w:rsidR="00582426" w:rsidRPr="00C25709" w:rsidRDefault="00582426" w:rsidP="00582426">
      <w:pPr>
        <w:pStyle w:val="NormalWeb"/>
        <w:numPr>
          <w:ilvl w:val="0"/>
          <w:numId w:val="1"/>
        </w:numPr>
        <w:spacing w:before="0" w:beforeAutospacing="0" w:after="0" w:afterAutospacing="0" w:line="360" w:lineRule="auto"/>
        <w:ind w:left="709"/>
        <w:jc w:val="both"/>
      </w:pPr>
      <w:r w:rsidRPr="00C25709">
        <w:t>Em relação direta com a</w:t>
      </w:r>
      <w:r w:rsidR="006C102C">
        <w:t>s hipóteses</w:t>
      </w:r>
      <w:r w:rsidRPr="00C25709">
        <w:t xml:space="preserve"> anterior</w:t>
      </w:r>
      <w:r w:rsidR="006C102C">
        <w:t>es</w:t>
      </w:r>
      <w:r w:rsidRPr="00C25709">
        <w:t>, trabalharemos com a hipótese de que o CDES tentava construir e assegurar uma espécie de “democracia invertida” ou de “democracia às avessas”, na qual a maioria real do conjunto de forças da sociedade brasileira ficava reduzida a uma minoria efetiva, em cujo interior predominavam grandes empresários e seus prepostos. A composição social do CDES de certo alterava a lógica da representação democrática, mas para tanto precisava se acoplar ao substrato ideológico do “novo contrato social” e a um difuso projeto de “desenvolvimento sustentado” que procurava lhe garantir coesão interna e consenso ativo dos demais setores ali representados, disciplinando a luta de classes.</w:t>
      </w:r>
    </w:p>
    <w:p w:rsidR="00582426" w:rsidRPr="00C25709" w:rsidRDefault="00582426" w:rsidP="00582426">
      <w:pPr>
        <w:spacing w:after="0" w:line="360" w:lineRule="auto"/>
        <w:ind w:firstLine="708"/>
        <w:jc w:val="both"/>
        <w:rPr>
          <w:rFonts w:ascii="Times New Roman" w:hAnsi="Times New Roman"/>
          <w:sz w:val="24"/>
          <w:szCs w:val="24"/>
        </w:rPr>
      </w:pPr>
      <w:r w:rsidRPr="00C25709">
        <w:rPr>
          <w:rFonts w:ascii="Times New Roman" w:hAnsi="Times New Roman"/>
          <w:sz w:val="24"/>
          <w:szCs w:val="24"/>
        </w:rPr>
        <w:t>Apresentar-se como uma arena democratizante do Estado brasileiro é, desde sua criação, uma tarefa bastante comum entre os membros do governo responsáveis pela estruturação, organização e administração do CDES (funcionários da Secretaria do Conselho de Desenvolvimento Econômico e Social – SEDES), mas também de grande parte dos analistas e estudiosos que o investigaram, alguns deles conselheiros. Arriscaria afirmar que a fórmula de “democratização” do Estado ganhou grande impulso sob a gestão dos governos Lula da Silva, a partir da criação de numerosos Conselhos Gestores de Política Pública, com a participação de lideranças da sociedade civil organizada na formulação de políticas públicas de caráter setorial ou de temáticas abrangentes, sendo apresentada e propalada como um marco diferencial no que tange às relações entre Estado e Sociedade no Brasil. Há vasta literatura sobre o tema e, de fato, dados mostram o crescimento vertiginoso da instauração de Conselhos e Conferências acerca de áreas específicas (como Saúde, Assistência Social, Criança e Adolescente) e de políticas de desenvolvimento local, regional e nacional.</w:t>
      </w:r>
    </w:p>
    <w:p w:rsidR="00582426" w:rsidRPr="00C25709" w:rsidRDefault="00EF2EC3"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Não entraremos </w:t>
      </w:r>
      <w:r w:rsidR="00582426" w:rsidRPr="00C25709">
        <w:rPr>
          <w:rFonts w:ascii="Times New Roman" w:hAnsi="Times New Roman"/>
          <w:sz w:val="24"/>
          <w:szCs w:val="24"/>
        </w:rPr>
        <w:t>na discussão se e em que medida tais arenas e fóruns, promovidos e sustentados pelas instâncias estatais, em diferentes níveis, estabelecem uma política em que as reivindicações e anseios dos setores populares e suas organizações e/ou movimentos estão presentes e, principalmente, direcionam o conjunto das diretrizes encaminhadas. Tampouco entraremos na discussão se e quando são estabelecidas, tornam-se “política de Estado”, isto é, são efetivamente implementadas pelas distintas administrações públicas, sobrevivendo aos governos ocasionais. Há, ainda, uma questão de fundo realmente decisiva para aqueles que - como nós - se interrogam se a democratização da política sem a correlata democratização da economia é algo desejável como fim em si mesmo e, no limite, possível quando direcionada à construção de um organismo social primado pelo autogoverno dos produtores associados.</w:t>
      </w:r>
    </w:p>
    <w:p w:rsidR="00582426" w:rsidRPr="00C25709" w:rsidRDefault="00582426" w:rsidP="00582426">
      <w:pPr>
        <w:spacing w:after="0" w:line="360" w:lineRule="auto"/>
        <w:ind w:firstLine="708"/>
        <w:jc w:val="both"/>
        <w:rPr>
          <w:rFonts w:ascii="Times New Roman" w:hAnsi="Times New Roman"/>
          <w:sz w:val="24"/>
          <w:szCs w:val="24"/>
        </w:rPr>
      </w:pPr>
      <w:r w:rsidRPr="00C25709">
        <w:rPr>
          <w:rFonts w:ascii="Times New Roman" w:hAnsi="Times New Roman"/>
          <w:sz w:val="24"/>
          <w:szCs w:val="24"/>
        </w:rPr>
        <w:t>É precisamente a interrogação anterior – acerca do apartamento entre o político e o econômico nas sociedades capitalistas contemporâneas – que nos motiva investigar um Conselho formulador de políticas públicas desde a sua composição classista. Não se trata aqui de direcionar o debate acerca das diferentes posições das correntes marxistas no que tange a questão democrática, mas o de contribuir para o descortinamento do</w:t>
      </w:r>
      <w:r w:rsidRPr="00C25709">
        <w:rPr>
          <w:rFonts w:ascii="Times New Roman" w:hAnsi="Times New Roman"/>
          <w:i/>
          <w:sz w:val="24"/>
          <w:szCs w:val="24"/>
        </w:rPr>
        <w:t xml:space="preserve"> conteúdo social do Estado </w:t>
      </w:r>
      <w:r w:rsidRPr="00C25709">
        <w:rPr>
          <w:rFonts w:ascii="Times New Roman" w:hAnsi="Times New Roman"/>
          <w:sz w:val="24"/>
          <w:szCs w:val="24"/>
        </w:rPr>
        <w:t xml:space="preserve">no Brasil recente, através do estudo da presença das frações das classes dominantes numa instância (o CDES) cuja criação e legitimação traziam como aposta a “democratização” do Estado, por meio dos mecanismos de formulação e decisão de políticas públicas “pactuados” entre seus protagonistas: governo e entidades da sociedade civil.  </w:t>
      </w:r>
    </w:p>
    <w:p w:rsidR="00582426" w:rsidRPr="00C25709" w:rsidRDefault="00582426" w:rsidP="00582426">
      <w:pPr>
        <w:spacing w:line="360" w:lineRule="auto"/>
        <w:ind w:firstLine="708"/>
        <w:jc w:val="both"/>
        <w:rPr>
          <w:rFonts w:ascii="Times New Roman" w:hAnsi="Times New Roman"/>
          <w:sz w:val="24"/>
          <w:szCs w:val="24"/>
        </w:rPr>
      </w:pPr>
      <w:r w:rsidRPr="00C25709">
        <w:rPr>
          <w:rFonts w:ascii="Times New Roman" w:hAnsi="Times New Roman"/>
          <w:sz w:val="24"/>
          <w:szCs w:val="24"/>
        </w:rPr>
        <w:t xml:space="preserve">Diante da diversidade de sujeitos coletivos em presença e aliado a uma percepção angelical e, no limite, despolitizadora de “sociedade civil”, os idealizadores, organizadores e estudiosos do CDES o tomam </w:t>
      </w:r>
      <w:r w:rsidRPr="00C25709">
        <w:rPr>
          <w:rFonts w:ascii="Times New Roman" w:hAnsi="Times New Roman"/>
          <w:i/>
          <w:sz w:val="24"/>
          <w:szCs w:val="24"/>
        </w:rPr>
        <w:t>intrinsecamente</w:t>
      </w:r>
      <w:r w:rsidRPr="00C25709">
        <w:rPr>
          <w:rFonts w:ascii="Times New Roman" w:hAnsi="Times New Roman"/>
          <w:sz w:val="24"/>
          <w:szCs w:val="24"/>
        </w:rPr>
        <w:t xml:space="preserve"> como capaz de construir um projeto de desenvolvimento capitalista “com equidade e distribuição de renda”. Não há, desta forma, estudos sobre a </w:t>
      </w:r>
      <w:r w:rsidRPr="00C25709">
        <w:rPr>
          <w:rFonts w:ascii="Times New Roman" w:hAnsi="Times New Roman"/>
          <w:i/>
          <w:sz w:val="24"/>
          <w:szCs w:val="24"/>
        </w:rPr>
        <w:t xml:space="preserve">composição de classe </w:t>
      </w:r>
      <w:r w:rsidRPr="00C25709">
        <w:rPr>
          <w:rFonts w:ascii="Times New Roman" w:hAnsi="Times New Roman"/>
          <w:sz w:val="24"/>
          <w:szCs w:val="24"/>
        </w:rPr>
        <w:t xml:space="preserve">do CDES dentre seus analistas </w:t>
      </w:r>
      <w:r w:rsidRPr="00C25709">
        <w:rPr>
          <w:rFonts w:ascii="Times New Roman" w:hAnsi="Times New Roman"/>
          <w:i/>
          <w:sz w:val="24"/>
          <w:szCs w:val="24"/>
        </w:rPr>
        <w:t xml:space="preserve">porque o tomam como instância onde todos detêm mecanismos igualitários de formulação, intervenção e atuação </w:t>
      </w:r>
      <w:r w:rsidRPr="00C25709">
        <w:rPr>
          <w:rFonts w:ascii="Times New Roman" w:hAnsi="Times New Roman"/>
          <w:sz w:val="24"/>
          <w:szCs w:val="24"/>
        </w:rPr>
        <w:t>tal qual advogado pelos teóricos da democracia representativa</w:t>
      </w:r>
      <w:r w:rsidRPr="00C25709">
        <w:rPr>
          <w:rFonts w:ascii="Times New Roman" w:hAnsi="Times New Roman"/>
          <w:i/>
          <w:sz w:val="24"/>
          <w:szCs w:val="24"/>
        </w:rPr>
        <w:t>.</w:t>
      </w:r>
      <w:r w:rsidRPr="00C25709">
        <w:rPr>
          <w:rFonts w:ascii="Times New Roman" w:hAnsi="Times New Roman"/>
          <w:sz w:val="24"/>
          <w:szCs w:val="24"/>
        </w:rPr>
        <w:t xml:space="preserve"> Os constrangimentos econômicos, advindos do terreno da sociedade civil (nos termos de Marx), da organização dos sujeitos coletivos que a compõem em aparelhos privados de hegemonia (na acepção de Gramsci), são cuidadosamente secundarizados de forma que, em que pese reconhecê-los, não devem obstaculizar a definição de “consensos mínimos”, em que os “mínimos” jamais devem pôr em questão os instrumentos e mecanismos estruturantes da reprodução e ampliação das frações de capitais ali representados. Desig</w:t>
      </w:r>
      <w:r w:rsidR="00EF2EC3">
        <w:rPr>
          <w:rFonts w:ascii="Times New Roman" w:hAnsi="Times New Roman"/>
          <w:sz w:val="24"/>
          <w:szCs w:val="24"/>
        </w:rPr>
        <w:t>ualdade de poder econômico estava</w:t>
      </w:r>
      <w:r w:rsidRPr="00C25709">
        <w:rPr>
          <w:rFonts w:ascii="Times New Roman" w:hAnsi="Times New Roman"/>
          <w:sz w:val="24"/>
          <w:szCs w:val="24"/>
        </w:rPr>
        <w:t>, des</w:t>
      </w:r>
      <w:r w:rsidR="00EF2EC3">
        <w:rPr>
          <w:rFonts w:ascii="Times New Roman" w:hAnsi="Times New Roman"/>
          <w:sz w:val="24"/>
          <w:szCs w:val="24"/>
        </w:rPr>
        <w:t>ta maneira, devidamente expulso</w:t>
      </w:r>
      <w:r w:rsidRPr="00C25709">
        <w:rPr>
          <w:rFonts w:ascii="Times New Roman" w:hAnsi="Times New Roman"/>
          <w:sz w:val="24"/>
          <w:szCs w:val="24"/>
        </w:rPr>
        <w:t xml:space="preserve"> do ideário e das análises do e sobre o Conselho, mas repostos de forma dramática na realidade tanto de sua composição interna quanto de suas deliberações, o que abre caminho mais seguro para os projetos de hegemonia.</w:t>
      </w:r>
    </w:p>
    <w:p w:rsidR="00582426" w:rsidRPr="00FD501D" w:rsidRDefault="00582426" w:rsidP="00582426">
      <w:pPr>
        <w:spacing w:line="360" w:lineRule="auto"/>
        <w:jc w:val="both"/>
        <w:rPr>
          <w:rFonts w:ascii="Times New Roman" w:hAnsi="Times New Roman"/>
          <w:b/>
          <w:sz w:val="24"/>
          <w:szCs w:val="24"/>
        </w:rPr>
      </w:pPr>
      <w:r>
        <w:rPr>
          <w:rFonts w:ascii="Times New Roman" w:hAnsi="Times New Roman"/>
          <w:b/>
          <w:sz w:val="24"/>
          <w:szCs w:val="24"/>
        </w:rPr>
        <w:t>2.2 - Os segmentos não empresariais no CDES</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Antes de adentrarmos na análise do segmento empresarial atuante no Conselho, cabe sumariamente tratar dos demais segmentos sociais presentes, aqui denominados de sindicalistas, demais entidades da sociedade civil e acadêmicos e personalidades. Aqueles (poucos) autores que chegaram a realizar uma classificação das categorias sociais presentes no Conselho a fizeram somente para o ano de sua formação, em 2003, sendo próximas, ou com poucas alterações, as nomenclaturas aqui utilizadas, o mesmo não ocorrendo em relação às categorizações (em especial do empresariado) dos conselheiros não pertencentes ao alt</w:t>
      </w:r>
      <w:r w:rsidR="00681411">
        <w:rPr>
          <w:rFonts w:ascii="Times New Roman" w:hAnsi="Times New Roman"/>
          <w:sz w:val="24"/>
          <w:szCs w:val="24"/>
        </w:rPr>
        <w:t>o escalão do governo</w:t>
      </w:r>
      <w:r>
        <w:rPr>
          <w:rFonts w:ascii="Times New Roman" w:hAnsi="Times New Roman"/>
          <w:sz w:val="24"/>
          <w:szCs w:val="24"/>
        </w:rPr>
        <w:t>.</w:t>
      </w:r>
    </w:p>
    <w:p w:rsidR="00582426" w:rsidRDefault="00582426" w:rsidP="00582426">
      <w:pPr>
        <w:spacing w:after="0" w:line="360" w:lineRule="auto"/>
        <w:ind w:firstLine="708"/>
        <w:jc w:val="both"/>
        <w:rPr>
          <w:rFonts w:ascii="Times New Roman" w:hAnsi="Times New Roman"/>
          <w:b/>
          <w:sz w:val="24"/>
          <w:szCs w:val="24"/>
        </w:rPr>
      </w:pPr>
    </w:p>
    <w:p w:rsidR="00582426" w:rsidRDefault="00582426" w:rsidP="00582426">
      <w:pPr>
        <w:spacing w:line="360" w:lineRule="auto"/>
        <w:ind w:firstLine="708"/>
        <w:jc w:val="both"/>
        <w:rPr>
          <w:rFonts w:ascii="Times New Roman" w:hAnsi="Times New Roman"/>
          <w:sz w:val="24"/>
          <w:szCs w:val="24"/>
        </w:rPr>
      </w:pPr>
      <w:r>
        <w:rPr>
          <w:rFonts w:ascii="Times New Roman" w:hAnsi="Times New Roman"/>
          <w:b/>
          <w:sz w:val="24"/>
          <w:szCs w:val="24"/>
        </w:rPr>
        <w:t xml:space="preserve">2.2.1 – O sindicalismo laboral </w:t>
      </w:r>
    </w:p>
    <w:p w:rsidR="00582426" w:rsidRDefault="00582426" w:rsidP="00582426">
      <w:pPr>
        <w:spacing w:line="360" w:lineRule="auto"/>
        <w:jc w:val="both"/>
        <w:rPr>
          <w:rFonts w:ascii="Times New Roman" w:hAnsi="Times New Roman"/>
          <w:sz w:val="24"/>
          <w:szCs w:val="24"/>
        </w:rPr>
      </w:pPr>
      <w:r>
        <w:rPr>
          <w:rFonts w:ascii="Times New Roman" w:hAnsi="Times New Roman"/>
          <w:sz w:val="24"/>
          <w:szCs w:val="24"/>
        </w:rPr>
        <w:tab/>
        <w:t xml:space="preserve">Os sindicalistas correspondem àqueles que construíram sua trajetória </w:t>
      </w:r>
      <w:r w:rsidR="00BF61AD">
        <w:rPr>
          <w:rFonts w:ascii="Times New Roman" w:hAnsi="Times New Roman"/>
          <w:sz w:val="24"/>
          <w:szCs w:val="24"/>
        </w:rPr>
        <w:t>n</w:t>
      </w:r>
      <w:r>
        <w:rPr>
          <w:rFonts w:ascii="Times New Roman" w:hAnsi="Times New Roman"/>
          <w:sz w:val="24"/>
          <w:szCs w:val="24"/>
        </w:rPr>
        <w:t xml:space="preserve">os principais sindicatos e centrais sindicais do país. </w:t>
      </w:r>
      <w:r w:rsidR="00511590">
        <w:rPr>
          <w:rFonts w:ascii="Times New Roman" w:hAnsi="Times New Roman"/>
          <w:sz w:val="24"/>
          <w:szCs w:val="24"/>
        </w:rPr>
        <w:t>Credenciavam-se como lideranças da burocracia sindical e n</w:t>
      </w:r>
      <w:r>
        <w:rPr>
          <w:rFonts w:ascii="Times New Roman" w:hAnsi="Times New Roman"/>
          <w:sz w:val="24"/>
          <w:szCs w:val="24"/>
        </w:rPr>
        <w:t xml:space="preserve">ão estavam, necessariamente, atuantes na prática sindical quando da sua nomeação para integrar o Conselho. Sua força numérica </w:t>
      </w:r>
      <w:r w:rsidR="00BF61AD">
        <w:rPr>
          <w:rFonts w:ascii="Times New Roman" w:hAnsi="Times New Roman"/>
          <w:sz w:val="24"/>
          <w:szCs w:val="24"/>
        </w:rPr>
        <w:t xml:space="preserve">em relação </w:t>
      </w:r>
      <w:r>
        <w:rPr>
          <w:rFonts w:ascii="Times New Roman" w:hAnsi="Times New Roman"/>
          <w:sz w:val="24"/>
          <w:szCs w:val="24"/>
        </w:rPr>
        <w:t>aos outros segmentos (demais entidades da sociedade civil e acadêmicos e personalidades), como veremos no gráfico 2.1, abaixo, somente os excedem em 2009 e 2010. Durante todo o primeiro governo Lula da Silva, a representatividade dos sindicalistas ficou aquém de todos os agrupamentos aqui trabalhados, tendo recuperação apenas a partir de 2007. Foram cinco as Centrais Sindicais representadas no CDES, merecendo destaque, sem surpresas, a super-representação da CUT. Vale a pena observa</w:t>
      </w:r>
      <w:r w:rsidR="007B5782">
        <w:rPr>
          <w:rFonts w:ascii="Times New Roman" w:hAnsi="Times New Roman"/>
          <w:sz w:val="24"/>
          <w:szCs w:val="24"/>
        </w:rPr>
        <w:t>r</w:t>
      </w:r>
      <w:r>
        <w:rPr>
          <w:rFonts w:ascii="Times New Roman" w:hAnsi="Times New Roman"/>
          <w:sz w:val="24"/>
          <w:szCs w:val="24"/>
        </w:rPr>
        <w:t>mos o quadro 2.1, a seguir, que apresenta os conselheiros-sindicalistas e as centrais sindicais a</w:t>
      </w:r>
      <w:r w:rsidR="007B5782">
        <w:rPr>
          <w:rFonts w:ascii="Times New Roman" w:hAnsi="Times New Roman"/>
          <w:sz w:val="24"/>
          <w:szCs w:val="24"/>
        </w:rPr>
        <w:t>s</w:t>
      </w:r>
      <w:r>
        <w:rPr>
          <w:rFonts w:ascii="Times New Roman" w:hAnsi="Times New Roman"/>
          <w:sz w:val="24"/>
          <w:szCs w:val="24"/>
        </w:rPr>
        <w:t xml:space="preserve"> quais pertencem. O quadro resgata a presença deste segmento no CDES de forma cumulativa, isto é, sem considerar o fluxo bianual de alterações da sua plenária: </w:t>
      </w:r>
    </w:p>
    <w:p w:rsidR="00582426" w:rsidRPr="00582426" w:rsidRDefault="00582426" w:rsidP="00582426">
      <w:pPr>
        <w:spacing w:line="360" w:lineRule="auto"/>
        <w:jc w:val="center"/>
        <w:rPr>
          <w:rFonts w:ascii="Times New Roman" w:hAnsi="Times New Roman"/>
          <w:b/>
          <w:sz w:val="24"/>
          <w:szCs w:val="24"/>
          <w:u w:val="single"/>
        </w:rPr>
      </w:pPr>
      <w:r w:rsidRPr="008721DB">
        <w:rPr>
          <w:rFonts w:ascii="Times New Roman" w:hAnsi="Times New Roman"/>
          <w:b/>
          <w:sz w:val="24"/>
          <w:szCs w:val="24"/>
        </w:rPr>
        <w:t xml:space="preserve">Quadro </w:t>
      </w:r>
      <w:r>
        <w:rPr>
          <w:rFonts w:ascii="Times New Roman" w:hAnsi="Times New Roman"/>
          <w:b/>
          <w:sz w:val="24"/>
          <w:szCs w:val="24"/>
        </w:rPr>
        <w:t>2.1</w:t>
      </w:r>
      <w:r w:rsidRPr="008721DB">
        <w:rPr>
          <w:rFonts w:ascii="Times New Roman" w:hAnsi="Times New Roman"/>
          <w:b/>
          <w:sz w:val="24"/>
          <w:szCs w:val="24"/>
        </w:rPr>
        <w:t xml:space="preserve"> – Centrais Sindicais presentes no CDES (2003-2010</w:t>
      </w:r>
      <w:r w:rsidRPr="00582426">
        <w:rPr>
          <w:rFonts w:ascii="Times New Roman" w:hAnsi="Times New Roman"/>
          <w:b/>
          <w:sz w:val="24"/>
          <w:szCs w:val="24"/>
        </w:rPr>
        <w:t>)</w:t>
      </w:r>
      <w:r w:rsidRPr="00582426">
        <w:rPr>
          <w:rStyle w:val="Refdenotaderodap"/>
          <w:rFonts w:ascii="Times New Roman" w:hAnsi="Times New Roman"/>
          <w:b/>
          <w:sz w:val="24"/>
          <w:szCs w:val="24"/>
        </w:rPr>
        <w:footnoteReference w:id="178"/>
      </w:r>
    </w:p>
    <w:tbl>
      <w:tblPr>
        <w:tblW w:w="4877"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3020"/>
        <w:gridCol w:w="5251"/>
        <w:gridCol w:w="788"/>
      </w:tblGrid>
      <w:tr w:rsidR="00582426" w:rsidRPr="008211FD" w:rsidTr="00582426">
        <w:tc>
          <w:tcPr>
            <w:tcW w:w="1667" w:type="pct"/>
            <w:tcBorders>
              <w:top w:val="single" w:sz="8" w:space="0" w:color="4F81BD"/>
              <w:left w:val="single" w:sz="8" w:space="0" w:color="4F81BD"/>
              <w:bottom w:val="single" w:sz="18" w:space="0" w:color="4F81BD"/>
              <w:right w:val="single" w:sz="8" w:space="0" w:color="4F81BD"/>
            </w:tcBorders>
          </w:tcPr>
          <w:p w:rsidR="00582426" w:rsidRPr="008211FD" w:rsidRDefault="00582426" w:rsidP="00582426">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Centrais Sindicais</w:t>
            </w:r>
          </w:p>
        </w:tc>
        <w:tc>
          <w:tcPr>
            <w:tcW w:w="2898" w:type="pct"/>
            <w:tcBorders>
              <w:top w:val="single" w:sz="8" w:space="0" w:color="4F81BD"/>
              <w:left w:val="single" w:sz="8" w:space="0" w:color="4F81BD"/>
              <w:bottom w:val="single" w:sz="18" w:space="0" w:color="4F81BD"/>
              <w:right w:val="single" w:sz="8" w:space="0" w:color="4F81BD"/>
            </w:tcBorders>
          </w:tcPr>
          <w:p w:rsidR="00582426" w:rsidRPr="008211FD" w:rsidRDefault="00582426" w:rsidP="00582426">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Conselheiros-sindicalistas</w:t>
            </w:r>
          </w:p>
        </w:tc>
        <w:tc>
          <w:tcPr>
            <w:tcW w:w="435" w:type="pct"/>
            <w:tcBorders>
              <w:top w:val="single" w:sz="8" w:space="0" w:color="4F81BD"/>
              <w:left w:val="single" w:sz="8" w:space="0" w:color="4F81BD"/>
              <w:bottom w:val="single" w:sz="18" w:space="0" w:color="4F81BD"/>
              <w:right w:val="single" w:sz="8" w:space="0" w:color="4F81BD"/>
            </w:tcBorders>
          </w:tcPr>
          <w:p w:rsidR="00582426" w:rsidRPr="008211FD" w:rsidRDefault="00582426" w:rsidP="00582426">
            <w:pPr>
              <w:spacing w:after="0" w:line="240" w:lineRule="auto"/>
              <w:jc w:val="center"/>
              <w:rPr>
                <w:rFonts w:ascii="Times New Roman" w:eastAsia="Times New Roman" w:hAnsi="Times New Roman"/>
                <w:b/>
                <w:bCs/>
                <w:sz w:val="20"/>
                <w:szCs w:val="20"/>
              </w:rPr>
            </w:pPr>
            <w:r w:rsidRPr="008211FD">
              <w:rPr>
                <w:rFonts w:ascii="Times New Roman" w:eastAsia="Times New Roman" w:hAnsi="Times New Roman"/>
                <w:b/>
                <w:bCs/>
                <w:sz w:val="20"/>
                <w:szCs w:val="20"/>
              </w:rPr>
              <w:t>Total</w:t>
            </w:r>
          </w:p>
        </w:tc>
      </w:tr>
      <w:tr w:rsidR="00582426" w:rsidRPr="008211FD" w:rsidTr="00582426">
        <w:tc>
          <w:tcPr>
            <w:tcW w:w="166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eastAsia="Times New Roman" w:hAnsi="Times New Roman"/>
                <w:bCs/>
                <w:sz w:val="16"/>
                <w:szCs w:val="16"/>
              </w:rPr>
            </w:pPr>
            <w:r w:rsidRPr="008211FD">
              <w:rPr>
                <w:rFonts w:ascii="Times New Roman" w:eastAsia="Times New Roman" w:hAnsi="Times New Roman"/>
                <w:bCs/>
                <w:sz w:val="16"/>
                <w:szCs w:val="16"/>
              </w:rPr>
              <w:t>Central Única dos Trabalhadores (CUT)</w:t>
            </w:r>
          </w:p>
        </w:tc>
        <w:tc>
          <w:tcPr>
            <w:tcW w:w="2898"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Alberto Broch, Altemir Tortelli, Artur Henrique, Avelino Ganzer, Carmen Helena Ferreira Foro, Denise Motta Dau, Jacy Afonso de Melo, João Felício, João Vaccari Neto, José Lopez Feijóo, José Zunga Alves de Lima, Juçara Dutra Vieira (CNTE), Luiz Marinho, Manoel José Dos Santos (De Serra-Contag), Roberto Franklin de Leão, Sérgio Rosa.</w:t>
            </w:r>
          </w:p>
        </w:tc>
        <w:tc>
          <w:tcPr>
            <w:tcW w:w="435"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center"/>
              <w:rPr>
                <w:rFonts w:ascii="Times New Roman" w:hAnsi="Times New Roman"/>
                <w:sz w:val="16"/>
                <w:szCs w:val="16"/>
              </w:rPr>
            </w:pPr>
            <w:r w:rsidRPr="008211FD">
              <w:rPr>
                <w:rFonts w:ascii="Times New Roman" w:hAnsi="Times New Roman"/>
                <w:sz w:val="16"/>
                <w:szCs w:val="16"/>
              </w:rPr>
              <w:t>15</w:t>
            </w:r>
          </w:p>
        </w:tc>
      </w:tr>
      <w:tr w:rsidR="00582426" w:rsidRPr="008211FD" w:rsidTr="00582426">
        <w:tc>
          <w:tcPr>
            <w:tcW w:w="1667"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eastAsia="Times New Roman" w:hAnsi="Times New Roman"/>
                <w:bCs/>
                <w:sz w:val="16"/>
                <w:szCs w:val="16"/>
              </w:rPr>
            </w:pPr>
            <w:r w:rsidRPr="008211FD">
              <w:rPr>
                <w:rFonts w:ascii="Times New Roman" w:eastAsia="Times New Roman" w:hAnsi="Times New Roman"/>
                <w:bCs/>
                <w:sz w:val="16"/>
                <w:szCs w:val="16"/>
              </w:rPr>
              <w:t>Força Sindical (FS)</w:t>
            </w:r>
          </w:p>
        </w:tc>
        <w:tc>
          <w:tcPr>
            <w:tcW w:w="2898"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Danilo Pereira da Silva, João Batista Inocentini, João Carlos Gonçalves, Jorge Nazareno Rodrigues, Nair Goular, Paulo Pereira da Silva.</w:t>
            </w:r>
          </w:p>
        </w:tc>
        <w:tc>
          <w:tcPr>
            <w:tcW w:w="435"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center"/>
              <w:rPr>
                <w:rFonts w:ascii="Times New Roman" w:hAnsi="Times New Roman"/>
                <w:sz w:val="16"/>
                <w:szCs w:val="16"/>
              </w:rPr>
            </w:pPr>
            <w:r w:rsidRPr="008211FD">
              <w:rPr>
                <w:rFonts w:ascii="Times New Roman" w:hAnsi="Times New Roman"/>
                <w:sz w:val="16"/>
                <w:szCs w:val="16"/>
              </w:rPr>
              <w:t>6</w:t>
            </w:r>
          </w:p>
        </w:tc>
      </w:tr>
      <w:tr w:rsidR="00582426" w:rsidRPr="008211FD" w:rsidTr="00582426">
        <w:tc>
          <w:tcPr>
            <w:tcW w:w="166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eastAsia="Times New Roman" w:hAnsi="Times New Roman"/>
                <w:bCs/>
                <w:sz w:val="16"/>
                <w:szCs w:val="16"/>
              </w:rPr>
            </w:pPr>
            <w:r w:rsidRPr="008211FD">
              <w:rPr>
                <w:rFonts w:ascii="Times New Roman" w:eastAsia="Times New Roman" w:hAnsi="Times New Roman"/>
                <w:bCs/>
                <w:sz w:val="16"/>
                <w:szCs w:val="16"/>
              </w:rPr>
              <w:t>União Geral dos Trabalhadores (UGT)</w:t>
            </w:r>
          </w:p>
        </w:tc>
        <w:tc>
          <w:tcPr>
            <w:tcW w:w="2898"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 xml:space="preserve">Antônio Carlos dos Reis (Salim), Enilson Simões de Moura (Alemão), Laerte Teixeira da Costa, Ricardo Patah. </w:t>
            </w:r>
          </w:p>
        </w:tc>
        <w:tc>
          <w:tcPr>
            <w:tcW w:w="435"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center"/>
              <w:rPr>
                <w:rFonts w:ascii="Times New Roman" w:hAnsi="Times New Roman"/>
                <w:sz w:val="16"/>
                <w:szCs w:val="16"/>
              </w:rPr>
            </w:pPr>
            <w:r w:rsidRPr="008211FD">
              <w:rPr>
                <w:rFonts w:ascii="Times New Roman" w:hAnsi="Times New Roman"/>
                <w:sz w:val="16"/>
                <w:szCs w:val="16"/>
              </w:rPr>
              <w:t>4</w:t>
            </w:r>
          </w:p>
        </w:tc>
      </w:tr>
      <w:tr w:rsidR="00582426" w:rsidRPr="008211FD" w:rsidTr="00582426">
        <w:tc>
          <w:tcPr>
            <w:tcW w:w="1667"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eastAsia="Times New Roman" w:hAnsi="Times New Roman"/>
                <w:bCs/>
                <w:sz w:val="16"/>
                <w:szCs w:val="16"/>
              </w:rPr>
            </w:pPr>
            <w:r w:rsidRPr="008211FD">
              <w:rPr>
                <w:rFonts w:ascii="Times New Roman" w:eastAsia="Times New Roman" w:hAnsi="Times New Roman"/>
                <w:bCs/>
                <w:sz w:val="16"/>
                <w:szCs w:val="16"/>
              </w:rPr>
              <w:t>Nova Central Sindical de Trabalhadores (NCST)</w:t>
            </w:r>
          </w:p>
        </w:tc>
        <w:tc>
          <w:tcPr>
            <w:tcW w:w="2898"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José Calixto Ramos (CNTI), Moacyr Auersvaldv.</w:t>
            </w:r>
          </w:p>
        </w:tc>
        <w:tc>
          <w:tcPr>
            <w:tcW w:w="435"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center"/>
              <w:rPr>
                <w:rFonts w:ascii="Times New Roman" w:hAnsi="Times New Roman"/>
                <w:sz w:val="16"/>
                <w:szCs w:val="16"/>
              </w:rPr>
            </w:pPr>
            <w:r w:rsidRPr="008211FD">
              <w:rPr>
                <w:rFonts w:ascii="Times New Roman" w:hAnsi="Times New Roman"/>
                <w:sz w:val="16"/>
                <w:szCs w:val="16"/>
              </w:rPr>
              <w:t>2</w:t>
            </w:r>
          </w:p>
        </w:tc>
      </w:tr>
      <w:tr w:rsidR="00582426" w:rsidRPr="008211FD" w:rsidTr="00582426">
        <w:tc>
          <w:tcPr>
            <w:tcW w:w="166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eastAsia="Times New Roman" w:hAnsi="Times New Roman"/>
                <w:bCs/>
                <w:sz w:val="16"/>
                <w:szCs w:val="16"/>
              </w:rPr>
            </w:pPr>
            <w:r w:rsidRPr="008211FD">
              <w:rPr>
                <w:rFonts w:ascii="Times New Roman" w:eastAsia="Times New Roman" w:hAnsi="Times New Roman"/>
                <w:bCs/>
                <w:sz w:val="16"/>
                <w:szCs w:val="16"/>
              </w:rPr>
              <w:t>Central Geral dos Trabalhadores do Brasil (CGTB)</w:t>
            </w:r>
          </w:p>
        </w:tc>
        <w:tc>
          <w:tcPr>
            <w:tcW w:w="2898"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Antônio Neto.</w:t>
            </w:r>
          </w:p>
        </w:tc>
        <w:tc>
          <w:tcPr>
            <w:tcW w:w="435"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center"/>
              <w:rPr>
                <w:rFonts w:ascii="Times New Roman" w:hAnsi="Times New Roman"/>
                <w:sz w:val="16"/>
                <w:szCs w:val="16"/>
              </w:rPr>
            </w:pPr>
            <w:r w:rsidRPr="008211FD">
              <w:rPr>
                <w:rFonts w:ascii="Times New Roman" w:hAnsi="Times New Roman"/>
                <w:sz w:val="16"/>
                <w:szCs w:val="16"/>
              </w:rPr>
              <w:t>1</w:t>
            </w:r>
          </w:p>
        </w:tc>
      </w:tr>
    </w:tbl>
    <w:p w:rsidR="00673F61" w:rsidRPr="0004024B" w:rsidRDefault="00673F61" w:rsidP="00673F61">
      <w:pPr>
        <w:spacing w:after="0" w:line="360" w:lineRule="auto"/>
        <w:jc w:val="both"/>
        <w:rPr>
          <w:rFonts w:ascii="Times New Roman" w:hAnsi="Times New Roman"/>
          <w:sz w:val="24"/>
          <w:szCs w:val="24"/>
        </w:rPr>
      </w:pPr>
      <w:r>
        <w:rPr>
          <w:rFonts w:ascii="Times New Roman" w:hAnsi="Times New Roman"/>
          <w:b/>
          <w:sz w:val="18"/>
          <w:szCs w:val="18"/>
        </w:rPr>
        <w:t>Elaboração própria</w:t>
      </w:r>
      <w:r w:rsidR="0004024B">
        <w:rPr>
          <w:rFonts w:ascii="Times New Roman" w:hAnsi="Times New Roman"/>
          <w:b/>
          <w:sz w:val="18"/>
          <w:szCs w:val="18"/>
        </w:rPr>
        <w:t>. Fontes</w:t>
      </w:r>
      <w:r w:rsidR="0004024B">
        <w:rPr>
          <w:rFonts w:ascii="Times New Roman" w:hAnsi="Times New Roman"/>
          <w:sz w:val="18"/>
          <w:szCs w:val="18"/>
        </w:rPr>
        <w:t>: site do CDES (www.cdes.gov.br) e pesquisas na internet.</w:t>
      </w:r>
    </w:p>
    <w:p w:rsidR="004C50D8" w:rsidRPr="000C7CF7" w:rsidRDefault="00511590" w:rsidP="004C50D8">
      <w:pPr>
        <w:spacing w:before="240" w:after="0" w:line="360" w:lineRule="auto"/>
        <w:ind w:firstLine="708"/>
        <w:jc w:val="both"/>
        <w:rPr>
          <w:rFonts w:ascii="Times New Roman" w:hAnsi="Times New Roman"/>
          <w:sz w:val="24"/>
          <w:szCs w:val="24"/>
        </w:rPr>
      </w:pPr>
      <w:r w:rsidRPr="000C7CF7">
        <w:rPr>
          <w:rFonts w:ascii="Times New Roman" w:hAnsi="Times New Roman"/>
          <w:sz w:val="24"/>
          <w:szCs w:val="24"/>
        </w:rPr>
        <w:t xml:space="preserve">As Centrais Sindicais representadas no CDES apoiaram, com intensidade variada, os governos petistas de Lula da Silva. Em detrimento </w:t>
      </w:r>
      <w:r w:rsidR="000B737E">
        <w:rPr>
          <w:rFonts w:ascii="Times New Roman" w:hAnsi="Times New Roman"/>
          <w:sz w:val="24"/>
          <w:szCs w:val="24"/>
        </w:rPr>
        <w:t>de</w:t>
      </w:r>
      <w:r w:rsidRPr="000C7CF7">
        <w:rPr>
          <w:rFonts w:ascii="Times New Roman" w:hAnsi="Times New Roman"/>
          <w:sz w:val="24"/>
          <w:szCs w:val="24"/>
        </w:rPr>
        <w:t xml:space="preserve"> mobilizações de sua base, comungavam no interior do Conselho (e </w:t>
      </w:r>
      <w:r w:rsidR="004C50D8" w:rsidRPr="000C7CF7">
        <w:rPr>
          <w:rFonts w:ascii="Times New Roman" w:hAnsi="Times New Roman"/>
          <w:sz w:val="24"/>
          <w:szCs w:val="24"/>
        </w:rPr>
        <w:t>nas</w:t>
      </w:r>
      <w:r w:rsidRPr="000C7CF7">
        <w:rPr>
          <w:rFonts w:ascii="Times New Roman" w:hAnsi="Times New Roman"/>
          <w:sz w:val="24"/>
          <w:szCs w:val="24"/>
        </w:rPr>
        <w:t xml:space="preserve"> instituições governamentais) a promoção do “desenvolvimento sustentável” através do “emprego digno” e da distribuição de renda (elevaç</w:t>
      </w:r>
      <w:r w:rsidR="004B3EF3" w:rsidRPr="000C7CF7">
        <w:rPr>
          <w:rFonts w:ascii="Times New Roman" w:hAnsi="Times New Roman"/>
          <w:sz w:val="24"/>
          <w:szCs w:val="24"/>
        </w:rPr>
        <w:t xml:space="preserve">ão real do salário mínimo </w:t>
      </w:r>
      <w:r w:rsidRPr="000C7CF7">
        <w:rPr>
          <w:rFonts w:ascii="Times New Roman" w:hAnsi="Times New Roman"/>
          <w:sz w:val="24"/>
          <w:szCs w:val="24"/>
        </w:rPr>
        <w:t>e programas de transferência de renda), assumindo uma perspectiva de pactuação ou parceri</w:t>
      </w:r>
      <w:r w:rsidR="004C50D8" w:rsidRPr="000C7CF7">
        <w:rPr>
          <w:rFonts w:ascii="Times New Roman" w:hAnsi="Times New Roman"/>
          <w:sz w:val="24"/>
          <w:szCs w:val="24"/>
        </w:rPr>
        <w:t>a com largos setores do capital</w:t>
      </w:r>
      <w:r w:rsidR="004B3EF3" w:rsidRPr="000C7CF7">
        <w:rPr>
          <w:rFonts w:ascii="Times New Roman" w:hAnsi="Times New Roman"/>
          <w:sz w:val="24"/>
          <w:szCs w:val="24"/>
        </w:rPr>
        <w:t xml:space="preserve"> e o abandono da crítica da natureza do Estado capitalista. Como </w:t>
      </w:r>
      <w:r w:rsidR="004C50D8" w:rsidRPr="000C7CF7">
        <w:rPr>
          <w:rFonts w:ascii="Times New Roman" w:hAnsi="Times New Roman"/>
          <w:sz w:val="24"/>
          <w:szCs w:val="24"/>
        </w:rPr>
        <w:t xml:space="preserve"> Andréia Galvão assevera que diferentemente das preocupações de ha</w:t>
      </w:r>
      <w:r w:rsidR="000C7CF7" w:rsidRPr="000C7CF7">
        <w:rPr>
          <w:rFonts w:ascii="Times New Roman" w:hAnsi="Times New Roman"/>
          <w:sz w:val="24"/>
          <w:szCs w:val="24"/>
        </w:rPr>
        <w:t>r</w:t>
      </w:r>
      <w:r w:rsidR="004C50D8" w:rsidRPr="000C7CF7">
        <w:rPr>
          <w:rFonts w:ascii="Times New Roman" w:hAnsi="Times New Roman"/>
          <w:sz w:val="24"/>
          <w:szCs w:val="24"/>
        </w:rPr>
        <w:t>monia e integração social ou de estratégias de concertação instituídas no pós-guerra</w:t>
      </w:r>
    </w:p>
    <w:p w:rsidR="004C50D8" w:rsidRPr="000C7CF7" w:rsidRDefault="004C50D8" w:rsidP="004C50D8">
      <w:pPr>
        <w:spacing w:before="240" w:after="0" w:line="240" w:lineRule="auto"/>
        <w:ind w:left="2268"/>
        <w:jc w:val="both"/>
        <w:rPr>
          <w:rFonts w:ascii="Times New Roman" w:hAnsi="Times New Roman"/>
          <w:sz w:val="24"/>
          <w:szCs w:val="24"/>
        </w:rPr>
      </w:pPr>
      <w:r w:rsidRPr="000C7CF7">
        <w:rPr>
          <w:rFonts w:ascii="Times New Roman" w:hAnsi="Times New Roman"/>
          <w:sz w:val="20"/>
          <w:szCs w:val="20"/>
        </w:rPr>
        <w:t>(...) a atual concepção de parceira é distinta da que se difundiu na Europa ocidental sob a social-democracia, pois se trata de institucionalizar a cooperação: acordos não resultam mais do reconhecimento do conflito de interesses entre trabalhadores e empregadores mas, antes, de sua negação</w:t>
      </w:r>
      <w:r w:rsidRPr="000C7CF7">
        <w:rPr>
          <w:rFonts w:ascii="Times New Roman" w:hAnsi="Times New Roman"/>
          <w:sz w:val="24"/>
          <w:szCs w:val="24"/>
        </w:rPr>
        <w:t>.</w:t>
      </w:r>
      <w:r w:rsidRPr="000C7CF7">
        <w:rPr>
          <w:rStyle w:val="Refdenotaderodap"/>
          <w:rFonts w:ascii="Times New Roman" w:hAnsi="Times New Roman"/>
          <w:sz w:val="24"/>
          <w:szCs w:val="24"/>
        </w:rPr>
        <w:footnoteReference w:id="179"/>
      </w:r>
    </w:p>
    <w:p w:rsidR="004C50D8" w:rsidRPr="000C7CF7" w:rsidRDefault="004B3EF3" w:rsidP="004C50D8">
      <w:pPr>
        <w:spacing w:before="240" w:after="0" w:line="360" w:lineRule="auto"/>
        <w:jc w:val="both"/>
        <w:rPr>
          <w:rFonts w:ascii="Times New Roman" w:hAnsi="Times New Roman"/>
          <w:sz w:val="24"/>
          <w:szCs w:val="24"/>
        </w:rPr>
      </w:pPr>
      <w:r w:rsidRPr="000C7CF7">
        <w:rPr>
          <w:rFonts w:ascii="Times New Roman" w:hAnsi="Times New Roman"/>
          <w:sz w:val="24"/>
          <w:szCs w:val="24"/>
        </w:rPr>
        <w:tab/>
      </w:r>
      <w:r w:rsidR="00CA683B" w:rsidRPr="000C7CF7">
        <w:rPr>
          <w:rFonts w:ascii="Times New Roman" w:hAnsi="Times New Roman"/>
          <w:sz w:val="24"/>
          <w:szCs w:val="24"/>
        </w:rPr>
        <w:t>As</w:t>
      </w:r>
      <w:r w:rsidRPr="000C7CF7">
        <w:rPr>
          <w:rFonts w:ascii="Times New Roman" w:hAnsi="Times New Roman"/>
          <w:sz w:val="24"/>
          <w:szCs w:val="24"/>
        </w:rPr>
        <w:t xml:space="preserve"> Centrais Sindicais </w:t>
      </w:r>
      <w:r w:rsidR="00CA683B" w:rsidRPr="000C7CF7">
        <w:rPr>
          <w:rFonts w:ascii="Times New Roman" w:hAnsi="Times New Roman"/>
          <w:sz w:val="24"/>
          <w:szCs w:val="24"/>
        </w:rPr>
        <w:t>menos</w:t>
      </w:r>
      <w:r w:rsidRPr="000C7CF7">
        <w:rPr>
          <w:rFonts w:ascii="Times New Roman" w:hAnsi="Times New Roman"/>
          <w:sz w:val="24"/>
          <w:szCs w:val="24"/>
        </w:rPr>
        <w:t xml:space="preserve"> conhecidas (UGT</w:t>
      </w:r>
      <w:r w:rsidR="00B947AC" w:rsidRPr="000C7CF7">
        <w:rPr>
          <w:rFonts w:ascii="Times New Roman" w:hAnsi="Times New Roman"/>
          <w:sz w:val="24"/>
          <w:szCs w:val="24"/>
        </w:rPr>
        <w:t xml:space="preserve"> e</w:t>
      </w:r>
      <w:r w:rsidRPr="000C7CF7">
        <w:rPr>
          <w:rFonts w:ascii="Times New Roman" w:hAnsi="Times New Roman"/>
          <w:sz w:val="24"/>
          <w:szCs w:val="24"/>
        </w:rPr>
        <w:t xml:space="preserve"> NCST) </w:t>
      </w:r>
      <w:r w:rsidR="00CA683B" w:rsidRPr="000C7CF7">
        <w:rPr>
          <w:rFonts w:ascii="Times New Roman" w:hAnsi="Times New Roman"/>
          <w:sz w:val="24"/>
          <w:szCs w:val="24"/>
        </w:rPr>
        <w:t xml:space="preserve">e </w:t>
      </w:r>
      <w:r w:rsidRPr="000C7CF7">
        <w:rPr>
          <w:rFonts w:ascii="Times New Roman" w:hAnsi="Times New Roman"/>
          <w:sz w:val="24"/>
          <w:szCs w:val="24"/>
        </w:rPr>
        <w:t>representadas no CDES</w:t>
      </w:r>
      <w:r w:rsidR="000807DE" w:rsidRPr="000C7CF7">
        <w:rPr>
          <w:rFonts w:ascii="Times New Roman" w:hAnsi="Times New Roman"/>
          <w:sz w:val="24"/>
          <w:szCs w:val="24"/>
        </w:rPr>
        <w:t xml:space="preserve">viram crescer a filiação de sindicatos em suas fileiras após as mudanças produzidas </w:t>
      </w:r>
      <w:r w:rsidR="00362EFD" w:rsidRPr="000C7CF7">
        <w:rPr>
          <w:rFonts w:ascii="Times New Roman" w:hAnsi="Times New Roman"/>
          <w:sz w:val="24"/>
          <w:szCs w:val="24"/>
        </w:rPr>
        <w:t xml:space="preserve">na legislação sindical </w:t>
      </w:r>
      <w:r w:rsidR="000807DE" w:rsidRPr="000C7CF7">
        <w:rPr>
          <w:rFonts w:ascii="Times New Roman" w:hAnsi="Times New Roman"/>
          <w:sz w:val="24"/>
          <w:szCs w:val="24"/>
        </w:rPr>
        <w:t>acordadas no Fórum Nacional do Trabalho</w:t>
      </w:r>
      <w:r w:rsidR="00886B87" w:rsidRPr="000C7CF7">
        <w:rPr>
          <w:rFonts w:ascii="Times New Roman" w:hAnsi="Times New Roman"/>
          <w:sz w:val="24"/>
          <w:szCs w:val="24"/>
        </w:rPr>
        <w:t xml:space="preserve"> (FNT), principalmente no que tange ao</w:t>
      </w:r>
      <w:r w:rsidR="00362EFD" w:rsidRPr="000C7CF7">
        <w:rPr>
          <w:rFonts w:ascii="Times New Roman" w:hAnsi="Times New Roman"/>
          <w:sz w:val="24"/>
          <w:szCs w:val="24"/>
        </w:rPr>
        <w:t xml:space="preserve"> reconhecimento e financiamento das centrais sindicais, aprovadas </w:t>
      </w:r>
      <w:r w:rsidR="002E5E77" w:rsidRPr="000C7CF7">
        <w:rPr>
          <w:rFonts w:ascii="Times New Roman" w:hAnsi="Times New Roman"/>
          <w:sz w:val="24"/>
          <w:szCs w:val="24"/>
        </w:rPr>
        <w:t>em 2008</w:t>
      </w:r>
      <w:r w:rsidR="00886B87" w:rsidRPr="000C7CF7">
        <w:rPr>
          <w:rFonts w:ascii="Times New Roman" w:hAnsi="Times New Roman"/>
          <w:sz w:val="24"/>
          <w:szCs w:val="24"/>
        </w:rPr>
        <w:t>. A</w:t>
      </w:r>
      <w:r w:rsidR="000807DE" w:rsidRPr="000C7CF7">
        <w:rPr>
          <w:rFonts w:ascii="Times New Roman" w:hAnsi="Times New Roman"/>
          <w:sz w:val="24"/>
          <w:szCs w:val="24"/>
        </w:rPr>
        <w:t xml:space="preserve"> UGT, de forma pragmática, </w:t>
      </w:r>
      <w:r w:rsidR="002E5E77" w:rsidRPr="000C7CF7">
        <w:rPr>
          <w:rFonts w:ascii="Times New Roman" w:hAnsi="Times New Roman"/>
          <w:sz w:val="24"/>
          <w:szCs w:val="24"/>
        </w:rPr>
        <w:t xml:space="preserve">foi criada pouco antes através de fusão de inexpressivas correntes sindicais, </w:t>
      </w:r>
      <w:r w:rsidR="00886B87" w:rsidRPr="000C7CF7">
        <w:rPr>
          <w:rFonts w:ascii="Times New Roman" w:hAnsi="Times New Roman"/>
          <w:sz w:val="24"/>
          <w:szCs w:val="24"/>
        </w:rPr>
        <w:t xml:space="preserve">inclusive próximas ao PSDB (SDS), </w:t>
      </w:r>
      <w:r w:rsidR="002E5E77" w:rsidRPr="000C7CF7">
        <w:rPr>
          <w:rFonts w:ascii="Times New Roman" w:hAnsi="Times New Roman"/>
          <w:sz w:val="24"/>
          <w:szCs w:val="24"/>
        </w:rPr>
        <w:t>para ter acesso aos recursos do imposto sindical.</w:t>
      </w:r>
      <w:r w:rsidR="005775E4" w:rsidRPr="000C7CF7">
        <w:rPr>
          <w:rStyle w:val="Refdenotaderodap"/>
          <w:rFonts w:ascii="Times New Roman" w:hAnsi="Times New Roman"/>
          <w:sz w:val="24"/>
          <w:szCs w:val="24"/>
        </w:rPr>
        <w:footnoteReference w:id="180"/>
      </w:r>
      <w:r w:rsidR="005775E4" w:rsidRPr="000C7CF7">
        <w:rPr>
          <w:rFonts w:ascii="Times New Roman" w:hAnsi="Times New Roman"/>
          <w:sz w:val="24"/>
          <w:szCs w:val="24"/>
        </w:rPr>
        <w:t>Alijadas do debate e historicamente contrárias a mudanças na estrutura sindical, a</w:t>
      </w:r>
      <w:r w:rsidR="00886B87" w:rsidRPr="000C7CF7">
        <w:rPr>
          <w:rFonts w:ascii="Times New Roman" w:hAnsi="Times New Roman"/>
          <w:sz w:val="24"/>
          <w:szCs w:val="24"/>
        </w:rPr>
        <w:t>s confederações sindicais, reunidas no Fórum Sindical dos Trabalhadores (FST), articularam oposições à reforma discutidas no FNT</w:t>
      </w:r>
      <w:r w:rsidR="005775E4" w:rsidRPr="000C7CF7">
        <w:rPr>
          <w:rFonts w:ascii="Times New Roman" w:hAnsi="Times New Roman"/>
          <w:sz w:val="24"/>
          <w:szCs w:val="24"/>
        </w:rPr>
        <w:t xml:space="preserve"> e criaram, em 2005, a </w:t>
      </w:r>
      <w:r w:rsidR="002E5E77" w:rsidRPr="000C7CF7">
        <w:rPr>
          <w:rFonts w:ascii="Times New Roman" w:hAnsi="Times New Roman"/>
          <w:sz w:val="24"/>
          <w:szCs w:val="24"/>
        </w:rPr>
        <w:t>NCST</w:t>
      </w:r>
      <w:r w:rsidR="005775E4" w:rsidRPr="000C7CF7">
        <w:rPr>
          <w:rFonts w:ascii="Times New Roman" w:hAnsi="Times New Roman"/>
          <w:sz w:val="24"/>
          <w:szCs w:val="24"/>
        </w:rPr>
        <w:t xml:space="preserve"> pregando a “Defesa da unicidade sindical, da contribuição compulsória, do sistema confederativo de representação sindical, respeito ao artigo 8º da Constituição Federal, por um Brasil com emprego, desenvolvimento econômico e juros baixos”.</w:t>
      </w:r>
      <w:r w:rsidR="005775E4" w:rsidRPr="000C7CF7">
        <w:rPr>
          <w:rStyle w:val="Refdenotaderodap"/>
          <w:rFonts w:ascii="Times New Roman" w:hAnsi="Times New Roman"/>
          <w:sz w:val="24"/>
          <w:szCs w:val="24"/>
        </w:rPr>
        <w:footnoteReference w:id="181"/>
      </w:r>
    </w:p>
    <w:p w:rsidR="00582426" w:rsidRDefault="00582426" w:rsidP="00011C6A">
      <w:pPr>
        <w:spacing w:after="0" w:line="360" w:lineRule="auto"/>
        <w:ind w:firstLine="708"/>
        <w:jc w:val="both"/>
        <w:rPr>
          <w:rFonts w:ascii="Times New Roman" w:hAnsi="Times New Roman"/>
          <w:sz w:val="24"/>
          <w:szCs w:val="24"/>
        </w:rPr>
      </w:pPr>
      <w:r>
        <w:rPr>
          <w:rFonts w:ascii="Times New Roman" w:hAnsi="Times New Roman"/>
          <w:sz w:val="24"/>
          <w:szCs w:val="24"/>
        </w:rPr>
        <w:t>Outros ex-sindicalistas compunham a plenária do CDES, mas não foram aqui considerados por não terem sido nomeados como representantes da “sociedade civil” e sim por ocuparem posições de ministros e secretários de Estado nos governos Lula da Silva, como Ricardo Berzoini e Luiz Gushiken. Destacavam-se, todos, não apenas pelas suas trajetórias em comum, mas pelo abandono decidido (muitos jamais se propunham a isso) de qualquer perspectiva de luta cl</w:t>
      </w:r>
      <w:r w:rsidR="009E531E">
        <w:rPr>
          <w:rFonts w:ascii="Times New Roman" w:hAnsi="Times New Roman"/>
          <w:sz w:val="24"/>
          <w:szCs w:val="24"/>
        </w:rPr>
        <w:t>assista dos trabalhadores ante</w:t>
      </w:r>
      <w:r>
        <w:rPr>
          <w:rFonts w:ascii="Times New Roman" w:hAnsi="Times New Roman"/>
          <w:sz w:val="24"/>
          <w:szCs w:val="24"/>
        </w:rPr>
        <w:t xml:space="preserve"> ao capital, muito pelo contrário, ou seja, reposicionaram-se como “novos administradores e ‘analistas simbólicos’ oriundos das ‘capas superiores’ do movimento sindical, absorvidos para o círculo restrito dos altos funcionários do capital”</w:t>
      </w:r>
      <w:r>
        <w:rPr>
          <w:rStyle w:val="Refdenotaderodap"/>
          <w:rFonts w:ascii="Times New Roman" w:hAnsi="Times New Roman"/>
          <w:sz w:val="24"/>
          <w:szCs w:val="24"/>
        </w:rPr>
        <w:footnoteReference w:id="182"/>
      </w:r>
      <w:r>
        <w:rPr>
          <w:rFonts w:ascii="Times New Roman" w:hAnsi="Times New Roman"/>
          <w:sz w:val="24"/>
          <w:szCs w:val="24"/>
        </w:rPr>
        <w:t>, concomitante à meteórica ascensão social particular de que regozijavam.</w:t>
      </w:r>
      <w:r w:rsidRPr="00D12FE7">
        <w:rPr>
          <w:rStyle w:val="Refdenotaderodap"/>
          <w:rFonts w:ascii="Times New Roman" w:hAnsi="Times New Roman"/>
          <w:sz w:val="24"/>
          <w:szCs w:val="24"/>
        </w:rPr>
        <w:footnoteReference w:id="183"/>
      </w:r>
    </w:p>
    <w:p w:rsidR="00011D13" w:rsidRPr="00011D13" w:rsidRDefault="00582426" w:rsidP="00011D13">
      <w:pPr>
        <w:spacing w:after="0" w:line="360" w:lineRule="auto"/>
        <w:jc w:val="both"/>
        <w:rPr>
          <w:rFonts w:ascii="Times New Roman" w:hAnsi="Times New Roman"/>
          <w:sz w:val="24"/>
          <w:szCs w:val="24"/>
        </w:rPr>
      </w:pPr>
      <w:r>
        <w:rPr>
          <w:rFonts w:ascii="Times New Roman" w:hAnsi="Times New Roman"/>
          <w:sz w:val="24"/>
          <w:szCs w:val="24"/>
        </w:rPr>
        <w:tab/>
        <w:t xml:space="preserve">Destarte, não podemos deixar de destacar que alguns conselheiros-sindicalistas prepararam-se como gestores de vultosos recursos alocados em fundos de pensão (FDP) de funcionários das empresas estatais, alegando suposta “função social” dos recursos investidos por suas administrações, seja através da “educação financeira” necessária aos trabalhadores em tempos atuais, seja por meio do “combate ao capital especulativo”, numa pretensa moralização do capitalismo, entre outros argumentos. O fato é que no Conselho encontramos algumas “peças-chaves” da articulação entre uma elite forjada no movimento sindical, reconvertida e bem-treinada como novos gestores para o capital e uma marcante fração </w:t>
      </w:r>
      <w:r w:rsidR="006470D9">
        <w:rPr>
          <w:rFonts w:ascii="Times New Roman" w:hAnsi="Times New Roman"/>
          <w:sz w:val="24"/>
          <w:szCs w:val="24"/>
        </w:rPr>
        <w:t>bancária e setores financeiros não bancários</w:t>
      </w:r>
      <w:r>
        <w:rPr>
          <w:rFonts w:ascii="Times New Roman" w:hAnsi="Times New Roman"/>
          <w:sz w:val="24"/>
          <w:szCs w:val="24"/>
        </w:rPr>
        <w:t xml:space="preserve"> de origem propriamente </w:t>
      </w:r>
      <w:r w:rsidRPr="00011D13">
        <w:rPr>
          <w:rFonts w:ascii="Times New Roman" w:hAnsi="Times New Roman"/>
          <w:sz w:val="24"/>
          <w:szCs w:val="24"/>
        </w:rPr>
        <w:t>empresarial.</w:t>
      </w:r>
      <w:r w:rsidRPr="00011D13">
        <w:rPr>
          <w:rStyle w:val="Refdenotaderodap"/>
          <w:rFonts w:ascii="Times New Roman" w:hAnsi="Times New Roman"/>
          <w:sz w:val="24"/>
          <w:szCs w:val="24"/>
        </w:rPr>
        <w:footnoteReference w:id="184"/>
      </w:r>
      <w:r w:rsidR="00011D13" w:rsidRPr="00011D13">
        <w:rPr>
          <w:rFonts w:ascii="Times New Roman" w:hAnsi="Times New Roman"/>
          <w:sz w:val="24"/>
          <w:szCs w:val="24"/>
        </w:rPr>
        <w:t>Vale aqui também, a título de ilustração, apresentá-los:</w:t>
      </w:r>
    </w:p>
    <w:p w:rsidR="00011D13" w:rsidRPr="00622D0D" w:rsidRDefault="00011D13" w:rsidP="00011D13">
      <w:pPr>
        <w:pStyle w:val="NormalWeb"/>
        <w:spacing w:before="0" w:beforeAutospacing="0" w:after="0" w:afterAutospacing="0" w:line="360" w:lineRule="auto"/>
        <w:ind w:firstLine="708"/>
        <w:jc w:val="both"/>
      </w:pPr>
    </w:p>
    <w:p w:rsidR="00582426" w:rsidRPr="00582426" w:rsidRDefault="00582426" w:rsidP="00582426">
      <w:pPr>
        <w:spacing w:line="360" w:lineRule="auto"/>
        <w:jc w:val="center"/>
        <w:rPr>
          <w:rFonts w:ascii="Times New Roman" w:hAnsi="Times New Roman"/>
          <w:b/>
          <w:sz w:val="24"/>
          <w:szCs w:val="24"/>
        </w:rPr>
      </w:pPr>
      <w:r>
        <w:rPr>
          <w:rFonts w:ascii="Times New Roman" w:hAnsi="Times New Roman"/>
          <w:b/>
          <w:sz w:val="24"/>
          <w:szCs w:val="24"/>
        </w:rPr>
        <w:t>Quadro 2.2 – Vinculações de conselheiros-sindicalistas com Fundos de Pensão</w:t>
      </w:r>
      <w:r w:rsidRPr="00582426">
        <w:rPr>
          <w:rStyle w:val="Refdenotaderodap"/>
          <w:rFonts w:ascii="Times New Roman" w:hAnsi="Times New Roman"/>
          <w:b/>
          <w:sz w:val="24"/>
          <w:szCs w:val="24"/>
        </w:rPr>
        <w:footnoteReference w:id="185"/>
      </w:r>
    </w:p>
    <w:tbl>
      <w:tblPr>
        <w:tblW w:w="4892"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664"/>
        <w:gridCol w:w="2293"/>
        <w:gridCol w:w="2838"/>
        <w:gridCol w:w="2291"/>
      </w:tblGrid>
      <w:tr w:rsidR="00582426" w:rsidRPr="008211FD" w:rsidTr="00582426">
        <w:tc>
          <w:tcPr>
            <w:tcW w:w="915" w:type="pct"/>
            <w:tcBorders>
              <w:top w:val="single" w:sz="8" w:space="0" w:color="4F81BD"/>
              <w:left w:val="single" w:sz="8" w:space="0" w:color="4F81BD"/>
              <w:bottom w:val="single" w:sz="18" w:space="0" w:color="4F81BD"/>
              <w:right w:val="single" w:sz="8" w:space="0" w:color="4F81BD"/>
            </w:tcBorders>
          </w:tcPr>
          <w:p w:rsidR="00582426" w:rsidRPr="008211FD" w:rsidRDefault="00582426" w:rsidP="00582426">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 xml:space="preserve">Conselheiros-Sindicalistas </w:t>
            </w:r>
          </w:p>
        </w:tc>
        <w:tc>
          <w:tcPr>
            <w:tcW w:w="1262" w:type="pct"/>
            <w:tcBorders>
              <w:top w:val="single" w:sz="8" w:space="0" w:color="4F81BD"/>
              <w:left w:val="single" w:sz="8" w:space="0" w:color="4F81BD"/>
              <w:bottom w:val="single" w:sz="18" w:space="0" w:color="4F81BD"/>
              <w:right w:val="single" w:sz="8" w:space="0" w:color="4F81BD"/>
            </w:tcBorders>
          </w:tcPr>
          <w:p w:rsidR="00582426" w:rsidRPr="008211FD" w:rsidRDefault="00582426" w:rsidP="00582426">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Cargo</w:t>
            </w:r>
          </w:p>
        </w:tc>
        <w:tc>
          <w:tcPr>
            <w:tcW w:w="1562" w:type="pct"/>
            <w:tcBorders>
              <w:top w:val="single" w:sz="8" w:space="0" w:color="4F81BD"/>
              <w:left w:val="single" w:sz="8" w:space="0" w:color="4F81BD"/>
              <w:bottom w:val="single" w:sz="18" w:space="0" w:color="4F81BD"/>
              <w:right w:val="single" w:sz="8" w:space="0" w:color="4F81BD"/>
            </w:tcBorders>
          </w:tcPr>
          <w:p w:rsidR="00582426" w:rsidRPr="008211FD" w:rsidRDefault="00582426" w:rsidP="00582426">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 xml:space="preserve">Atuação em FDP/Fundos Públicos </w:t>
            </w:r>
          </w:p>
        </w:tc>
        <w:tc>
          <w:tcPr>
            <w:tcW w:w="1261" w:type="pct"/>
            <w:tcBorders>
              <w:top w:val="single" w:sz="8" w:space="0" w:color="4F81BD"/>
              <w:left w:val="single" w:sz="8" w:space="0" w:color="4F81BD"/>
              <w:bottom w:val="single" w:sz="18" w:space="0" w:color="4F81BD"/>
              <w:right w:val="single" w:sz="8" w:space="0" w:color="4F81BD"/>
            </w:tcBorders>
          </w:tcPr>
          <w:p w:rsidR="00582426" w:rsidRPr="008211FD" w:rsidRDefault="00582426" w:rsidP="00582426">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Origem sindical</w:t>
            </w:r>
          </w:p>
        </w:tc>
      </w:tr>
      <w:tr w:rsidR="00582426" w:rsidRPr="008211FD" w:rsidTr="00582426">
        <w:tc>
          <w:tcPr>
            <w:tcW w:w="915"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eastAsia="Times New Roman" w:hAnsi="Times New Roman"/>
                <w:bCs/>
                <w:sz w:val="16"/>
                <w:szCs w:val="16"/>
              </w:rPr>
            </w:pPr>
            <w:r w:rsidRPr="008211FD">
              <w:rPr>
                <w:rFonts w:ascii="Times New Roman" w:eastAsia="Times New Roman" w:hAnsi="Times New Roman"/>
                <w:bCs/>
                <w:sz w:val="16"/>
                <w:szCs w:val="16"/>
              </w:rPr>
              <w:t>Altemir Tortelli</w:t>
            </w:r>
          </w:p>
        </w:tc>
        <w:tc>
          <w:tcPr>
            <w:tcW w:w="126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color w:val="000000"/>
                <w:sz w:val="16"/>
                <w:szCs w:val="16"/>
              </w:rPr>
              <w:t>É Coordenador Geral da Fetraf-Sul/CUT.</w:t>
            </w:r>
          </w:p>
        </w:tc>
        <w:tc>
          <w:tcPr>
            <w:tcW w:w="156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Estimula diálogo com o mercado financeiro na CUT e participação dos trabalhadores agrícolas nos FDP.</w:t>
            </w:r>
          </w:p>
        </w:tc>
        <w:tc>
          <w:tcPr>
            <w:tcW w:w="1261"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 xml:space="preserve">Vice-presidente e secretário de formação nacional da CUT (1993-2003). </w:t>
            </w:r>
          </w:p>
        </w:tc>
      </w:tr>
      <w:tr w:rsidR="00582426" w:rsidRPr="008211FD" w:rsidTr="00582426">
        <w:tc>
          <w:tcPr>
            <w:tcW w:w="915"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eastAsia="Times New Roman" w:hAnsi="Times New Roman"/>
                <w:bCs/>
                <w:sz w:val="16"/>
                <w:szCs w:val="16"/>
              </w:rPr>
            </w:pPr>
            <w:r w:rsidRPr="008211FD">
              <w:rPr>
                <w:rFonts w:ascii="Times New Roman" w:hAnsi="Times New Roman"/>
                <w:sz w:val="16"/>
                <w:szCs w:val="16"/>
              </w:rPr>
              <w:t>Antonio Carlos dos Reis (Salim)</w:t>
            </w:r>
          </w:p>
        </w:tc>
        <w:tc>
          <w:tcPr>
            <w:tcW w:w="126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Presidente da CGT (2003) e 1º Vice-Pres. da UGT (2007).</w:t>
            </w:r>
          </w:p>
        </w:tc>
        <w:tc>
          <w:tcPr>
            <w:tcW w:w="156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Membro do Cons. Adm. Bovespa para a liberação do FGTS na aquisição de ações no mercado.</w:t>
            </w:r>
          </w:p>
        </w:tc>
        <w:tc>
          <w:tcPr>
            <w:tcW w:w="1261"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Vice-Presidente (1992) e Presid. (1998) do Sindicato dos Eletricitários/SP.</w:t>
            </w:r>
          </w:p>
        </w:tc>
      </w:tr>
      <w:tr w:rsidR="00582426" w:rsidRPr="008211FD" w:rsidTr="00582426">
        <w:tc>
          <w:tcPr>
            <w:tcW w:w="915"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eastAsia="Times New Roman" w:hAnsi="Times New Roman"/>
                <w:bCs/>
                <w:sz w:val="16"/>
                <w:szCs w:val="16"/>
              </w:rPr>
            </w:pPr>
            <w:r w:rsidRPr="008211FD">
              <w:rPr>
                <w:rFonts w:ascii="Times New Roman" w:eastAsia="Times New Roman" w:hAnsi="Times New Roman"/>
                <w:bCs/>
                <w:sz w:val="16"/>
                <w:szCs w:val="16"/>
              </w:rPr>
              <w:t>Jacy Afonso de Melo</w:t>
            </w:r>
          </w:p>
        </w:tc>
        <w:tc>
          <w:tcPr>
            <w:tcW w:w="126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Secretário de Organização e Política Sindical da CUT.</w:t>
            </w:r>
          </w:p>
        </w:tc>
        <w:tc>
          <w:tcPr>
            <w:tcW w:w="156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Membro do Cons. Curador e do Comitê Gestor do Fundo de Investimentos do FGTS.</w:t>
            </w:r>
          </w:p>
        </w:tc>
        <w:tc>
          <w:tcPr>
            <w:tcW w:w="1261"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Presidente CUT-DF (1991-1994), e do Sindicato dos Bancários/DF (2004-2007).</w:t>
            </w:r>
          </w:p>
        </w:tc>
      </w:tr>
      <w:tr w:rsidR="00582426" w:rsidRPr="008211FD" w:rsidTr="00582426">
        <w:tc>
          <w:tcPr>
            <w:tcW w:w="915"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eastAsia="Times New Roman" w:hAnsi="Times New Roman"/>
                <w:bCs/>
                <w:sz w:val="16"/>
                <w:szCs w:val="16"/>
              </w:rPr>
            </w:pPr>
            <w:r w:rsidRPr="008211FD">
              <w:rPr>
                <w:rFonts w:ascii="Times New Roman" w:eastAsia="Times New Roman" w:hAnsi="Times New Roman"/>
                <w:bCs/>
                <w:sz w:val="16"/>
                <w:szCs w:val="16"/>
              </w:rPr>
              <w:t>João Felício</w:t>
            </w:r>
          </w:p>
        </w:tc>
        <w:tc>
          <w:tcPr>
            <w:tcW w:w="126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Presidente da CUT.</w:t>
            </w:r>
          </w:p>
        </w:tc>
        <w:tc>
          <w:tcPr>
            <w:tcW w:w="156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Escreve livros e artigos, ministra palestras e cursos sobre FDP.</w:t>
            </w:r>
          </w:p>
        </w:tc>
        <w:tc>
          <w:tcPr>
            <w:tcW w:w="1261"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 xml:space="preserve">Foi Presidente do Sindicato dos Prof. do Ensino Oficial do Estado de SP (APEOESP). </w:t>
            </w:r>
          </w:p>
        </w:tc>
      </w:tr>
      <w:tr w:rsidR="00582426" w:rsidRPr="008211FD" w:rsidTr="00582426">
        <w:tc>
          <w:tcPr>
            <w:tcW w:w="915"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eastAsia="Times New Roman" w:hAnsi="Times New Roman"/>
                <w:bCs/>
                <w:sz w:val="16"/>
                <w:szCs w:val="16"/>
              </w:rPr>
            </w:pPr>
            <w:r w:rsidRPr="008211FD">
              <w:rPr>
                <w:rFonts w:ascii="Times New Roman" w:eastAsia="Times New Roman" w:hAnsi="Times New Roman"/>
                <w:bCs/>
                <w:sz w:val="16"/>
                <w:szCs w:val="16"/>
              </w:rPr>
              <w:t>Luis Marinho</w:t>
            </w:r>
          </w:p>
        </w:tc>
        <w:tc>
          <w:tcPr>
            <w:tcW w:w="126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Ministro da Previdência.</w:t>
            </w:r>
          </w:p>
        </w:tc>
        <w:tc>
          <w:tcPr>
            <w:tcW w:w="156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Estimula diálogo com o mercado financeiro na CUT e participação dos trabalhadores nos FDP.</w:t>
            </w:r>
          </w:p>
        </w:tc>
        <w:tc>
          <w:tcPr>
            <w:tcW w:w="1261"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 xml:space="preserve">Ex-presidente da CUT e do Sindicato dos Metalúrgicos do ABC (1996-2003). </w:t>
            </w:r>
          </w:p>
        </w:tc>
      </w:tr>
      <w:tr w:rsidR="00582426" w:rsidRPr="008211FD" w:rsidTr="00582426">
        <w:tc>
          <w:tcPr>
            <w:tcW w:w="915"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eastAsia="Times New Roman" w:hAnsi="Times New Roman"/>
                <w:bCs/>
                <w:sz w:val="16"/>
                <w:szCs w:val="16"/>
              </w:rPr>
            </w:pPr>
            <w:r w:rsidRPr="008211FD">
              <w:rPr>
                <w:rFonts w:ascii="Times New Roman" w:eastAsia="Times New Roman" w:hAnsi="Times New Roman"/>
                <w:bCs/>
                <w:sz w:val="16"/>
                <w:szCs w:val="16"/>
              </w:rPr>
              <w:t>Luiz Gushiken</w:t>
            </w:r>
          </w:p>
        </w:tc>
        <w:tc>
          <w:tcPr>
            <w:tcW w:w="126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Secretário das Comunicações.</w:t>
            </w:r>
          </w:p>
        </w:tc>
        <w:tc>
          <w:tcPr>
            <w:tcW w:w="156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 xml:space="preserve">Ministra curso sobre FDP para CUT; dono de Consultoria em Previdência; </w:t>
            </w:r>
          </w:p>
        </w:tc>
        <w:tc>
          <w:tcPr>
            <w:tcW w:w="1261"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Ex-presidente do sindicato bancário de SP.</w:t>
            </w:r>
          </w:p>
        </w:tc>
      </w:tr>
      <w:tr w:rsidR="00582426" w:rsidRPr="008211FD" w:rsidTr="00582426">
        <w:tc>
          <w:tcPr>
            <w:tcW w:w="915"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eastAsia="Times New Roman" w:hAnsi="Times New Roman"/>
                <w:bCs/>
                <w:sz w:val="16"/>
                <w:szCs w:val="16"/>
              </w:rPr>
            </w:pPr>
            <w:r w:rsidRPr="008211FD">
              <w:rPr>
                <w:rFonts w:ascii="Times New Roman" w:eastAsia="Times New Roman" w:hAnsi="Times New Roman"/>
                <w:bCs/>
                <w:sz w:val="16"/>
                <w:szCs w:val="16"/>
              </w:rPr>
              <w:t>Luiz Inácio Lula da Silva</w:t>
            </w:r>
          </w:p>
        </w:tc>
        <w:tc>
          <w:tcPr>
            <w:tcW w:w="126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Presidente da República.</w:t>
            </w:r>
          </w:p>
        </w:tc>
        <w:tc>
          <w:tcPr>
            <w:tcW w:w="156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Regulamentação da LC 108/109/01</w:t>
            </w:r>
            <w:r w:rsidRPr="008211FD">
              <w:rPr>
                <w:rStyle w:val="Refdenotaderodap"/>
                <w:sz w:val="16"/>
                <w:szCs w:val="16"/>
              </w:rPr>
              <w:footnoteReference w:id="186"/>
            </w:r>
            <w:r w:rsidRPr="008211FD">
              <w:rPr>
                <w:rFonts w:ascii="Times New Roman" w:hAnsi="Times New Roman"/>
                <w:sz w:val="16"/>
                <w:szCs w:val="16"/>
              </w:rPr>
              <w:t xml:space="preserve"> Aprovação do FDP para servidores na reforma de 2003.</w:t>
            </w:r>
          </w:p>
        </w:tc>
        <w:tc>
          <w:tcPr>
            <w:tcW w:w="1261"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Ex-Presidente do sindicato metalúrgico do ABC.</w:t>
            </w:r>
          </w:p>
        </w:tc>
      </w:tr>
      <w:tr w:rsidR="00582426" w:rsidRPr="008211FD" w:rsidTr="00582426">
        <w:tc>
          <w:tcPr>
            <w:tcW w:w="915"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eastAsia="Times New Roman" w:hAnsi="Times New Roman"/>
                <w:bCs/>
                <w:sz w:val="16"/>
                <w:szCs w:val="16"/>
              </w:rPr>
            </w:pPr>
            <w:r w:rsidRPr="008211FD">
              <w:rPr>
                <w:rFonts w:ascii="Times New Roman" w:eastAsia="Times New Roman" w:hAnsi="Times New Roman"/>
                <w:bCs/>
                <w:sz w:val="16"/>
                <w:szCs w:val="16"/>
              </w:rPr>
              <w:t>Paulo Pereira da Silva</w:t>
            </w:r>
          </w:p>
        </w:tc>
        <w:tc>
          <w:tcPr>
            <w:tcW w:w="126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Presidente da Força Sindical.</w:t>
            </w:r>
          </w:p>
        </w:tc>
        <w:tc>
          <w:tcPr>
            <w:tcW w:w="156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Em sua gestão frente à FS criou o ForçaPrevi.</w:t>
            </w:r>
          </w:p>
        </w:tc>
        <w:tc>
          <w:tcPr>
            <w:tcW w:w="1261"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Foi secretário geral, vice presidente e presidente do sindicato metalúrgicos de SP.</w:t>
            </w:r>
          </w:p>
        </w:tc>
      </w:tr>
      <w:tr w:rsidR="00582426" w:rsidRPr="008211FD" w:rsidTr="00582426">
        <w:tc>
          <w:tcPr>
            <w:tcW w:w="915"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eastAsia="Times New Roman" w:hAnsi="Times New Roman"/>
                <w:bCs/>
                <w:sz w:val="16"/>
                <w:szCs w:val="16"/>
              </w:rPr>
            </w:pPr>
            <w:r w:rsidRPr="008211FD">
              <w:rPr>
                <w:rFonts w:ascii="Times New Roman" w:eastAsia="Times New Roman" w:hAnsi="Times New Roman"/>
                <w:bCs/>
                <w:sz w:val="16"/>
                <w:szCs w:val="16"/>
              </w:rPr>
              <w:t>Ricardo Berzoini</w:t>
            </w:r>
          </w:p>
        </w:tc>
        <w:tc>
          <w:tcPr>
            <w:tcW w:w="126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Ministro da Previdência Social e do Trabalho.</w:t>
            </w:r>
          </w:p>
        </w:tc>
        <w:tc>
          <w:tcPr>
            <w:tcW w:w="156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Como parlamentar atuou para aprovação da LC 109/01. Propugnou a reforma da Previdência Social em 2003. Apoiou a chapa do PT nas eleições da PREVI (2002).</w:t>
            </w:r>
          </w:p>
        </w:tc>
        <w:tc>
          <w:tcPr>
            <w:tcW w:w="1261"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Foi presidente do sindicato dos bancários de SP e da CNB.</w:t>
            </w:r>
          </w:p>
        </w:tc>
      </w:tr>
      <w:tr w:rsidR="00582426" w:rsidRPr="008211FD" w:rsidTr="00582426">
        <w:tc>
          <w:tcPr>
            <w:tcW w:w="915"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eastAsia="Times New Roman" w:hAnsi="Times New Roman"/>
                <w:bCs/>
                <w:sz w:val="16"/>
                <w:szCs w:val="16"/>
              </w:rPr>
            </w:pPr>
            <w:r w:rsidRPr="008211FD">
              <w:rPr>
                <w:rFonts w:ascii="Times New Roman" w:eastAsia="Times New Roman" w:hAnsi="Times New Roman"/>
                <w:bCs/>
                <w:sz w:val="16"/>
                <w:szCs w:val="16"/>
              </w:rPr>
              <w:t>Ricardo Patah</w:t>
            </w:r>
          </w:p>
        </w:tc>
        <w:tc>
          <w:tcPr>
            <w:tcW w:w="126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Presidente da UGT.</w:t>
            </w:r>
          </w:p>
        </w:tc>
        <w:tc>
          <w:tcPr>
            <w:tcW w:w="156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Responsável pela criação do FDP Força Previ.</w:t>
            </w:r>
          </w:p>
        </w:tc>
        <w:tc>
          <w:tcPr>
            <w:tcW w:w="1261"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Tesoureiro da FS. Assumiu a presidência do Sindicato dos Comerciários de SP em 2003.</w:t>
            </w:r>
          </w:p>
        </w:tc>
      </w:tr>
      <w:tr w:rsidR="00582426" w:rsidRPr="008211FD" w:rsidTr="00582426">
        <w:tc>
          <w:tcPr>
            <w:tcW w:w="915"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eastAsia="Times New Roman" w:hAnsi="Times New Roman"/>
                <w:bCs/>
                <w:sz w:val="16"/>
                <w:szCs w:val="16"/>
              </w:rPr>
            </w:pPr>
            <w:r w:rsidRPr="008211FD">
              <w:rPr>
                <w:rFonts w:ascii="Times New Roman" w:eastAsia="Times New Roman" w:hAnsi="Times New Roman"/>
                <w:bCs/>
                <w:sz w:val="16"/>
                <w:szCs w:val="16"/>
              </w:rPr>
              <w:t>Sérgio Rosa</w:t>
            </w:r>
          </w:p>
        </w:tc>
        <w:tc>
          <w:tcPr>
            <w:tcW w:w="126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7693A" w:rsidRDefault="00582426" w:rsidP="00582426">
            <w:pPr>
              <w:spacing w:after="0" w:line="240" w:lineRule="auto"/>
              <w:jc w:val="both"/>
              <w:rPr>
                <w:rFonts w:ascii="Times New Roman" w:eastAsia="Times New Roman" w:hAnsi="Times New Roman"/>
                <w:sz w:val="16"/>
                <w:szCs w:val="16"/>
                <w:lang w:eastAsia="pt-BR"/>
              </w:rPr>
            </w:pPr>
            <w:r>
              <w:rPr>
                <w:rFonts w:ascii="Times New Roman" w:eastAsia="Times New Roman" w:hAnsi="Times New Roman"/>
                <w:sz w:val="16"/>
                <w:szCs w:val="16"/>
                <w:lang w:eastAsia="pt-BR"/>
              </w:rPr>
              <w:t>Presidente da Ci</w:t>
            </w:r>
            <w:r w:rsidRPr="0079568A">
              <w:rPr>
                <w:rFonts w:ascii="Times New Roman" w:eastAsia="Times New Roman" w:hAnsi="Times New Roman"/>
                <w:sz w:val="16"/>
                <w:szCs w:val="16"/>
                <w:lang w:eastAsia="pt-BR"/>
              </w:rPr>
              <w:t>a</w:t>
            </w:r>
            <w:r>
              <w:rPr>
                <w:rFonts w:ascii="Times New Roman" w:eastAsia="Times New Roman" w:hAnsi="Times New Roman"/>
                <w:sz w:val="16"/>
                <w:szCs w:val="16"/>
                <w:lang w:eastAsia="pt-BR"/>
              </w:rPr>
              <w:t>. P</w:t>
            </w:r>
            <w:r w:rsidRPr="0079568A">
              <w:rPr>
                <w:rFonts w:ascii="Times New Roman" w:eastAsia="Times New Roman" w:hAnsi="Times New Roman"/>
                <w:sz w:val="16"/>
                <w:szCs w:val="16"/>
                <w:lang w:eastAsia="pt-BR"/>
              </w:rPr>
              <w:t>revidên</w:t>
            </w:r>
            <w:r>
              <w:rPr>
                <w:rFonts w:ascii="Times New Roman" w:eastAsia="Times New Roman" w:hAnsi="Times New Roman"/>
                <w:sz w:val="16"/>
                <w:szCs w:val="16"/>
                <w:lang w:eastAsia="pt-BR"/>
              </w:rPr>
              <w:t>-</w:t>
            </w:r>
            <w:r w:rsidRPr="0079568A">
              <w:rPr>
                <w:rFonts w:ascii="Times New Roman" w:eastAsia="Times New Roman" w:hAnsi="Times New Roman"/>
                <w:sz w:val="16"/>
                <w:szCs w:val="16"/>
                <w:lang w:eastAsia="pt-BR"/>
              </w:rPr>
              <w:t>cia Aberta BrasilPrev</w:t>
            </w:r>
            <w:r>
              <w:rPr>
                <w:rFonts w:ascii="Times New Roman" w:eastAsia="Times New Roman" w:hAnsi="Times New Roman"/>
                <w:sz w:val="16"/>
                <w:szCs w:val="16"/>
                <w:lang w:eastAsia="pt-BR"/>
              </w:rPr>
              <w:t xml:space="preserve">. </w:t>
            </w:r>
          </w:p>
        </w:tc>
        <w:tc>
          <w:tcPr>
            <w:tcW w:w="156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Pr>
                <w:rFonts w:ascii="Times New Roman" w:eastAsia="Times New Roman" w:hAnsi="Times New Roman"/>
                <w:sz w:val="16"/>
                <w:szCs w:val="16"/>
                <w:lang w:eastAsia="pt-BR"/>
              </w:rPr>
              <w:t>Foi presidente da PREVI (2</w:t>
            </w:r>
            <w:r w:rsidRPr="0079568A">
              <w:rPr>
                <w:rFonts w:ascii="Times New Roman" w:eastAsia="Times New Roman" w:hAnsi="Times New Roman"/>
                <w:sz w:val="16"/>
                <w:szCs w:val="16"/>
                <w:lang w:eastAsia="pt-BR"/>
              </w:rPr>
              <w:t>003</w:t>
            </w:r>
            <w:r>
              <w:rPr>
                <w:rFonts w:ascii="Times New Roman" w:eastAsia="Times New Roman" w:hAnsi="Times New Roman"/>
                <w:sz w:val="16"/>
                <w:szCs w:val="16"/>
                <w:lang w:eastAsia="pt-BR"/>
              </w:rPr>
              <w:t>-</w:t>
            </w:r>
            <w:r w:rsidRPr="0079568A">
              <w:rPr>
                <w:rFonts w:ascii="Times New Roman" w:eastAsia="Times New Roman" w:hAnsi="Times New Roman"/>
                <w:sz w:val="16"/>
                <w:szCs w:val="16"/>
                <w:lang w:eastAsia="pt-BR"/>
              </w:rPr>
              <w:t>2010</w:t>
            </w:r>
            <w:r>
              <w:rPr>
                <w:rFonts w:ascii="Times New Roman" w:eastAsia="Times New Roman" w:hAnsi="Times New Roman"/>
                <w:sz w:val="16"/>
                <w:szCs w:val="16"/>
                <w:lang w:eastAsia="pt-BR"/>
              </w:rPr>
              <w:t>)</w:t>
            </w:r>
            <w:r w:rsidRPr="0079568A">
              <w:rPr>
                <w:rFonts w:ascii="Times New Roman" w:eastAsia="Times New Roman" w:hAnsi="Times New Roman"/>
                <w:sz w:val="16"/>
                <w:szCs w:val="16"/>
                <w:lang w:eastAsia="pt-BR"/>
              </w:rPr>
              <w:t>.</w:t>
            </w:r>
          </w:p>
        </w:tc>
        <w:tc>
          <w:tcPr>
            <w:tcW w:w="1261"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jc w:val="both"/>
              <w:rPr>
                <w:rFonts w:ascii="Times New Roman" w:hAnsi="Times New Roman"/>
                <w:sz w:val="16"/>
                <w:szCs w:val="16"/>
              </w:rPr>
            </w:pPr>
            <w:r w:rsidRPr="008211FD">
              <w:rPr>
                <w:rFonts w:ascii="Times New Roman" w:hAnsi="Times New Roman"/>
                <w:sz w:val="16"/>
                <w:szCs w:val="16"/>
              </w:rPr>
              <w:t>Foi presidente da Conf. Nac. dos Bancários (1994-2000) e diretor do BB.</w:t>
            </w:r>
          </w:p>
        </w:tc>
      </w:tr>
    </w:tbl>
    <w:p w:rsidR="00582426" w:rsidRPr="0004024B" w:rsidRDefault="00CB3F9D" w:rsidP="00582426">
      <w:pPr>
        <w:spacing w:line="360" w:lineRule="auto"/>
        <w:jc w:val="both"/>
        <w:rPr>
          <w:rFonts w:ascii="Times New Roman" w:hAnsi="Times New Roman"/>
          <w:sz w:val="18"/>
          <w:szCs w:val="18"/>
        </w:rPr>
      </w:pPr>
      <w:r w:rsidRPr="0004024B">
        <w:rPr>
          <w:rFonts w:ascii="Times New Roman" w:hAnsi="Times New Roman"/>
          <w:b/>
          <w:sz w:val="18"/>
          <w:szCs w:val="18"/>
        </w:rPr>
        <w:t>Elaboração própria</w:t>
      </w:r>
      <w:r w:rsidR="0004024B" w:rsidRPr="0004024B">
        <w:rPr>
          <w:rFonts w:ascii="Times New Roman" w:hAnsi="Times New Roman"/>
          <w:b/>
          <w:sz w:val="18"/>
          <w:szCs w:val="18"/>
        </w:rPr>
        <w:t xml:space="preserve">. Fontes: </w:t>
      </w:r>
      <w:r w:rsidR="0004024B" w:rsidRPr="0004024B">
        <w:rPr>
          <w:rFonts w:ascii="Times New Roman" w:hAnsi="Times New Roman"/>
          <w:sz w:val="18"/>
          <w:szCs w:val="18"/>
        </w:rPr>
        <w:t>site do CDES e JARDIM, M</w:t>
      </w:r>
      <w:r w:rsidR="0004024B">
        <w:rPr>
          <w:rFonts w:ascii="Times New Roman" w:hAnsi="Times New Roman"/>
          <w:sz w:val="18"/>
          <w:szCs w:val="18"/>
        </w:rPr>
        <w:t>ª</w:t>
      </w:r>
      <w:r w:rsidR="0004024B" w:rsidRPr="0004024B">
        <w:rPr>
          <w:rFonts w:ascii="Times New Roman" w:hAnsi="Times New Roman"/>
          <w:sz w:val="18"/>
          <w:szCs w:val="18"/>
        </w:rPr>
        <w:t xml:space="preserve"> A. Chaves. </w:t>
      </w:r>
      <w:r w:rsidR="0004024B" w:rsidRPr="0004024B">
        <w:rPr>
          <w:rFonts w:ascii="Times New Roman" w:hAnsi="Times New Roman"/>
          <w:i/>
          <w:sz w:val="18"/>
          <w:szCs w:val="18"/>
        </w:rPr>
        <w:t>Entre a solidariedade e o risc</w:t>
      </w:r>
      <w:r w:rsidR="0004024B">
        <w:rPr>
          <w:rFonts w:ascii="Times New Roman" w:hAnsi="Times New Roman"/>
          <w:i/>
          <w:sz w:val="18"/>
          <w:szCs w:val="18"/>
        </w:rPr>
        <w:t xml:space="preserve">o... </w:t>
      </w:r>
      <w:r w:rsidR="0004024B">
        <w:rPr>
          <w:rFonts w:ascii="Times New Roman" w:hAnsi="Times New Roman"/>
          <w:sz w:val="18"/>
          <w:szCs w:val="18"/>
        </w:rPr>
        <w:t>Op. cit.</w:t>
      </w:r>
    </w:p>
    <w:p w:rsidR="00515936" w:rsidRPr="0095032F" w:rsidRDefault="00515936" w:rsidP="00C530C1">
      <w:pPr>
        <w:spacing w:after="0" w:line="360" w:lineRule="auto"/>
        <w:ind w:firstLine="708"/>
        <w:jc w:val="both"/>
        <w:rPr>
          <w:rFonts w:ascii="Times New Roman" w:hAnsi="Times New Roman"/>
          <w:sz w:val="24"/>
          <w:szCs w:val="24"/>
        </w:rPr>
      </w:pPr>
      <w:r w:rsidRPr="00011D13">
        <w:rPr>
          <w:rFonts w:ascii="Times New Roman" w:hAnsi="Times New Roman"/>
          <w:sz w:val="24"/>
          <w:szCs w:val="24"/>
        </w:rPr>
        <w:t xml:space="preserve">Identificamos 11 conselheiros ex-sindicalistas envolvidos na questão dos fundos de pensão (aprovação de legislação pertinente, preparação de cursos e palestras sobre o assunto, a própria gestão dos fundos, dentre outras tarefas). </w:t>
      </w:r>
      <w:r>
        <w:rPr>
          <w:rFonts w:ascii="Times New Roman" w:hAnsi="Times New Roman"/>
          <w:sz w:val="24"/>
          <w:szCs w:val="24"/>
        </w:rPr>
        <w:t>Dentre o mais destacado, figurava o conselheiro Sérgio Rosa, presid</w:t>
      </w:r>
      <w:r w:rsidR="00057BB4">
        <w:rPr>
          <w:rFonts w:ascii="Times New Roman" w:hAnsi="Times New Roman"/>
          <w:sz w:val="24"/>
          <w:szCs w:val="24"/>
        </w:rPr>
        <w:t>ente do maior fundo de pensão da</w:t>
      </w:r>
      <w:r>
        <w:rPr>
          <w:rFonts w:ascii="Times New Roman" w:hAnsi="Times New Roman"/>
          <w:sz w:val="24"/>
          <w:szCs w:val="24"/>
        </w:rPr>
        <w:t xml:space="preserve"> América Latina e o 25º do mundo, o Previ, entre 2003 e 2010. </w:t>
      </w:r>
      <w:r w:rsidR="0095032F">
        <w:rPr>
          <w:rFonts w:ascii="Times New Roman" w:hAnsi="Times New Roman"/>
          <w:sz w:val="24"/>
          <w:szCs w:val="24"/>
        </w:rPr>
        <w:t>Comparecia</w:t>
      </w:r>
      <w:r w:rsidR="00845B19">
        <w:rPr>
          <w:rFonts w:ascii="Times New Roman" w:hAnsi="Times New Roman"/>
          <w:sz w:val="24"/>
          <w:szCs w:val="24"/>
        </w:rPr>
        <w:t>m</w:t>
      </w:r>
      <w:r w:rsidR="0095032F">
        <w:rPr>
          <w:rFonts w:ascii="Times New Roman" w:hAnsi="Times New Roman"/>
          <w:sz w:val="24"/>
          <w:szCs w:val="24"/>
        </w:rPr>
        <w:t xml:space="preserve"> também sindicalistas gestores de </w:t>
      </w:r>
      <w:r w:rsidR="0095032F" w:rsidRPr="0095032F">
        <w:rPr>
          <w:rFonts w:ascii="Times New Roman" w:hAnsi="Times New Roman"/>
          <w:sz w:val="24"/>
          <w:szCs w:val="24"/>
        </w:rPr>
        <w:t>fundos de previdência sindical (no caso da Força Sindical com o FS Previ), e/ou que se esforçavam, junto às Centrais Sindicais (CUT e FS), ao preparo político-ideológico na adesão dos trabalhadores à financeirização dos fundos públicos (fundos de pensão e FGTS).</w:t>
      </w:r>
    </w:p>
    <w:p w:rsidR="00877B9D" w:rsidRPr="000C7CF7" w:rsidRDefault="00515936" w:rsidP="00011D13">
      <w:pPr>
        <w:pStyle w:val="NormalWeb"/>
        <w:spacing w:before="0" w:beforeAutospacing="0" w:after="0" w:afterAutospacing="0" w:line="360" w:lineRule="auto"/>
        <w:ind w:firstLine="708"/>
        <w:jc w:val="both"/>
      </w:pPr>
      <w:r w:rsidRPr="000C7CF7">
        <w:t xml:space="preserve">Trata-se de uma cúpula </w:t>
      </w:r>
      <w:r w:rsidR="00B947AC" w:rsidRPr="000C7CF7">
        <w:t xml:space="preserve">da burocracia </w:t>
      </w:r>
      <w:r w:rsidRPr="000C7CF7">
        <w:t>sindical no CDES que detinha importante papel na gestão não bancária do capital portador de juros, capturando gigantescos recursos do fundo público dos trabalhadores e reconvertendo-os em capital.</w:t>
      </w:r>
      <w:r w:rsidR="00877B9D" w:rsidRPr="000C7CF7">
        <w:t>Como gestores de parcela do trabalho necessário da classe trabalhadora (pois o trabalhador renuncia parte do salário com vistas à contribuição previdenciária complementar gerida pelos fundos), eles se aproximam do que L</w:t>
      </w:r>
      <w:r w:rsidR="0071795A" w:rsidRPr="000C7CF7">
        <w:t>ênin denominou</w:t>
      </w:r>
      <w:r w:rsidR="00877B9D" w:rsidRPr="000C7CF7">
        <w:t xml:space="preserve"> de “verdadeiros </w:t>
      </w:r>
      <w:r w:rsidR="00877B9D" w:rsidRPr="000C7CF7">
        <w:rPr>
          <w:i/>
        </w:rPr>
        <w:t xml:space="preserve">agentes da burguesia </w:t>
      </w:r>
      <w:r w:rsidR="00877B9D" w:rsidRPr="000C7CF7">
        <w:t>no seio do movimento operário, lugar-tenentes operários da classe dos capitalistas (...)”.</w:t>
      </w:r>
      <w:r w:rsidR="00877B9D" w:rsidRPr="000C7CF7">
        <w:rPr>
          <w:rStyle w:val="Refdenotaderodap"/>
        </w:rPr>
        <w:footnoteReference w:id="187"/>
      </w:r>
    </w:p>
    <w:p w:rsidR="00515936" w:rsidRPr="000C7CF7" w:rsidRDefault="000C73ED" w:rsidP="00011D13">
      <w:pPr>
        <w:pStyle w:val="NormalWeb"/>
        <w:spacing w:before="0" w:beforeAutospacing="0" w:after="0" w:afterAutospacing="0" w:line="360" w:lineRule="auto"/>
        <w:ind w:firstLine="708"/>
        <w:jc w:val="both"/>
      </w:pPr>
      <w:r>
        <w:t>O</w:t>
      </w:r>
      <w:r w:rsidR="0071795A" w:rsidRPr="000C7CF7">
        <w:t xml:space="preserve"> montante de recursos provindos do trabalho necessário da classe trabalhadora, administrados pelos “agentes da burguesia” nos fundos de pensão,  retorna agora </w:t>
      </w:r>
      <w:r>
        <w:t>na forma de capital extrator de valor. Tais agentes constituem-se</w:t>
      </w:r>
      <w:r w:rsidR="005D72BB">
        <w:t xml:space="preserve"> como </w:t>
      </w:r>
      <w:r>
        <w:t xml:space="preserve">gestores e </w:t>
      </w:r>
      <w:r w:rsidR="005D72BB">
        <w:t>acionistas, so</w:t>
      </w:r>
      <w:r w:rsidR="0071795A" w:rsidRPr="000C7CF7">
        <w:t xml:space="preserve">ciosproprietários de grandes grupos econômicos, </w:t>
      </w:r>
      <w:r w:rsidR="002B773A" w:rsidRPr="000C7CF7">
        <w:t>incidindo, como resultado da união entre capital produtor de juros e capital produtivo (extrator de mais valor), na</w:t>
      </w:r>
      <w:r>
        <w:t xml:space="preserve"> formação do capital financeiro</w:t>
      </w:r>
      <w:r w:rsidR="002B773A" w:rsidRPr="000C7CF7">
        <w:t>.</w:t>
      </w:r>
    </w:p>
    <w:p w:rsidR="000C73ED" w:rsidRDefault="000C73ED" w:rsidP="00302757">
      <w:pPr>
        <w:spacing w:line="360" w:lineRule="auto"/>
        <w:ind w:firstLine="708"/>
        <w:jc w:val="both"/>
        <w:rPr>
          <w:rFonts w:ascii="Times New Roman" w:hAnsi="Times New Roman"/>
          <w:b/>
          <w:sz w:val="24"/>
          <w:szCs w:val="24"/>
        </w:rPr>
      </w:pPr>
    </w:p>
    <w:p w:rsidR="00582426" w:rsidRPr="00C41598" w:rsidRDefault="00582426" w:rsidP="00302757">
      <w:pPr>
        <w:spacing w:line="360" w:lineRule="auto"/>
        <w:ind w:firstLine="708"/>
        <w:jc w:val="both"/>
        <w:rPr>
          <w:rFonts w:ascii="Times New Roman" w:hAnsi="Times New Roman"/>
          <w:b/>
          <w:sz w:val="24"/>
          <w:szCs w:val="24"/>
        </w:rPr>
      </w:pPr>
      <w:r>
        <w:rPr>
          <w:rFonts w:ascii="Times New Roman" w:hAnsi="Times New Roman"/>
          <w:b/>
          <w:sz w:val="24"/>
          <w:szCs w:val="24"/>
        </w:rPr>
        <w:t xml:space="preserve">2.2.2 – As </w:t>
      </w:r>
      <w:r w:rsidR="0084160C">
        <w:rPr>
          <w:rFonts w:ascii="Times New Roman" w:hAnsi="Times New Roman"/>
          <w:b/>
          <w:sz w:val="24"/>
          <w:szCs w:val="24"/>
        </w:rPr>
        <w:t>“</w:t>
      </w:r>
      <w:r>
        <w:rPr>
          <w:rFonts w:ascii="Times New Roman" w:hAnsi="Times New Roman"/>
          <w:b/>
          <w:sz w:val="24"/>
          <w:szCs w:val="24"/>
        </w:rPr>
        <w:t>Demais Entidades da Sociedade Civil</w:t>
      </w:r>
      <w:r w:rsidR="0084160C">
        <w:rPr>
          <w:rFonts w:ascii="Times New Roman" w:hAnsi="Times New Roman"/>
          <w:b/>
          <w:sz w:val="24"/>
          <w:szCs w:val="24"/>
        </w:rPr>
        <w:t>”</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“Demais Entidades da Sociedade Civil” foi a denominação dada por nós para </w:t>
      </w:r>
      <w:r w:rsidR="000C73ED">
        <w:rPr>
          <w:rFonts w:ascii="Times New Roman" w:hAnsi="Times New Roman"/>
          <w:sz w:val="24"/>
          <w:szCs w:val="24"/>
        </w:rPr>
        <w:t>nos</w:t>
      </w:r>
      <w:r>
        <w:rPr>
          <w:rFonts w:ascii="Times New Roman" w:hAnsi="Times New Roman"/>
          <w:sz w:val="24"/>
          <w:szCs w:val="24"/>
        </w:rPr>
        <w:t xml:space="preserve"> referir</w:t>
      </w:r>
      <w:r w:rsidR="000C73ED">
        <w:rPr>
          <w:rFonts w:ascii="Times New Roman" w:hAnsi="Times New Roman"/>
          <w:sz w:val="24"/>
          <w:szCs w:val="24"/>
        </w:rPr>
        <w:t>mos</w:t>
      </w:r>
      <w:r>
        <w:rPr>
          <w:rFonts w:ascii="Times New Roman" w:hAnsi="Times New Roman"/>
          <w:sz w:val="24"/>
          <w:szCs w:val="24"/>
        </w:rPr>
        <w:t xml:space="preserve"> ao conjunto de associações </w:t>
      </w:r>
      <w:r w:rsidRPr="006427C6">
        <w:rPr>
          <w:rFonts w:ascii="Times New Roman" w:hAnsi="Times New Roman"/>
          <w:i/>
          <w:sz w:val="24"/>
          <w:szCs w:val="24"/>
        </w:rPr>
        <w:t>não diretamente</w:t>
      </w:r>
      <w:r>
        <w:rPr>
          <w:rFonts w:ascii="Times New Roman" w:hAnsi="Times New Roman"/>
          <w:sz w:val="24"/>
          <w:szCs w:val="24"/>
        </w:rPr>
        <w:t xml:space="preserve"> vinculadas às representações classistas do capital e do trabalho no Conselho. Trata-se de uma miríade de associações que busca representar interesses</w:t>
      </w:r>
      <w:r w:rsidR="000C73ED">
        <w:rPr>
          <w:rFonts w:ascii="Times New Roman" w:hAnsi="Times New Roman"/>
          <w:sz w:val="24"/>
          <w:szCs w:val="24"/>
        </w:rPr>
        <w:t>, aspirações</w:t>
      </w:r>
      <w:r>
        <w:rPr>
          <w:rFonts w:ascii="Times New Roman" w:hAnsi="Times New Roman"/>
          <w:sz w:val="24"/>
          <w:szCs w:val="24"/>
        </w:rPr>
        <w:t xml:space="preserve"> e </w:t>
      </w:r>
      <w:r w:rsidR="000C73ED">
        <w:rPr>
          <w:rFonts w:ascii="Times New Roman" w:hAnsi="Times New Roman"/>
          <w:sz w:val="24"/>
          <w:szCs w:val="24"/>
        </w:rPr>
        <w:t>reivindicações</w:t>
      </w:r>
      <w:r>
        <w:rPr>
          <w:rFonts w:ascii="Times New Roman" w:hAnsi="Times New Roman"/>
          <w:sz w:val="24"/>
          <w:szCs w:val="24"/>
        </w:rPr>
        <w:t xml:space="preserve"> dos mais diversos segmentos sociais (estudantis, mulheres, eclesiásticos, aposentados e pensionistas, cegos, indígenas, seringueiros, populações extrativistas, magistrados, advogados, membros do ministério público, movimento negro e dos sem-terra,</w:t>
      </w:r>
      <w:r w:rsidRPr="00582426">
        <w:rPr>
          <w:rStyle w:val="Refdenotaderodap"/>
          <w:rFonts w:ascii="Times New Roman" w:hAnsi="Times New Roman"/>
          <w:sz w:val="24"/>
          <w:szCs w:val="24"/>
        </w:rPr>
        <w:footnoteReference w:id="188"/>
      </w:r>
      <w:r>
        <w:rPr>
          <w:rFonts w:ascii="Times New Roman" w:hAnsi="Times New Roman"/>
          <w:sz w:val="24"/>
          <w:szCs w:val="24"/>
        </w:rPr>
        <w:t xml:space="preserve"> pastoral da terra e da criança, comunidade eclesial de base) e algumas formas de organização coletiva em que prevalece a defesa e a pregação de interesses difusos ou cosmopolitas de cunho filantrópico (associação de ONGs, fóruns em busca da ética na política, institutos de estudos e pesquisas, dentre outros), o qual é corriqueiro depararmos dentre suas “missões” a “construção da cidadania”, a “radicalização da democracia”, a “valorização da vida e da paz”, o “desenvolvimento sustentável”, a “justiça social”, etc.</w:t>
      </w:r>
    </w:p>
    <w:p w:rsidR="00582426" w:rsidRDefault="00582426" w:rsidP="00582426">
      <w:pPr>
        <w:spacing w:after="0" w:line="360" w:lineRule="auto"/>
        <w:ind w:firstLine="708"/>
        <w:jc w:val="both"/>
        <w:rPr>
          <w:rFonts w:ascii="Times New Roman" w:hAnsi="Times New Roman"/>
          <w:sz w:val="24"/>
          <w:szCs w:val="24"/>
        </w:rPr>
      </w:pPr>
    </w:p>
    <w:p w:rsidR="00582426" w:rsidRPr="004634F3" w:rsidRDefault="00582426" w:rsidP="00582426">
      <w:pPr>
        <w:jc w:val="center"/>
        <w:rPr>
          <w:rFonts w:ascii="Times New Roman" w:hAnsi="Times New Roman"/>
          <w:b/>
          <w:sz w:val="24"/>
          <w:szCs w:val="24"/>
        </w:rPr>
      </w:pPr>
      <w:r>
        <w:rPr>
          <w:rFonts w:ascii="Times New Roman" w:hAnsi="Times New Roman"/>
          <w:b/>
          <w:sz w:val="24"/>
          <w:szCs w:val="24"/>
        </w:rPr>
        <w:t>Quadro 2.3 – As “Demais Entidades da Sociedade Civil” (2003-2010)</w:t>
      </w:r>
    </w:p>
    <w:tbl>
      <w:tblPr>
        <w:tblW w:w="4877"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4615"/>
        <w:gridCol w:w="4444"/>
      </w:tblGrid>
      <w:tr w:rsidR="00582426" w:rsidRPr="008211FD" w:rsidTr="008211FD">
        <w:tc>
          <w:tcPr>
            <w:tcW w:w="2547" w:type="pct"/>
            <w:tcBorders>
              <w:top w:val="single" w:sz="8" w:space="0" w:color="4F81BD"/>
              <w:left w:val="single" w:sz="8" w:space="0" w:color="4F81BD"/>
              <w:bottom w:val="single" w:sz="1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Demais Entidades da Sociedade Civil</w:t>
            </w:r>
          </w:p>
        </w:tc>
        <w:tc>
          <w:tcPr>
            <w:tcW w:w="2453" w:type="pct"/>
            <w:tcBorders>
              <w:top w:val="single" w:sz="8" w:space="0" w:color="4F81BD"/>
              <w:left w:val="single" w:sz="8" w:space="0" w:color="4F81BD"/>
              <w:bottom w:val="single" w:sz="1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Conselheiros</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União Nacional dos Estudantes (UNE)</w:t>
            </w:r>
          </w:p>
        </w:tc>
        <w:tc>
          <w:tcPr>
            <w:tcW w:w="2453"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Felipe Maia G. da Silva; Gustavo Petta,</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Movimento dos Trabalhadores Rurais Sem-Terra (MST)</w:t>
            </w:r>
          </w:p>
        </w:tc>
        <w:tc>
          <w:tcPr>
            <w:tcW w:w="2453"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Roberto Baggio</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color w:val="000000"/>
                <w:sz w:val="16"/>
                <w:szCs w:val="16"/>
              </w:rPr>
              <w:t>Articulação Nacional de ONGs de Mulheres Negras</w:t>
            </w:r>
          </w:p>
        </w:tc>
        <w:tc>
          <w:tcPr>
            <w:tcW w:w="2453"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Aparecida Sueli Carneiro</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Conselho Indígena de Roraima</w:t>
            </w:r>
          </w:p>
        </w:tc>
        <w:tc>
          <w:tcPr>
            <w:tcW w:w="2453"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Joênia Batista Carvalho</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Conselho Nacional de Seringueiros</w:t>
            </w:r>
          </w:p>
        </w:tc>
        <w:tc>
          <w:tcPr>
            <w:tcW w:w="2453"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Júlio Aquino</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União Brasileira de Cegos</w:t>
            </w:r>
          </w:p>
        </w:tc>
        <w:tc>
          <w:tcPr>
            <w:tcW w:w="2453"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Adilson Ventura</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Associação Brasileira de Assistência ao Deficiente Visual</w:t>
            </w:r>
          </w:p>
        </w:tc>
        <w:tc>
          <w:tcPr>
            <w:tcW w:w="2453"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Victor Siaulys</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Associação Nacional de Membros de Ministério Público (CONAMP)</w:t>
            </w:r>
          </w:p>
        </w:tc>
        <w:tc>
          <w:tcPr>
            <w:tcW w:w="2453"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Marfan Martins Vieira; João de Deus Duarte Rocha; José Carlos Cosenzo.</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Associação dos Magistrados Brasileiros (AMB)</w:t>
            </w:r>
          </w:p>
        </w:tc>
        <w:tc>
          <w:tcPr>
            <w:tcW w:w="2453"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Rodrigo Collaço</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Ordem dos Advogados do Brasil</w:t>
            </w:r>
          </w:p>
        </w:tc>
        <w:tc>
          <w:tcPr>
            <w:tcW w:w="2453"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Cézar Brito</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Comissão Pastoral da Terra</w:t>
            </w:r>
          </w:p>
        </w:tc>
        <w:tc>
          <w:tcPr>
            <w:tcW w:w="2453"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Dom Tomás Balduíno</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Pastoral da Criança</w:t>
            </w:r>
          </w:p>
        </w:tc>
        <w:tc>
          <w:tcPr>
            <w:tcW w:w="2453"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Zilda Arns</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Cáritas Brasileira (CNBB)</w:t>
            </w:r>
          </w:p>
        </w:tc>
        <w:tc>
          <w:tcPr>
            <w:tcW w:w="2453"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Dom Luiz Demétrio Valentini</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Comunidades Eclesias de Base</w:t>
            </w:r>
          </w:p>
        </w:tc>
        <w:tc>
          <w:tcPr>
            <w:tcW w:w="2453"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Pedro de Assis Ribeiro de Oliveira</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Confederação Brasileira de Aposentados e Pensionista (COBAP)</w:t>
            </w:r>
          </w:p>
        </w:tc>
        <w:tc>
          <w:tcPr>
            <w:tcW w:w="2453"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João Resende Lima</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Conselho Interdenominacional de Ministros Evangélicos do Brasil – CIMEB</w:t>
            </w:r>
          </w:p>
        </w:tc>
        <w:tc>
          <w:tcPr>
            <w:tcW w:w="2453"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Silas Malafaia; Jabes de Alencar.</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Convenção Batista Brasileira</w:t>
            </w:r>
          </w:p>
        </w:tc>
        <w:tc>
          <w:tcPr>
            <w:tcW w:w="2453"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Nilson do Amaral Fanini</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tcPr>
          <w:p w:rsidR="00582426" w:rsidRPr="00317483" w:rsidRDefault="00582426" w:rsidP="005D72BB">
            <w:pPr>
              <w:spacing w:after="0" w:line="240" w:lineRule="auto"/>
              <w:jc w:val="both"/>
              <w:rPr>
                <w:rFonts w:ascii="Times New Roman" w:eastAsia="Times New Roman" w:hAnsi="Times New Roman"/>
                <w:bCs/>
                <w:sz w:val="16"/>
                <w:szCs w:val="16"/>
              </w:rPr>
            </w:pPr>
            <w:r w:rsidRPr="00317483">
              <w:rPr>
                <w:rStyle w:val="Forte"/>
                <w:rFonts w:ascii="Times New Roman" w:eastAsia="Times New Roman" w:hAnsi="Times New Roman"/>
                <w:bCs w:val="0"/>
                <w:sz w:val="16"/>
                <w:szCs w:val="16"/>
              </w:rPr>
              <w:t>Departamento Intersindical de Estatística e Estudos S</w:t>
            </w:r>
            <w:r w:rsidR="005D72BB">
              <w:rPr>
                <w:rStyle w:val="Forte"/>
                <w:rFonts w:ascii="Times New Roman" w:eastAsia="Times New Roman" w:hAnsi="Times New Roman"/>
                <w:bCs w:val="0"/>
                <w:sz w:val="16"/>
                <w:szCs w:val="16"/>
              </w:rPr>
              <w:t>o</w:t>
            </w:r>
            <w:r w:rsidRPr="00317483">
              <w:rPr>
                <w:rStyle w:val="Forte"/>
                <w:rFonts w:ascii="Times New Roman" w:eastAsia="Times New Roman" w:hAnsi="Times New Roman"/>
                <w:bCs w:val="0"/>
                <w:sz w:val="16"/>
                <w:szCs w:val="16"/>
              </w:rPr>
              <w:t>cioEconômicos (DIEESE)</w:t>
            </w:r>
          </w:p>
        </w:tc>
        <w:tc>
          <w:tcPr>
            <w:tcW w:w="2453"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Clemente Ganz Lúcio</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D72BB">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Instituto de Estudos S</w:t>
            </w:r>
            <w:r w:rsidR="005D72BB">
              <w:rPr>
                <w:rFonts w:ascii="Times New Roman" w:eastAsia="Times New Roman" w:hAnsi="Times New Roman"/>
                <w:b/>
                <w:bCs/>
                <w:sz w:val="16"/>
                <w:szCs w:val="16"/>
              </w:rPr>
              <w:t>o</w:t>
            </w:r>
            <w:r w:rsidRPr="008211FD">
              <w:rPr>
                <w:rFonts w:ascii="Times New Roman" w:eastAsia="Times New Roman" w:hAnsi="Times New Roman"/>
                <w:b/>
                <w:bCs/>
                <w:sz w:val="16"/>
                <w:szCs w:val="16"/>
              </w:rPr>
              <w:t>cioEconômicos (INESC)</w:t>
            </w:r>
          </w:p>
        </w:tc>
        <w:tc>
          <w:tcPr>
            <w:tcW w:w="2453"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João Antônio Moroni</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tcPr>
          <w:p w:rsidR="00582426" w:rsidRPr="00317483" w:rsidRDefault="00582426" w:rsidP="008211FD">
            <w:pPr>
              <w:spacing w:after="0" w:line="240" w:lineRule="auto"/>
              <w:jc w:val="both"/>
              <w:rPr>
                <w:rFonts w:ascii="Times New Roman" w:eastAsia="Times New Roman" w:hAnsi="Times New Roman"/>
                <w:bCs/>
                <w:sz w:val="16"/>
                <w:szCs w:val="16"/>
              </w:rPr>
            </w:pPr>
            <w:r w:rsidRPr="00317483">
              <w:rPr>
                <w:rStyle w:val="Forte"/>
                <w:rFonts w:ascii="Times New Roman" w:eastAsia="Times New Roman" w:hAnsi="Times New Roman"/>
                <w:bCs w:val="0"/>
                <w:sz w:val="16"/>
                <w:szCs w:val="16"/>
              </w:rPr>
              <w:t>Instituto Germano Rigotto</w:t>
            </w:r>
          </w:p>
        </w:tc>
        <w:tc>
          <w:tcPr>
            <w:tcW w:w="2453"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Germano Rigotto</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Associação Brasileira das ONGs (ABONG)</w:t>
            </w:r>
          </w:p>
        </w:tc>
        <w:tc>
          <w:tcPr>
            <w:tcW w:w="2453"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Sérgio Haddad</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b/>
                <w:bCs/>
                <w:sz w:val="16"/>
                <w:szCs w:val="16"/>
              </w:rPr>
            </w:pPr>
            <w:r w:rsidRPr="008211FD">
              <w:rPr>
                <w:rFonts w:ascii="Times New Roman" w:eastAsia="Times New Roman" w:hAnsi="Times New Roman"/>
                <w:b/>
                <w:bCs/>
                <w:sz w:val="16"/>
                <w:szCs w:val="16"/>
              </w:rPr>
              <w:t>Fórum pela Ética da Política no Amazonas</w:t>
            </w:r>
          </w:p>
        </w:tc>
        <w:tc>
          <w:tcPr>
            <w:tcW w:w="2453"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Paulo Roberto M. R. Figueiredo</w:t>
            </w:r>
          </w:p>
        </w:tc>
      </w:tr>
      <w:tr w:rsidR="00582426" w:rsidRPr="008211FD" w:rsidTr="008211FD">
        <w:tc>
          <w:tcPr>
            <w:tcW w:w="254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lang w:eastAsia="pt-BR"/>
              </w:rPr>
              <w:t>União e Solidariedade das Cooperativas e Empreendimentos de Economia Social (UNISOL)</w:t>
            </w:r>
          </w:p>
        </w:tc>
        <w:tc>
          <w:tcPr>
            <w:tcW w:w="2453"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sz w:val="16"/>
                <w:szCs w:val="16"/>
              </w:rPr>
            </w:pPr>
            <w:r w:rsidRPr="008211FD">
              <w:rPr>
                <w:rFonts w:ascii="Times New Roman" w:eastAsia="Times New Roman" w:hAnsi="Times New Roman"/>
                <w:sz w:val="16"/>
                <w:szCs w:val="16"/>
              </w:rPr>
              <w:t>Arildo Mota Lopes</w:t>
            </w:r>
          </w:p>
        </w:tc>
      </w:tr>
    </w:tbl>
    <w:p w:rsidR="00582426" w:rsidRDefault="00CB3F9D" w:rsidP="00A6063D">
      <w:pPr>
        <w:spacing w:line="360" w:lineRule="auto"/>
        <w:jc w:val="both"/>
        <w:rPr>
          <w:rFonts w:ascii="Times New Roman" w:hAnsi="Times New Roman"/>
          <w:sz w:val="24"/>
          <w:szCs w:val="24"/>
        </w:rPr>
      </w:pPr>
      <w:r>
        <w:rPr>
          <w:rFonts w:ascii="Times New Roman" w:hAnsi="Times New Roman"/>
          <w:b/>
          <w:sz w:val="18"/>
          <w:szCs w:val="18"/>
        </w:rPr>
        <w:t>Elaboração própria</w:t>
      </w:r>
      <w:r w:rsidR="00A6063D">
        <w:rPr>
          <w:rFonts w:ascii="Times New Roman" w:hAnsi="Times New Roman"/>
          <w:b/>
          <w:sz w:val="18"/>
          <w:szCs w:val="18"/>
        </w:rPr>
        <w:t xml:space="preserve">. Fonte: </w:t>
      </w:r>
      <w:r w:rsidR="00A6063D" w:rsidRPr="00A6063D">
        <w:rPr>
          <w:rFonts w:ascii="Times New Roman" w:hAnsi="Times New Roman"/>
          <w:sz w:val="18"/>
          <w:szCs w:val="18"/>
        </w:rPr>
        <w:t>site do CDES (www.cdes.gov.br)</w:t>
      </w:r>
      <w:r w:rsidR="00A6063D">
        <w:rPr>
          <w:rFonts w:ascii="Times New Roman" w:hAnsi="Times New Roman"/>
          <w:sz w:val="18"/>
          <w:szCs w:val="18"/>
        </w:rPr>
        <w:t>.</w:t>
      </w:r>
    </w:p>
    <w:p w:rsidR="00582426" w:rsidRDefault="00582426" w:rsidP="00582426">
      <w:pPr>
        <w:spacing w:line="360" w:lineRule="auto"/>
        <w:ind w:firstLine="708"/>
        <w:jc w:val="both"/>
        <w:rPr>
          <w:rFonts w:ascii="Times New Roman" w:hAnsi="Times New Roman"/>
          <w:sz w:val="24"/>
          <w:szCs w:val="24"/>
        </w:rPr>
      </w:pPr>
      <w:r>
        <w:rPr>
          <w:rFonts w:ascii="Times New Roman" w:hAnsi="Times New Roman"/>
          <w:sz w:val="24"/>
          <w:szCs w:val="24"/>
        </w:rPr>
        <w:t>Computamos 2</w:t>
      </w:r>
      <w:r w:rsidR="000C7CF7">
        <w:rPr>
          <w:rFonts w:ascii="Times New Roman" w:hAnsi="Times New Roman"/>
          <w:sz w:val="24"/>
          <w:szCs w:val="24"/>
        </w:rPr>
        <w:t>3</w:t>
      </w:r>
      <w:r>
        <w:rPr>
          <w:rFonts w:ascii="Times New Roman" w:hAnsi="Times New Roman"/>
          <w:sz w:val="24"/>
          <w:szCs w:val="24"/>
        </w:rPr>
        <w:t xml:space="preserve"> entidades da sociedade civil não diretamente empresarial ou sindical-laboral representadas no CDES ao longo do período pesquisado (2003-2010). Este número representa o acúmulo desse tipo de entidades (e não o fluxo anual) durante o período. Com exceção do setor empresarial, as demais entidades da sociedade civil, entre 2005 e 2008, inscreveram no Conselho um número levemente superior de representantes se comparado com o setor sindical e de acadêmicos e personalidades. Perderam, porém, força representativa em 2009 e 2010, justamente quando o empresariado ganhou ainda mais representatividade, e os demais segmentos sociais mant</w:t>
      </w:r>
      <w:r w:rsidR="000C73ED">
        <w:rPr>
          <w:rFonts w:ascii="Times New Roman" w:hAnsi="Times New Roman"/>
          <w:sz w:val="24"/>
          <w:szCs w:val="24"/>
        </w:rPr>
        <w:t>iveram</w:t>
      </w:r>
      <w:r>
        <w:rPr>
          <w:rFonts w:ascii="Times New Roman" w:hAnsi="Times New Roman"/>
          <w:sz w:val="24"/>
          <w:szCs w:val="24"/>
        </w:rPr>
        <w:t>-se quase sem alterações. Este movimento pode ser melhor percebido quando tomamos por base a evolução relativa (número de conselheiros por setor/total de conselheiros) anual da composição do Conselho, exposto no gráfico a seguir:</w:t>
      </w:r>
    </w:p>
    <w:p w:rsidR="00582426" w:rsidRDefault="0018135C" w:rsidP="00582426">
      <w:pPr>
        <w:spacing w:after="0"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extent cx="5382107" cy="2669159"/>
            <wp:effectExtent l="12192" t="6096" r="3201" b="0"/>
            <wp:docPr id="3"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B3F9D" w:rsidRDefault="00CB3F9D" w:rsidP="00673F61">
      <w:pPr>
        <w:spacing w:after="0" w:line="360" w:lineRule="auto"/>
        <w:jc w:val="both"/>
        <w:rPr>
          <w:rFonts w:ascii="Times New Roman" w:hAnsi="Times New Roman"/>
          <w:sz w:val="24"/>
          <w:szCs w:val="24"/>
        </w:rPr>
      </w:pPr>
      <w:r>
        <w:rPr>
          <w:rFonts w:ascii="Times New Roman" w:hAnsi="Times New Roman"/>
          <w:b/>
          <w:sz w:val="18"/>
          <w:szCs w:val="18"/>
        </w:rPr>
        <w:t>Elaboração própria</w:t>
      </w:r>
      <w:r w:rsidR="00A6063D">
        <w:rPr>
          <w:rFonts w:ascii="Times New Roman" w:hAnsi="Times New Roman"/>
          <w:b/>
          <w:sz w:val="18"/>
          <w:szCs w:val="18"/>
        </w:rPr>
        <w:t xml:space="preserve">. Fonte: </w:t>
      </w:r>
      <w:r w:rsidR="00A6063D" w:rsidRPr="00A6063D">
        <w:rPr>
          <w:rFonts w:ascii="Times New Roman" w:hAnsi="Times New Roman"/>
          <w:sz w:val="18"/>
          <w:szCs w:val="18"/>
        </w:rPr>
        <w:t>site do CDES (www.cdes.gov.br)</w:t>
      </w:r>
      <w:r w:rsidR="00A6063D">
        <w:rPr>
          <w:rFonts w:ascii="Times New Roman" w:hAnsi="Times New Roman"/>
          <w:sz w:val="18"/>
          <w:szCs w:val="18"/>
        </w:rPr>
        <w:t>.</w:t>
      </w:r>
    </w:p>
    <w:p w:rsidR="00582426" w:rsidRDefault="00582426" w:rsidP="00582426">
      <w:pPr>
        <w:spacing w:before="240" w:after="0" w:line="360" w:lineRule="auto"/>
        <w:ind w:firstLine="708"/>
        <w:jc w:val="both"/>
        <w:rPr>
          <w:rFonts w:ascii="Times New Roman" w:hAnsi="Times New Roman"/>
          <w:sz w:val="24"/>
          <w:szCs w:val="24"/>
        </w:rPr>
      </w:pPr>
      <w:r>
        <w:rPr>
          <w:rFonts w:ascii="Times New Roman" w:hAnsi="Times New Roman"/>
          <w:sz w:val="24"/>
          <w:szCs w:val="24"/>
        </w:rPr>
        <w:t xml:space="preserve">Certamente, os conselheiros que delas participavam não compunham a magnitude da teia associativa de que o empresariado ali presente formava - o que, neste caso, significava que para cada entidade empresarial atuavam muitos conselheiros (situação patente nos casos da </w:t>
      </w:r>
      <w:r w:rsidR="000834BC">
        <w:rPr>
          <w:rFonts w:ascii="Times New Roman" w:hAnsi="Times New Roman"/>
          <w:sz w:val="24"/>
          <w:szCs w:val="24"/>
        </w:rPr>
        <w:t>FIESP</w:t>
      </w:r>
      <w:r>
        <w:rPr>
          <w:rFonts w:ascii="Times New Roman" w:hAnsi="Times New Roman"/>
          <w:sz w:val="24"/>
          <w:szCs w:val="24"/>
        </w:rPr>
        <w:t>, CNI, F</w:t>
      </w:r>
      <w:r w:rsidR="009D3308">
        <w:rPr>
          <w:rFonts w:ascii="Times New Roman" w:hAnsi="Times New Roman"/>
          <w:sz w:val="24"/>
          <w:szCs w:val="24"/>
        </w:rPr>
        <w:t>EBRABAN</w:t>
      </w:r>
      <w:r>
        <w:rPr>
          <w:rFonts w:ascii="Times New Roman" w:hAnsi="Times New Roman"/>
          <w:sz w:val="24"/>
          <w:szCs w:val="24"/>
        </w:rPr>
        <w:t>, ABDIB, ANFAVEA, IEDI, etc.) – ainda que não possamos, nos limites deste trabalho, trazer elementos demonstrativos destas discrepâncias. Aliás, nenhum outro setor presente no CDES estava tão organizado em aparelhos privados de hegemonia da sociedade civil quanto o empresariado.</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Cumpre destacar ainda que estas demais entidades da sociedade civil se caracterizavam por </w:t>
      </w:r>
      <w:r w:rsidRPr="006427C6">
        <w:rPr>
          <w:rFonts w:ascii="Times New Roman" w:hAnsi="Times New Roman"/>
          <w:i/>
          <w:sz w:val="24"/>
          <w:szCs w:val="24"/>
        </w:rPr>
        <w:t>não estarem diretamente</w:t>
      </w:r>
      <w:r>
        <w:rPr>
          <w:rFonts w:ascii="Times New Roman" w:hAnsi="Times New Roman"/>
          <w:sz w:val="24"/>
          <w:szCs w:val="24"/>
        </w:rPr>
        <w:t xml:space="preserve"> vinculadas tanto às confederações, federações, sindicatos e associações paralelas patronais quanto às centrais e sindicatos dos trabalhadores. Também se diferenciavam daquelas que, não se enquadrando na estrutura corporativa de representação de interesses, buscavam a edificação de uma nova cultura empresarial, isto é, da reanimação do senso de pertencimento à classe por meio do ideário da </w:t>
      </w:r>
      <w:r>
        <w:rPr>
          <w:rFonts w:ascii="Times New Roman" w:hAnsi="Times New Roman"/>
          <w:i/>
          <w:sz w:val="24"/>
          <w:szCs w:val="24"/>
        </w:rPr>
        <w:t xml:space="preserve">responsabilidade empresarial </w:t>
      </w:r>
      <w:r>
        <w:rPr>
          <w:rFonts w:ascii="Times New Roman" w:hAnsi="Times New Roman"/>
          <w:sz w:val="24"/>
          <w:szCs w:val="24"/>
        </w:rPr>
        <w:t xml:space="preserve">como servem de exemplo a Associação Brasileira de Empresários para a Cidadania (CIVES) e o Instituto Ethos de Empresas e Responsabilidade Social. O corpo teórico adotado, porém, não nos permite aceitá-las como pertencentes a um suposto etéreo “Terceiro Setor”: por mais que suas demandas e propósitos não se direcionassem, num primeiro olhar, a um conteúdo de caráter puramente classista, é óbvio que estavam premidas pelas relações sociais de produção que as atravessavam. </w:t>
      </w:r>
    </w:p>
    <w:p w:rsidR="00582426" w:rsidRDefault="00582426" w:rsidP="00582426">
      <w:pPr>
        <w:spacing w:line="360" w:lineRule="auto"/>
        <w:ind w:firstLine="708"/>
        <w:jc w:val="both"/>
        <w:rPr>
          <w:rFonts w:ascii="Times New Roman" w:hAnsi="Times New Roman"/>
          <w:sz w:val="24"/>
          <w:szCs w:val="24"/>
        </w:rPr>
      </w:pPr>
      <w:r>
        <w:rPr>
          <w:rFonts w:ascii="Times New Roman" w:hAnsi="Times New Roman"/>
          <w:sz w:val="24"/>
          <w:szCs w:val="24"/>
        </w:rPr>
        <w:t xml:space="preserve">Não poderia deixar de destacar um ponto importante. A busca pelo pluralismo na composição da plenária do CDES sempre foi propalada pelos seus organizadores e analistas. A participação de um leque amplo de grupos e setores sociais no Conselho (ainda que esta heterogeneidade estivesse imantada ou ofuscada por um predomínio absoluto das frações da classe burguesa ali presente) almejava, sem dúvidas, credenciá-lo como uma arena democrática inaugurada sob a gestão de um agrupamento político que historicamente reivindicou a ampliação e a qualificação participativa dos sujeitos sociais e dos fóruns e órgãos de decisão pública. Ocorre que </w:t>
      </w:r>
      <w:r w:rsidRPr="00E102FB">
        <w:rPr>
          <w:rFonts w:ascii="Times New Roman" w:hAnsi="Times New Roman"/>
          <w:i/>
          <w:sz w:val="24"/>
          <w:szCs w:val="24"/>
        </w:rPr>
        <w:t>nenhuma</w:t>
      </w:r>
      <w:r w:rsidRPr="00E102FB">
        <w:rPr>
          <w:rFonts w:ascii="Times New Roman" w:hAnsi="Times New Roman"/>
          <w:sz w:val="24"/>
          <w:szCs w:val="24"/>
        </w:rPr>
        <w:t xml:space="preserve"> entidade da sociedade civil r</w:t>
      </w:r>
      <w:r>
        <w:rPr>
          <w:rFonts w:ascii="Times New Roman" w:hAnsi="Times New Roman"/>
          <w:sz w:val="24"/>
          <w:szCs w:val="24"/>
        </w:rPr>
        <w:t xml:space="preserve">epresentada no CDES compunha o conjunto também heterogêneo de forças e organizações político-ideológicas pertencente ao que poderíamos denominar de campo marxista-revolucionário, nem mesmo no que tange aos intelectuais. Esta ausência pode ser matizada por meio das aceleradas e profundas mudanças por que passou a sociedade brasileira nas duas últimas décadas em geral, e o próprio Partido dos Trabalhadores em particular. Marcar esta e outras ausências significa atentar para </w:t>
      </w:r>
      <w:r w:rsidRPr="007F2F2C">
        <w:rPr>
          <w:rFonts w:ascii="Times New Roman" w:hAnsi="Times New Roman"/>
          <w:i/>
          <w:sz w:val="24"/>
          <w:szCs w:val="24"/>
        </w:rPr>
        <w:t>uma das</w:t>
      </w:r>
      <w:r>
        <w:rPr>
          <w:rFonts w:ascii="Times New Roman" w:hAnsi="Times New Roman"/>
          <w:sz w:val="24"/>
          <w:szCs w:val="24"/>
        </w:rPr>
        <w:t xml:space="preserve"> facetas limitadoras da ação participativa e democrática propugnada no e pelo Conselho.</w:t>
      </w:r>
    </w:p>
    <w:p w:rsidR="00582426" w:rsidRPr="00A3157F" w:rsidRDefault="00582426" w:rsidP="00582426">
      <w:pPr>
        <w:spacing w:line="360" w:lineRule="auto"/>
        <w:ind w:firstLine="708"/>
        <w:jc w:val="both"/>
        <w:rPr>
          <w:rFonts w:ascii="Times New Roman" w:hAnsi="Times New Roman"/>
          <w:b/>
          <w:sz w:val="24"/>
          <w:szCs w:val="24"/>
        </w:rPr>
      </w:pPr>
      <w:r>
        <w:rPr>
          <w:rFonts w:ascii="Times New Roman" w:hAnsi="Times New Roman"/>
          <w:b/>
          <w:sz w:val="24"/>
          <w:szCs w:val="24"/>
        </w:rPr>
        <w:t>2.2.3</w:t>
      </w:r>
      <w:r w:rsidRPr="00A3157F">
        <w:rPr>
          <w:rFonts w:ascii="Times New Roman" w:hAnsi="Times New Roman"/>
          <w:b/>
          <w:sz w:val="24"/>
          <w:szCs w:val="24"/>
        </w:rPr>
        <w:t xml:space="preserve"> – </w:t>
      </w:r>
      <w:r>
        <w:rPr>
          <w:rFonts w:ascii="Times New Roman" w:hAnsi="Times New Roman"/>
          <w:b/>
          <w:sz w:val="24"/>
          <w:szCs w:val="24"/>
        </w:rPr>
        <w:t>A</w:t>
      </w:r>
      <w:r w:rsidRPr="00A3157F">
        <w:rPr>
          <w:rFonts w:ascii="Times New Roman" w:hAnsi="Times New Roman"/>
          <w:b/>
          <w:sz w:val="24"/>
          <w:szCs w:val="24"/>
        </w:rPr>
        <w:t xml:space="preserve">cadêmicos e personalidades </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Este segmento trata dos conselheiros que se notabilizaram como artistas, esportistas, políticos, militares, juristas, magistrados e, sobretudo, acadêmicos (reitores, professores e pesquisadores). Trata-se daqueles que, </w:t>
      </w:r>
      <w:r w:rsidR="002E0CA0" w:rsidRPr="002E0CA0">
        <w:rPr>
          <w:rFonts w:ascii="Times New Roman" w:hAnsi="Times New Roman"/>
          <w:i/>
          <w:sz w:val="24"/>
          <w:szCs w:val="24"/>
        </w:rPr>
        <w:t>com exceção de alguns intelectuais acadêmicos</w:t>
      </w:r>
      <w:r>
        <w:rPr>
          <w:rFonts w:ascii="Times New Roman" w:hAnsi="Times New Roman"/>
          <w:sz w:val="24"/>
          <w:szCs w:val="24"/>
        </w:rPr>
        <w:t>, não possuíam trajetória empresarial, laboral/sindical e tampouco se qualificavam como lideranças de entidades da sociedade civil, apesar de alguns participarem delas. Ademais, conforme se observa nos gráficos 2.1 e 2.2 acima, este segmento social perdeu significativa presença no Conselho a partir do segundo mandato de Lula da Silva (2007-2010) – sendo aquele que mais se esvaziou neste período -, ficando estacionado na faixa dos 10% da plenária.</w:t>
      </w:r>
    </w:p>
    <w:p w:rsidR="00582426" w:rsidRDefault="00582426" w:rsidP="00582426">
      <w:pPr>
        <w:spacing w:line="360" w:lineRule="auto"/>
        <w:ind w:firstLine="708"/>
        <w:jc w:val="both"/>
        <w:rPr>
          <w:rFonts w:ascii="Times New Roman" w:hAnsi="Times New Roman"/>
          <w:sz w:val="24"/>
          <w:szCs w:val="24"/>
        </w:rPr>
      </w:pPr>
      <w:r>
        <w:rPr>
          <w:rFonts w:ascii="Times New Roman" w:hAnsi="Times New Roman"/>
          <w:sz w:val="24"/>
          <w:szCs w:val="24"/>
        </w:rPr>
        <w:t>Dos 30 conselheiros deste segmento que participaram do CDES entre 2003 e 2010, somente 6 não eram acadêmicos,</w:t>
      </w:r>
      <w:r w:rsidRPr="00A6063D">
        <w:rPr>
          <w:rStyle w:val="Refdenotaderodap"/>
          <w:rFonts w:ascii="Times New Roman" w:hAnsi="Times New Roman"/>
          <w:sz w:val="24"/>
          <w:szCs w:val="24"/>
        </w:rPr>
        <w:footnoteReference w:id="189"/>
      </w:r>
      <w:r>
        <w:rPr>
          <w:rFonts w:ascii="Times New Roman" w:hAnsi="Times New Roman"/>
          <w:sz w:val="24"/>
          <w:szCs w:val="24"/>
        </w:rPr>
        <w:t>isto é, 80% deles se credenciavam como destacados intelectuais acadêmicos nas áreas científicas em que atuavam</w:t>
      </w:r>
      <w:r w:rsidR="00780E08">
        <w:rPr>
          <w:rFonts w:ascii="Times New Roman" w:hAnsi="Times New Roman"/>
          <w:sz w:val="24"/>
          <w:szCs w:val="24"/>
        </w:rPr>
        <w:t>.</w:t>
      </w:r>
      <w:r>
        <w:rPr>
          <w:rFonts w:ascii="Times New Roman" w:hAnsi="Times New Roman"/>
          <w:sz w:val="24"/>
          <w:szCs w:val="24"/>
        </w:rPr>
        <w:t xml:space="preserve"> Dentre estes, 37,5% (9 conselheiros-acadêmicos) eram economistas renomados, seguidos de 20% (5 conselheiros-acadêmicos) de cientistas/sociólogos políticos, de 12,5% (3 conselheiros-acadêmicos) que se concentravam no campo do direito e de 16,5% (4 conselheiros-acadêmicos) que trabalhavam nas áreas de educação e saúde pública. Os lugares s</w:t>
      </w:r>
      <w:r w:rsidR="00CA0999">
        <w:rPr>
          <w:rFonts w:ascii="Times New Roman" w:hAnsi="Times New Roman"/>
          <w:sz w:val="24"/>
          <w:szCs w:val="24"/>
        </w:rPr>
        <w:t>o</w:t>
      </w:r>
      <w:r>
        <w:rPr>
          <w:rFonts w:ascii="Times New Roman" w:hAnsi="Times New Roman"/>
          <w:sz w:val="24"/>
          <w:szCs w:val="24"/>
        </w:rPr>
        <w:t>cioprofissionais por que circulavam ligavam-se, principalmente, às universidades públicas, instituições e centros de pesquisa. O quadro abaixo traz um resumido perfil acadêmico dos referidos intelectuais:</w:t>
      </w:r>
    </w:p>
    <w:p w:rsidR="00582426" w:rsidRPr="003E40CE" w:rsidRDefault="00582426" w:rsidP="00582426">
      <w:pPr>
        <w:ind w:firstLine="708"/>
        <w:jc w:val="center"/>
        <w:rPr>
          <w:rFonts w:ascii="Times New Roman" w:hAnsi="Times New Roman"/>
          <w:sz w:val="24"/>
          <w:szCs w:val="24"/>
        </w:rPr>
      </w:pPr>
      <w:r>
        <w:rPr>
          <w:rFonts w:ascii="Times New Roman" w:hAnsi="Times New Roman"/>
          <w:b/>
          <w:sz w:val="24"/>
          <w:szCs w:val="24"/>
        </w:rPr>
        <w:t>Quadro 2.4 – Lugares e áreas de atuação profissionais dos conselheiros-acadêmicos</w:t>
      </w:r>
    </w:p>
    <w:tbl>
      <w:tblPr>
        <w:tblW w:w="4958"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873"/>
        <w:gridCol w:w="4074"/>
        <w:gridCol w:w="2262"/>
      </w:tblGrid>
      <w:tr w:rsidR="00582426" w:rsidRPr="008211FD" w:rsidTr="00CB3F9D">
        <w:tc>
          <w:tcPr>
            <w:tcW w:w="1560" w:type="pct"/>
            <w:tcBorders>
              <w:top w:val="single" w:sz="8" w:space="0" w:color="4F81BD"/>
              <w:left w:val="single" w:sz="8" w:space="0" w:color="4F81BD"/>
              <w:bottom w:val="single" w:sz="18" w:space="0" w:color="4F81BD"/>
              <w:right w:val="single" w:sz="8" w:space="0" w:color="4F81BD"/>
            </w:tcBorders>
          </w:tcPr>
          <w:p w:rsidR="00582426" w:rsidRPr="00AB0CCB" w:rsidRDefault="00582426" w:rsidP="00582426">
            <w:pPr>
              <w:spacing w:after="0" w:line="240" w:lineRule="auto"/>
              <w:rPr>
                <w:rFonts w:ascii="Times New Roman" w:eastAsia="Times New Roman" w:hAnsi="Times New Roman"/>
                <w:b/>
                <w:bCs/>
                <w:sz w:val="20"/>
                <w:szCs w:val="20"/>
              </w:rPr>
            </w:pPr>
            <w:r w:rsidRPr="00AB0CCB">
              <w:rPr>
                <w:rFonts w:ascii="Times New Roman" w:eastAsia="Times New Roman" w:hAnsi="Times New Roman"/>
                <w:b/>
                <w:bCs/>
                <w:sz w:val="20"/>
                <w:szCs w:val="20"/>
              </w:rPr>
              <w:t>Conselheiros-acadêmicos</w:t>
            </w:r>
            <w:r>
              <w:rPr>
                <w:rStyle w:val="Refdenotaderodap"/>
                <w:rFonts w:ascii="Times New Roman" w:eastAsia="Times New Roman" w:hAnsi="Times New Roman"/>
                <w:b/>
                <w:bCs/>
                <w:sz w:val="20"/>
                <w:szCs w:val="20"/>
              </w:rPr>
              <w:footnoteReference w:id="190"/>
            </w:r>
          </w:p>
        </w:tc>
        <w:tc>
          <w:tcPr>
            <w:tcW w:w="2212" w:type="pct"/>
            <w:tcBorders>
              <w:top w:val="single" w:sz="8" w:space="0" w:color="4F81BD"/>
              <w:left w:val="single" w:sz="8" w:space="0" w:color="4F81BD"/>
              <w:bottom w:val="single" w:sz="18" w:space="0" w:color="4F81BD"/>
              <w:right w:val="single" w:sz="8" w:space="0" w:color="4F81BD"/>
            </w:tcBorders>
          </w:tcPr>
          <w:p w:rsidR="00582426" w:rsidRPr="00E76A19" w:rsidRDefault="00582426" w:rsidP="00582426">
            <w:pPr>
              <w:spacing w:after="0" w:line="240" w:lineRule="auto"/>
              <w:rPr>
                <w:rFonts w:ascii="Times New Roman" w:eastAsia="Times New Roman" w:hAnsi="Times New Roman"/>
                <w:b/>
                <w:bCs/>
                <w:sz w:val="20"/>
                <w:szCs w:val="20"/>
              </w:rPr>
            </w:pPr>
            <w:r w:rsidRPr="00E76A19">
              <w:rPr>
                <w:rFonts w:ascii="Times New Roman" w:eastAsia="Times New Roman" w:hAnsi="Times New Roman"/>
                <w:b/>
                <w:bCs/>
                <w:sz w:val="20"/>
                <w:szCs w:val="20"/>
              </w:rPr>
              <w:t>Área</w:t>
            </w:r>
            <w:r>
              <w:rPr>
                <w:rFonts w:ascii="Times New Roman" w:eastAsia="Times New Roman" w:hAnsi="Times New Roman"/>
                <w:b/>
                <w:bCs/>
                <w:sz w:val="20"/>
                <w:szCs w:val="20"/>
              </w:rPr>
              <w:t>s de formação/</w:t>
            </w:r>
            <w:r w:rsidRPr="00E76A19">
              <w:rPr>
                <w:rFonts w:ascii="Times New Roman" w:eastAsia="Times New Roman" w:hAnsi="Times New Roman"/>
                <w:b/>
                <w:bCs/>
                <w:sz w:val="20"/>
                <w:szCs w:val="20"/>
              </w:rPr>
              <w:t>atuação</w:t>
            </w:r>
            <w:r>
              <w:rPr>
                <w:rFonts w:ascii="Times New Roman" w:eastAsia="Times New Roman" w:hAnsi="Times New Roman"/>
                <w:b/>
                <w:bCs/>
                <w:sz w:val="20"/>
                <w:szCs w:val="20"/>
              </w:rPr>
              <w:t>/especialização</w:t>
            </w:r>
          </w:p>
        </w:tc>
        <w:tc>
          <w:tcPr>
            <w:tcW w:w="1228" w:type="pct"/>
            <w:tcBorders>
              <w:top w:val="single" w:sz="8" w:space="0" w:color="4F81BD"/>
              <w:left w:val="single" w:sz="8" w:space="0" w:color="4F81BD"/>
              <w:bottom w:val="single" w:sz="18" w:space="0" w:color="4F81BD"/>
              <w:right w:val="single" w:sz="8" w:space="0" w:color="4F81BD"/>
            </w:tcBorders>
          </w:tcPr>
          <w:p w:rsidR="00582426" w:rsidRPr="00E76A19" w:rsidRDefault="00582426" w:rsidP="00582426">
            <w:pPr>
              <w:spacing w:after="0" w:line="240" w:lineRule="auto"/>
              <w:rPr>
                <w:rFonts w:ascii="Times New Roman" w:eastAsia="Times New Roman" w:hAnsi="Times New Roman"/>
                <w:b/>
                <w:bCs/>
                <w:sz w:val="20"/>
                <w:szCs w:val="20"/>
              </w:rPr>
            </w:pPr>
            <w:r w:rsidRPr="00E76A19">
              <w:rPr>
                <w:rFonts w:ascii="Times New Roman" w:eastAsia="Times New Roman" w:hAnsi="Times New Roman"/>
                <w:b/>
                <w:bCs/>
                <w:sz w:val="20"/>
                <w:szCs w:val="20"/>
              </w:rPr>
              <w:t>Instituição</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shd w:val="clear" w:color="auto" w:fill="D3DFEE"/>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Cândido Mendes</w:t>
            </w:r>
          </w:p>
        </w:tc>
        <w:tc>
          <w:tcPr>
            <w:tcW w:w="221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Direito e Filosofia (escritor)</w:t>
            </w:r>
          </w:p>
        </w:tc>
        <w:tc>
          <w:tcPr>
            <w:tcW w:w="1228"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UCAM</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Cláudio Soares de O. Ferreira</w:t>
            </w:r>
          </w:p>
        </w:tc>
        <w:tc>
          <w:tcPr>
            <w:tcW w:w="221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Direito</w:t>
            </w:r>
          </w:p>
        </w:tc>
        <w:tc>
          <w:tcPr>
            <w:tcW w:w="1228"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UFPE/TCE-PE</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shd w:val="clear" w:color="auto" w:fill="D3DFEE"/>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Clélio Campolina Diniz</w:t>
            </w:r>
          </w:p>
        </w:tc>
        <w:tc>
          <w:tcPr>
            <w:tcW w:w="221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Economia</w:t>
            </w:r>
          </w:p>
        </w:tc>
        <w:tc>
          <w:tcPr>
            <w:tcW w:w="1228"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UFMG</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Delfim Netto</w:t>
            </w:r>
            <w:r>
              <w:rPr>
                <w:rStyle w:val="Refdenotaderodap"/>
                <w:rFonts w:ascii="Times New Roman" w:eastAsia="Times New Roman" w:hAnsi="Times New Roman"/>
                <w:bCs/>
                <w:sz w:val="16"/>
                <w:szCs w:val="16"/>
              </w:rPr>
              <w:footnoteReference w:id="191"/>
            </w:r>
          </w:p>
        </w:tc>
        <w:tc>
          <w:tcPr>
            <w:tcW w:w="221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Economia</w:t>
            </w:r>
          </w:p>
        </w:tc>
        <w:tc>
          <w:tcPr>
            <w:tcW w:w="1228"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FEA-USP</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shd w:val="clear" w:color="auto" w:fill="D3DFEE"/>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Fernando Cardim</w:t>
            </w:r>
          </w:p>
        </w:tc>
        <w:tc>
          <w:tcPr>
            <w:tcW w:w="221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Economia</w:t>
            </w:r>
          </w:p>
        </w:tc>
        <w:tc>
          <w:tcPr>
            <w:tcW w:w="1228"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UFRJ</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Frank Algot Eugen Svensson</w:t>
            </w:r>
          </w:p>
        </w:tc>
        <w:tc>
          <w:tcPr>
            <w:tcW w:w="221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Arquitetura e Urbanismo</w:t>
            </w:r>
          </w:p>
        </w:tc>
        <w:tc>
          <w:tcPr>
            <w:tcW w:w="1228"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UnB</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shd w:val="clear" w:color="auto" w:fill="D3DFEE"/>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Glaci Therezinha Zancan</w:t>
            </w:r>
          </w:p>
        </w:tc>
        <w:tc>
          <w:tcPr>
            <w:tcW w:w="221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Bioquímica</w:t>
            </w:r>
          </w:p>
        </w:tc>
        <w:tc>
          <w:tcPr>
            <w:tcW w:w="1228"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UFPR</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Hélgio Trindade</w:t>
            </w:r>
          </w:p>
        </w:tc>
        <w:tc>
          <w:tcPr>
            <w:tcW w:w="221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Ciência Política</w:t>
            </w:r>
          </w:p>
        </w:tc>
        <w:tc>
          <w:tcPr>
            <w:tcW w:w="1228"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UFRGS</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shd w:val="clear" w:color="auto" w:fill="D3DFEE"/>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José Carlos Braga</w:t>
            </w:r>
          </w:p>
        </w:tc>
        <w:tc>
          <w:tcPr>
            <w:tcW w:w="221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Economia</w:t>
            </w:r>
          </w:p>
        </w:tc>
        <w:tc>
          <w:tcPr>
            <w:tcW w:w="1228"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Unicamp</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shd w:val="clear" w:color="auto" w:fill="D3DFEE"/>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José Fernandes do Rêgo</w:t>
            </w:r>
          </w:p>
        </w:tc>
        <w:tc>
          <w:tcPr>
            <w:tcW w:w="221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Economia</w:t>
            </w:r>
          </w:p>
        </w:tc>
        <w:tc>
          <w:tcPr>
            <w:tcW w:w="1228"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UFAC</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shd w:val="clear" w:color="auto" w:fill="D3DFEE"/>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José Vicente</w:t>
            </w:r>
          </w:p>
        </w:tc>
        <w:tc>
          <w:tcPr>
            <w:tcW w:w="221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Direito, Administração e Educação</w:t>
            </w:r>
          </w:p>
        </w:tc>
        <w:tc>
          <w:tcPr>
            <w:tcW w:w="1228"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Univ. Zumbi Palmares</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Luis Manuel R. Fernandes</w:t>
            </w:r>
          </w:p>
        </w:tc>
        <w:tc>
          <w:tcPr>
            <w:tcW w:w="221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Ciência Política</w:t>
            </w:r>
          </w:p>
        </w:tc>
        <w:tc>
          <w:tcPr>
            <w:tcW w:w="1228"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UFF/UFRJ/PUC-RJ</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shd w:val="clear" w:color="auto" w:fill="D3DFEE"/>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Luiz Aimberê S. de Freitas</w:t>
            </w:r>
          </w:p>
        </w:tc>
        <w:tc>
          <w:tcPr>
            <w:tcW w:w="221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Economia, Administração e Zootecnia</w:t>
            </w:r>
          </w:p>
        </w:tc>
        <w:tc>
          <w:tcPr>
            <w:tcW w:w="1228"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UFRR</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Luiz Gonzaga de M. Belluzzo</w:t>
            </w:r>
          </w:p>
        </w:tc>
        <w:tc>
          <w:tcPr>
            <w:tcW w:w="221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Economia</w:t>
            </w:r>
          </w:p>
        </w:tc>
        <w:tc>
          <w:tcPr>
            <w:tcW w:w="1228"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Unicamp</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shd w:val="clear" w:color="auto" w:fill="D3DFEE"/>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Marcelo Neri</w:t>
            </w:r>
          </w:p>
        </w:tc>
        <w:tc>
          <w:tcPr>
            <w:tcW w:w="221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Economia</w:t>
            </w:r>
          </w:p>
        </w:tc>
        <w:tc>
          <w:tcPr>
            <w:tcW w:w="1228"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FGV</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Maria Victória Benevides</w:t>
            </w:r>
          </w:p>
        </w:tc>
        <w:tc>
          <w:tcPr>
            <w:tcW w:w="221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 xml:space="preserve">Sociologia Política e Educação </w:t>
            </w:r>
          </w:p>
        </w:tc>
        <w:tc>
          <w:tcPr>
            <w:tcW w:w="1228"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USP</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shd w:val="clear" w:color="auto" w:fill="D3DFEE"/>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Muniz Sodré de Araújo Cabral</w:t>
            </w:r>
          </w:p>
        </w:tc>
        <w:tc>
          <w:tcPr>
            <w:tcW w:w="221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Comunicação Social (jornalista e escritor)</w:t>
            </w:r>
          </w:p>
        </w:tc>
        <w:tc>
          <w:tcPr>
            <w:tcW w:w="1228"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UFRJ</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Naomar Monteiro de A. Filho</w:t>
            </w:r>
          </w:p>
        </w:tc>
        <w:tc>
          <w:tcPr>
            <w:tcW w:w="221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Epidemiologia e Saúde Pública</w:t>
            </w:r>
          </w:p>
        </w:tc>
        <w:tc>
          <w:tcPr>
            <w:tcW w:w="1228"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UFBA</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shd w:val="clear" w:color="auto" w:fill="D3DFEE"/>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Paulo Speller</w:t>
            </w:r>
          </w:p>
        </w:tc>
        <w:tc>
          <w:tcPr>
            <w:tcW w:w="221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Ciência Política, Psicologia e Educação</w:t>
            </w:r>
          </w:p>
        </w:tc>
        <w:tc>
          <w:tcPr>
            <w:tcW w:w="1228"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UNILAB</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Ricardo Paes de Barros</w:t>
            </w:r>
          </w:p>
        </w:tc>
        <w:tc>
          <w:tcPr>
            <w:tcW w:w="221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Economia</w:t>
            </w:r>
          </w:p>
        </w:tc>
        <w:tc>
          <w:tcPr>
            <w:tcW w:w="1228"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IPEA/ Yale (EUA)</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shd w:val="clear" w:color="auto" w:fill="D3DFEE"/>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Silvio Meira</w:t>
            </w:r>
          </w:p>
        </w:tc>
        <w:tc>
          <w:tcPr>
            <w:tcW w:w="221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Computação/Engenharia de Software</w:t>
            </w:r>
          </w:p>
        </w:tc>
        <w:tc>
          <w:tcPr>
            <w:tcW w:w="1228"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UFPE</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Sonia Maria Fleury Teixeira</w:t>
            </w:r>
          </w:p>
        </w:tc>
        <w:tc>
          <w:tcPr>
            <w:tcW w:w="221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Ciência Política e Saúde Pública</w:t>
            </w:r>
          </w:p>
        </w:tc>
        <w:tc>
          <w:tcPr>
            <w:tcW w:w="1228"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FioCruz/FGV</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shd w:val="clear" w:color="auto" w:fill="D3DFEE"/>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Tânia Barcelar</w:t>
            </w:r>
          </w:p>
        </w:tc>
        <w:tc>
          <w:tcPr>
            <w:tcW w:w="2212"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Economia</w:t>
            </w:r>
          </w:p>
        </w:tc>
        <w:tc>
          <w:tcPr>
            <w:tcW w:w="1228"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UFPE</w:t>
            </w:r>
          </w:p>
        </w:tc>
      </w:tr>
      <w:tr w:rsidR="00582426" w:rsidRPr="008211FD" w:rsidTr="00CB3F9D">
        <w:tc>
          <w:tcPr>
            <w:tcW w:w="1560" w:type="pct"/>
            <w:tcBorders>
              <w:top w:val="single" w:sz="8" w:space="0" w:color="4F81BD"/>
              <w:left w:val="single" w:sz="8" w:space="0" w:color="4F81BD"/>
              <w:bottom w:val="single" w:sz="8" w:space="0" w:color="4F81BD"/>
              <w:right w:val="single" w:sz="8" w:space="0" w:color="4F81BD"/>
            </w:tcBorders>
          </w:tcPr>
          <w:p w:rsidR="00582426" w:rsidRPr="00D73920" w:rsidRDefault="00582426" w:rsidP="00582426">
            <w:pPr>
              <w:spacing w:after="0" w:line="240" w:lineRule="auto"/>
              <w:rPr>
                <w:rFonts w:ascii="Times New Roman" w:eastAsia="Times New Roman" w:hAnsi="Times New Roman"/>
                <w:bCs/>
                <w:sz w:val="16"/>
                <w:szCs w:val="16"/>
              </w:rPr>
            </w:pPr>
            <w:r w:rsidRPr="00D73920">
              <w:rPr>
                <w:rFonts w:ascii="Times New Roman" w:eastAsia="Times New Roman" w:hAnsi="Times New Roman"/>
                <w:bCs/>
                <w:sz w:val="16"/>
                <w:szCs w:val="16"/>
              </w:rPr>
              <w:t>Virgílio Costa</w:t>
            </w:r>
          </w:p>
        </w:tc>
        <w:tc>
          <w:tcPr>
            <w:tcW w:w="2212"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Historiador</w:t>
            </w:r>
          </w:p>
        </w:tc>
        <w:tc>
          <w:tcPr>
            <w:tcW w:w="1228"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spacing w:after="0" w:line="240" w:lineRule="auto"/>
              <w:rPr>
                <w:rFonts w:ascii="Times New Roman" w:hAnsi="Times New Roman"/>
                <w:sz w:val="16"/>
                <w:szCs w:val="16"/>
              </w:rPr>
            </w:pPr>
            <w:r w:rsidRPr="008211FD">
              <w:rPr>
                <w:rFonts w:ascii="Times New Roman" w:hAnsi="Times New Roman"/>
                <w:sz w:val="16"/>
                <w:szCs w:val="16"/>
              </w:rPr>
              <w:t>Casa Rui Barbosa</w:t>
            </w:r>
          </w:p>
        </w:tc>
      </w:tr>
    </w:tbl>
    <w:p w:rsidR="00582426" w:rsidRDefault="00CB3F9D" w:rsidP="00CB3F9D">
      <w:pPr>
        <w:pStyle w:val="NormalWeb"/>
        <w:spacing w:before="0" w:beforeAutospacing="0" w:after="240" w:afterAutospacing="0" w:line="360" w:lineRule="auto"/>
        <w:jc w:val="both"/>
        <w:rPr>
          <w:b/>
        </w:rPr>
      </w:pPr>
      <w:r>
        <w:rPr>
          <w:b/>
          <w:sz w:val="18"/>
          <w:szCs w:val="18"/>
        </w:rPr>
        <w:t>Elaboração própria</w:t>
      </w:r>
      <w:r w:rsidR="00A6063D">
        <w:rPr>
          <w:b/>
          <w:sz w:val="18"/>
          <w:szCs w:val="18"/>
        </w:rPr>
        <w:t xml:space="preserve">. Fonte: </w:t>
      </w:r>
      <w:r w:rsidR="00A6063D" w:rsidRPr="00A6063D">
        <w:rPr>
          <w:sz w:val="18"/>
          <w:szCs w:val="18"/>
        </w:rPr>
        <w:t>site do CDES (www.cdes.gov.br)</w:t>
      </w:r>
    </w:p>
    <w:p w:rsidR="00330126" w:rsidRPr="000C7CF7" w:rsidRDefault="00330126" w:rsidP="00330126">
      <w:pPr>
        <w:pStyle w:val="NormalWeb"/>
        <w:spacing w:before="0" w:beforeAutospacing="0" w:after="0" w:afterAutospacing="0" w:line="360" w:lineRule="auto"/>
        <w:ind w:firstLine="708"/>
        <w:jc w:val="both"/>
      </w:pPr>
      <w:r w:rsidRPr="000C7CF7">
        <w:t xml:space="preserve">A designação “intelectuais acadêmicos” intenciona destacar que a trajetória profissional desses conselheiros iniciou-se no meio universitário (professores, pesquisadores, reitores), em institutos de pesquisas e em outros locais de produção do conhecimento científico. </w:t>
      </w:r>
      <w:r w:rsidR="00FB42EB" w:rsidRPr="000C7CF7">
        <w:t>Porém, f</w:t>
      </w:r>
      <w:r w:rsidRPr="000C7CF7">
        <w:t xml:space="preserve">oi através do reconhecimento da </w:t>
      </w:r>
      <w:r w:rsidRPr="000C7CF7">
        <w:rPr>
          <w:i/>
        </w:rPr>
        <w:t xml:space="preserve">expertise </w:t>
      </w:r>
      <w:r w:rsidR="00773F04">
        <w:t>intelectual-acadêmica que</w:t>
      </w:r>
      <w:r w:rsidRPr="000C7CF7">
        <w:t xml:space="preserve"> muitos deles alçaram a postos na sociedade política e coligaram-se, em alguns casos, </w:t>
      </w:r>
      <w:r w:rsidR="008C66BC" w:rsidRPr="000C7CF7">
        <w:t>à</w:t>
      </w:r>
      <w:r w:rsidRPr="000C7CF7">
        <w:t xml:space="preserve"> gestão direta dos interesses empresariais, filiando-se inclusive em alguns de seus APH’s</w:t>
      </w:r>
      <w:r w:rsidR="00DA32BB">
        <w:t>.</w:t>
      </w:r>
      <w:r w:rsidR="008670A5" w:rsidRPr="000C7CF7">
        <w:tab/>
      </w:r>
    </w:p>
    <w:p w:rsidR="008C66BC" w:rsidRPr="000C7CF7" w:rsidRDefault="00AB6B4A" w:rsidP="008C66BC">
      <w:pPr>
        <w:pStyle w:val="NormalWeb"/>
        <w:spacing w:before="0" w:beforeAutospacing="0" w:after="0" w:afterAutospacing="0" w:line="360" w:lineRule="auto"/>
        <w:ind w:firstLine="708"/>
        <w:jc w:val="both"/>
      </w:pPr>
      <w:r w:rsidRPr="000C7CF7">
        <w:t xml:space="preserve">Se observamos </w:t>
      </w:r>
      <w:r w:rsidR="00330126" w:rsidRPr="000C7CF7">
        <w:t>atentamente</w:t>
      </w:r>
      <w:r w:rsidR="00FB42EB" w:rsidRPr="000C7CF7">
        <w:t>,percebemos que ao menos seis dosassim classificados “</w:t>
      </w:r>
      <w:r w:rsidRPr="000C7CF7">
        <w:t>conselheiros</w:t>
      </w:r>
      <w:r w:rsidR="002F32A8" w:rsidRPr="000C7CF7">
        <w:t>-acadêmicos</w:t>
      </w:r>
      <w:r w:rsidR="00FB42EB" w:rsidRPr="000C7CF7">
        <w:t>”</w:t>
      </w:r>
      <w:r w:rsidR="002E0CA0" w:rsidRPr="000C7CF7">
        <w:t>(Cândido Mendes, Delfim Neto, José Vicent</w:t>
      </w:r>
      <w:r w:rsidR="00FB42EB" w:rsidRPr="000C7CF7">
        <w:t>e, Luiz Gonzaga de M. Belluzzo, Marcelo Neri e</w:t>
      </w:r>
      <w:r w:rsidR="002E0CA0" w:rsidRPr="000C7CF7">
        <w:t xml:space="preserve"> Ricardo Paes de Barros) </w:t>
      </w:r>
      <w:r w:rsidR="00330126" w:rsidRPr="000C7CF7">
        <w:t xml:space="preserve">deslocaram-se das atividades acadêmicas </w:t>
      </w:r>
      <w:r w:rsidR="00FB42EB" w:rsidRPr="000C7CF7">
        <w:t>e</w:t>
      </w:r>
      <w:r w:rsidR="00330126" w:rsidRPr="000C7CF7">
        <w:t>, ainda que convivendo com elas (</w:t>
      </w:r>
      <w:r w:rsidR="008C66BC" w:rsidRPr="000C7CF7">
        <w:t>como</w:t>
      </w:r>
      <w:r w:rsidR="00FB42EB" w:rsidRPr="000C7CF7">
        <w:t xml:space="preserve"> no </w:t>
      </w:r>
      <w:r w:rsidR="00330126" w:rsidRPr="000C7CF7">
        <w:t xml:space="preserve">caso do reitor José Vicente), passaram a agregar atividades </w:t>
      </w:r>
      <w:r w:rsidR="00FB42EB" w:rsidRPr="000C7CF7">
        <w:t>típicas do mundo empresarial, seja vincula</w:t>
      </w:r>
      <w:r w:rsidR="00773F04">
        <w:t>n</w:t>
      </w:r>
      <w:r w:rsidR="00006A5B">
        <w:t>do-se ao rend</w:t>
      </w:r>
      <w:r w:rsidR="00FB42EB" w:rsidRPr="000C7CF7">
        <w:t xml:space="preserve">oso empreendimento educacional (Cândido Mendes e Belluzzo) e/ou à </w:t>
      </w:r>
      <w:r w:rsidR="00330126" w:rsidRPr="000C7CF7">
        <w:t xml:space="preserve">gestão econômica </w:t>
      </w:r>
      <w:r w:rsidR="00FB42EB" w:rsidRPr="000C7CF7">
        <w:t>direta e de política social</w:t>
      </w:r>
      <w:r w:rsidR="00BA260C" w:rsidRPr="000C7CF7">
        <w:t xml:space="preserve"> em órgãos da sociedade política</w:t>
      </w:r>
      <w:r w:rsidR="008C66BC" w:rsidRPr="000C7CF7">
        <w:t xml:space="preserve"> (</w:t>
      </w:r>
      <w:r w:rsidR="00BA260C" w:rsidRPr="000C7CF7">
        <w:t xml:space="preserve">Delfim, </w:t>
      </w:r>
      <w:r w:rsidR="008C66BC" w:rsidRPr="000C7CF7">
        <w:t>Neri e Paes de Barros).</w:t>
      </w:r>
    </w:p>
    <w:p w:rsidR="00BA260C" w:rsidRPr="000C7CF7" w:rsidRDefault="00BA260C" w:rsidP="00C55679">
      <w:pPr>
        <w:pStyle w:val="NormalWeb"/>
        <w:spacing w:before="0" w:beforeAutospacing="0" w:after="240" w:afterAutospacing="0" w:line="360" w:lineRule="auto"/>
        <w:ind w:firstLine="708"/>
        <w:jc w:val="both"/>
      </w:pPr>
      <w:r w:rsidRPr="000C7CF7">
        <w:t>Essas considerações</w:t>
      </w:r>
      <w:r w:rsidR="005C0725" w:rsidRPr="000C7CF7">
        <w:t xml:space="preserve"> acerca dos intelectuais acadêmicos</w:t>
      </w:r>
      <w:r w:rsidRPr="000C7CF7">
        <w:t xml:space="preserve">, aliadas ao fato de que o setor da burocracia sindical ligado aos fundos de pensão, </w:t>
      </w:r>
      <w:r w:rsidR="005C0725" w:rsidRPr="000C7CF7">
        <w:t>ponta de lança</w:t>
      </w:r>
      <w:r w:rsidRPr="000C7CF7">
        <w:t xml:space="preserve"> do setor bancário-financeiro no Brasil, são necessárias para alertar que a classificação adotada para o conjunto dos segmentos que compunham o CDES</w:t>
      </w:r>
      <w:r w:rsidR="00A2169E" w:rsidRPr="000C7CF7">
        <w:t xml:space="preserve"> (sindicalistas, acadêmicos e personalidades, demais entidades da sociedade civil e empresários)</w:t>
      </w:r>
      <w:r w:rsidR="005C0725" w:rsidRPr="000C7CF7">
        <w:t xml:space="preserve"> – e expressa nos quadros acima -</w:t>
      </w:r>
      <w:r w:rsidR="00A2169E" w:rsidRPr="000C7CF7">
        <w:t xml:space="preserve"> subdimensiona o peso empresarial que de fato atravessa</w:t>
      </w:r>
      <w:r w:rsidR="005C0725" w:rsidRPr="000C7CF7">
        <w:t>va</w:t>
      </w:r>
      <w:r w:rsidR="00A2169E" w:rsidRPr="000C7CF7">
        <w:t xml:space="preserve"> este Conselho e que também obnubila a relativa interpenetração de interesses diretamente empresariais entre </w:t>
      </w:r>
      <w:r w:rsidR="000C0830" w:rsidRPr="000C7CF7">
        <w:t xml:space="preserve">os </w:t>
      </w:r>
      <w:r w:rsidR="00A2169E" w:rsidRPr="000C7CF7">
        <w:t>diferentes segmentos.</w:t>
      </w:r>
      <w:r w:rsidR="005C0725" w:rsidRPr="000C7CF7">
        <w:t xml:space="preserve"> Ou seja, as relações interempresariais no CDES não se esgotavam apenas a partir do estudo do empres</w:t>
      </w:r>
      <w:r w:rsidR="005D72BB">
        <w:t>ariado, considerado aqui como so</w:t>
      </w:r>
      <w:r w:rsidR="005C0725" w:rsidRPr="000C7CF7">
        <w:t xml:space="preserve">cioproprietário ou preposto </w:t>
      </w:r>
      <w:r w:rsidR="005C0725" w:rsidRPr="000C7CF7">
        <w:rPr>
          <w:i/>
        </w:rPr>
        <w:t xml:space="preserve">direto </w:t>
      </w:r>
      <w:r w:rsidR="000C0830" w:rsidRPr="000C7CF7">
        <w:t>dos meios de produção.</w:t>
      </w:r>
    </w:p>
    <w:p w:rsidR="008670A5" w:rsidRPr="000C7CF7" w:rsidRDefault="008E4AE2" w:rsidP="00C55679">
      <w:pPr>
        <w:pStyle w:val="NormalWeb"/>
        <w:spacing w:before="0" w:beforeAutospacing="0" w:after="240" w:afterAutospacing="0" w:line="360" w:lineRule="auto"/>
        <w:ind w:firstLine="708"/>
        <w:jc w:val="both"/>
        <w:rPr>
          <w:b/>
        </w:rPr>
      </w:pPr>
      <w:r w:rsidRPr="000C7CF7">
        <w:rPr>
          <w:b/>
        </w:rPr>
        <w:t xml:space="preserve">2.2.4 </w:t>
      </w:r>
      <w:r w:rsidR="00C55679" w:rsidRPr="000C7CF7">
        <w:rPr>
          <w:b/>
        </w:rPr>
        <w:t xml:space="preserve">–A proporcionalidade entre os segmentos representados </w:t>
      </w:r>
    </w:p>
    <w:p w:rsidR="008E4AE2" w:rsidRDefault="008E4AE2" w:rsidP="008E4AE2">
      <w:pPr>
        <w:spacing w:after="0" w:line="360" w:lineRule="auto"/>
        <w:ind w:firstLine="708"/>
        <w:jc w:val="both"/>
        <w:rPr>
          <w:rFonts w:ascii="Times New Roman" w:hAnsi="Times New Roman"/>
          <w:sz w:val="24"/>
          <w:szCs w:val="24"/>
        </w:rPr>
      </w:pPr>
      <w:r w:rsidRPr="00340412">
        <w:rPr>
          <w:rFonts w:ascii="Times New Roman" w:hAnsi="Times New Roman"/>
          <w:sz w:val="24"/>
          <w:szCs w:val="24"/>
        </w:rPr>
        <w:t xml:space="preserve">O Conselho de Desenvolvimento Econômico e Social comportava importantes </w:t>
      </w:r>
      <w:r w:rsidR="00773F04">
        <w:rPr>
          <w:rFonts w:ascii="Times New Roman" w:hAnsi="Times New Roman"/>
          <w:sz w:val="24"/>
          <w:szCs w:val="24"/>
        </w:rPr>
        <w:t>setores</w:t>
      </w:r>
      <w:r w:rsidRPr="00340412">
        <w:rPr>
          <w:rFonts w:ascii="Times New Roman" w:hAnsi="Times New Roman"/>
          <w:sz w:val="24"/>
          <w:szCs w:val="24"/>
        </w:rPr>
        <w:t xml:space="preserve"> das burguesias do capitalismo brasileiro no início do século XXI.  De acordo com </w:t>
      </w:r>
      <w:r>
        <w:rPr>
          <w:rFonts w:ascii="Times New Roman" w:hAnsi="Times New Roman"/>
          <w:sz w:val="24"/>
          <w:szCs w:val="24"/>
        </w:rPr>
        <w:t xml:space="preserve">nosso </w:t>
      </w:r>
      <w:r w:rsidRPr="00340412">
        <w:rPr>
          <w:rFonts w:ascii="Times New Roman" w:hAnsi="Times New Roman"/>
          <w:sz w:val="24"/>
          <w:szCs w:val="24"/>
        </w:rPr>
        <w:t>levantamento, coleta e organização dos dados, cerca de 50% a 60% dos conselheiros presentes no CDES durante os anos de 2003 e 2010 e</w:t>
      </w:r>
      <w:r>
        <w:rPr>
          <w:rFonts w:ascii="Times New Roman" w:hAnsi="Times New Roman"/>
          <w:sz w:val="24"/>
          <w:szCs w:val="24"/>
        </w:rPr>
        <w:t>stavam umbilicalmente ligados a</w:t>
      </w:r>
      <w:r w:rsidRPr="00340412">
        <w:rPr>
          <w:rFonts w:ascii="Times New Roman" w:hAnsi="Times New Roman"/>
          <w:sz w:val="24"/>
          <w:szCs w:val="24"/>
        </w:rPr>
        <w:t xml:space="preserve"> atividades empresariais de todo tipo e origem, seja ocupando posição de prepostos (diretores, gerentes ou CEO’s) de grandes grupos econômicos, empresas ou firmas, seja eles próprios seus proprietários ou acionistas majoritários.</w:t>
      </w:r>
    </w:p>
    <w:p w:rsidR="008E4AE2" w:rsidRDefault="008E4AE2" w:rsidP="008E4AE2">
      <w:pPr>
        <w:spacing w:line="360" w:lineRule="auto"/>
        <w:ind w:firstLine="708"/>
        <w:jc w:val="both"/>
        <w:rPr>
          <w:rFonts w:ascii="Times New Roman" w:hAnsi="Times New Roman"/>
          <w:sz w:val="24"/>
          <w:szCs w:val="24"/>
        </w:rPr>
      </w:pPr>
      <w:r>
        <w:rPr>
          <w:rFonts w:ascii="Times New Roman" w:hAnsi="Times New Roman"/>
          <w:sz w:val="24"/>
          <w:szCs w:val="24"/>
        </w:rPr>
        <w:t xml:space="preserve">A presença esmagadora </w:t>
      </w:r>
      <w:r w:rsidR="00773F04">
        <w:rPr>
          <w:rFonts w:ascii="Times New Roman" w:hAnsi="Times New Roman"/>
          <w:sz w:val="24"/>
          <w:szCs w:val="24"/>
        </w:rPr>
        <w:t>dos setores burgueses organizado</w:t>
      </w:r>
      <w:r>
        <w:rPr>
          <w:rFonts w:ascii="Times New Roman" w:hAnsi="Times New Roman"/>
          <w:sz w:val="24"/>
          <w:szCs w:val="24"/>
        </w:rPr>
        <w:t>s em seus aparelhos privados de hegemonia no CDES não pode nos furtar de ao menos elencar os demais setores representados e por nós classificados como “sindicalistas”, “demais entidades da sociedade civil” e “acadêmicos e personalidades”. O gráfico abaixo sumariza a participação numérica destes setores no CDES e revela, nitidamente, a sobrerrepresentação empresarial ao longo de todo o período dos governos Lula da Silva (2003-2010):</w:t>
      </w:r>
      <w:r>
        <w:rPr>
          <w:rStyle w:val="Refdenotaderodap"/>
          <w:rFonts w:ascii="Times New Roman" w:hAnsi="Times New Roman"/>
          <w:sz w:val="24"/>
          <w:szCs w:val="24"/>
        </w:rPr>
        <w:footnoteReference w:id="192"/>
      </w:r>
    </w:p>
    <w:p w:rsidR="008E4AE2" w:rsidRDefault="0018135C" w:rsidP="008E4AE2">
      <w:pPr>
        <w:spacing w:after="0"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extent cx="4916902" cy="2570434"/>
            <wp:effectExtent l="12192" t="6096" r="4856" b="2840"/>
            <wp:docPr id="4"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B3F9D" w:rsidRDefault="00CB3F9D" w:rsidP="00CB3F9D">
      <w:pPr>
        <w:spacing w:after="0" w:line="360" w:lineRule="auto"/>
        <w:ind w:firstLine="708"/>
        <w:jc w:val="both"/>
        <w:rPr>
          <w:rFonts w:ascii="Times New Roman" w:hAnsi="Times New Roman"/>
          <w:sz w:val="24"/>
          <w:szCs w:val="24"/>
        </w:rPr>
      </w:pPr>
      <w:r>
        <w:rPr>
          <w:rFonts w:ascii="Times New Roman" w:hAnsi="Times New Roman"/>
          <w:b/>
          <w:sz w:val="18"/>
          <w:szCs w:val="18"/>
        </w:rPr>
        <w:t>Elaboração própria</w:t>
      </w:r>
      <w:r w:rsidR="00A6063D">
        <w:rPr>
          <w:rFonts w:ascii="Times New Roman" w:hAnsi="Times New Roman"/>
          <w:b/>
          <w:sz w:val="18"/>
          <w:szCs w:val="18"/>
        </w:rPr>
        <w:t xml:space="preserve">. Fonte: </w:t>
      </w:r>
      <w:r w:rsidR="00A6063D" w:rsidRPr="00A6063D">
        <w:rPr>
          <w:rFonts w:ascii="Times New Roman" w:hAnsi="Times New Roman"/>
          <w:sz w:val="18"/>
          <w:szCs w:val="18"/>
        </w:rPr>
        <w:t>site do CDES (www.cdes.gov.br)</w:t>
      </w:r>
      <w:r w:rsidR="00A6063D">
        <w:rPr>
          <w:rFonts w:ascii="Times New Roman" w:hAnsi="Times New Roman"/>
          <w:sz w:val="18"/>
          <w:szCs w:val="18"/>
        </w:rPr>
        <w:t>.</w:t>
      </w:r>
    </w:p>
    <w:p w:rsidR="008E4AE2" w:rsidRDefault="008E4AE2" w:rsidP="00773F04">
      <w:pPr>
        <w:spacing w:before="240" w:after="0" w:line="360" w:lineRule="auto"/>
        <w:ind w:firstLine="708"/>
        <w:jc w:val="both"/>
        <w:rPr>
          <w:rFonts w:ascii="Times New Roman" w:hAnsi="Times New Roman"/>
          <w:sz w:val="24"/>
          <w:szCs w:val="24"/>
        </w:rPr>
      </w:pPr>
      <w:r>
        <w:rPr>
          <w:rFonts w:ascii="Times New Roman" w:hAnsi="Times New Roman"/>
          <w:sz w:val="24"/>
          <w:szCs w:val="24"/>
        </w:rPr>
        <w:t>Com a exceção de 2007, ano em que houve substancial alteração na composição da plenária do CDES (45%), em todos os demais a soma de todos os conselheiros dos segmentos sub-representados não conseguiu ultrapassar os conselheiros-empresários presentes. Após 2007, ocorreu mesmo reforço e ampliação relativa da representação empresarial no CDES. Se considerarmos a média absoluta total de cada segmento em todo o período, veremos que o empresariado esteve presente com 46 conselheiros, representando 52% da média relativa total de membros do Conselho.</w:t>
      </w:r>
      <w:r>
        <w:rPr>
          <w:rStyle w:val="Refdenotaderodap"/>
          <w:rFonts w:ascii="Times New Roman" w:hAnsi="Times New Roman"/>
          <w:sz w:val="24"/>
          <w:szCs w:val="24"/>
        </w:rPr>
        <w:footnoteReference w:id="193"/>
      </w:r>
      <w:r>
        <w:rPr>
          <w:rFonts w:ascii="Times New Roman" w:hAnsi="Times New Roman"/>
          <w:sz w:val="24"/>
          <w:szCs w:val="24"/>
        </w:rPr>
        <w:t xml:space="preserve"> Em seguida, figura o segmento “demais entidades da sociedade civil” com a presença média de 15,5 conselheiros (18% da plenária), vindo acompanhado do segmento sindical representado por 14 conselheiros em média (16% da plenária). Por fim, o segmento “acadêmicos e personalidades” sendo o menos representado em relação aos demais segmentos no período, com média de 12 conselheiros (14% da plenária). Atenta-se para o fato de que a média (absoluta e relativa) d</w:t>
      </w:r>
      <w:r w:rsidR="00773F04">
        <w:rPr>
          <w:rFonts w:ascii="Times New Roman" w:hAnsi="Times New Roman"/>
          <w:sz w:val="24"/>
          <w:szCs w:val="24"/>
        </w:rPr>
        <w:t>e cada</w:t>
      </w:r>
      <w:r>
        <w:rPr>
          <w:rFonts w:ascii="Times New Roman" w:hAnsi="Times New Roman"/>
          <w:sz w:val="24"/>
          <w:szCs w:val="24"/>
        </w:rPr>
        <w:t xml:space="preserve"> segmento não empresaria</w:t>
      </w:r>
      <w:r w:rsidR="00773F04">
        <w:rPr>
          <w:rFonts w:ascii="Times New Roman" w:hAnsi="Times New Roman"/>
          <w:sz w:val="24"/>
          <w:szCs w:val="24"/>
        </w:rPr>
        <w:t>l arrolado</w:t>
      </w:r>
      <w:r>
        <w:rPr>
          <w:rFonts w:ascii="Times New Roman" w:hAnsi="Times New Roman"/>
          <w:sz w:val="24"/>
          <w:szCs w:val="24"/>
        </w:rPr>
        <w:t xml:space="preserve"> não chegou a ultrapassar 1/5 da composição do Conselho, cuja média absoluta total girou em torno de 87,5 conselheiros.</w:t>
      </w:r>
    </w:p>
    <w:p w:rsidR="008E4AE2" w:rsidRDefault="0018135C" w:rsidP="008E4AE2">
      <w:pPr>
        <w:spacing w:before="240" w:after="0" w:line="360" w:lineRule="auto"/>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5374538" cy="2761971"/>
            <wp:effectExtent l="12192" t="6096" r="4420" b="2438"/>
            <wp:docPr id="5"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B3F9D" w:rsidRDefault="00CB3F9D" w:rsidP="008E4AE2">
      <w:pPr>
        <w:spacing w:after="0" w:line="360" w:lineRule="auto"/>
        <w:jc w:val="both"/>
        <w:rPr>
          <w:rFonts w:ascii="Times New Roman" w:hAnsi="Times New Roman"/>
          <w:sz w:val="24"/>
          <w:szCs w:val="24"/>
        </w:rPr>
      </w:pPr>
      <w:r>
        <w:rPr>
          <w:rFonts w:ascii="Times New Roman" w:hAnsi="Times New Roman"/>
          <w:b/>
          <w:sz w:val="18"/>
          <w:szCs w:val="18"/>
        </w:rPr>
        <w:t>Elaboração própria</w:t>
      </w:r>
      <w:r w:rsidR="00A6063D">
        <w:rPr>
          <w:rFonts w:ascii="Times New Roman" w:hAnsi="Times New Roman"/>
          <w:b/>
          <w:sz w:val="18"/>
          <w:szCs w:val="18"/>
        </w:rPr>
        <w:t xml:space="preserve">. Fonte: </w:t>
      </w:r>
      <w:r w:rsidR="00A6063D" w:rsidRPr="00A6063D">
        <w:rPr>
          <w:rFonts w:ascii="Times New Roman" w:hAnsi="Times New Roman"/>
          <w:sz w:val="18"/>
          <w:szCs w:val="18"/>
        </w:rPr>
        <w:t>site do CDES (www.cdes.gov.br)</w:t>
      </w:r>
      <w:r w:rsidR="00A6063D">
        <w:rPr>
          <w:rFonts w:ascii="Times New Roman" w:hAnsi="Times New Roman"/>
          <w:sz w:val="18"/>
          <w:szCs w:val="18"/>
        </w:rPr>
        <w:t>.</w:t>
      </w:r>
    </w:p>
    <w:p w:rsidR="008E4AE2" w:rsidRDefault="008E4AE2" w:rsidP="00673F61">
      <w:pPr>
        <w:spacing w:before="240" w:line="360" w:lineRule="auto"/>
        <w:ind w:firstLine="708"/>
        <w:jc w:val="both"/>
        <w:rPr>
          <w:rFonts w:ascii="Times New Roman" w:hAnsi="Times New Roman"/>
          <w:sz w:val="24"/>
          <w:szCs w:val="24"/>
        </w:rPr>
      </w:pPr>
      <w:r>
        <w:rPr>
          <w:rFonts w:ascii="Times New Roman" w:hAnsi="Times New Roman"/>
          <w:sz w:val="24"/>
          <w:szCs w:val="24"/>
        </w:rPr>
        <w:t xml:space="preserve">Precisamos, neste momento, definir o que entendemos por “empresariado”. Este grupo social é assim definido por Gramsci: </w:t>
      </w:r>
    </w:p>
    <w:p w:rsidR="008E4AE2" w:rsidRPr="005C432F" w:rsidRDefault="008E4AE2" w:rsidP="008E4AE2">
      <w:pPr>
        <w:spacing w:after="0" w:line="240" w:lineRule="auto"/>
        <w:ind w:left="2268"/>
        <w:jc w:val="both"/>
        <w:rPr>
          <w:rFonts w:ascii="Times New Roman" w:hAnsi="Times New Roman"/>
          <w:sz w:val="20"/>
          <w:szCs w:val="20"/>
        </w:rPr>
      </w:pPr>
      <w:r w:rsidRPr="005C432F">
        <w:rPr>
          <w:rFonts w:ascii="Times New Roman" w:hAnsi="Times New Roman"/>
          <w:sz w:val="20"/>
          <w:szCs w:val="20"/>
        </w:rPr>
        <w:t>Se não todos os empresários, pelo menos uma elite deles deve possuira capacidade de organizar a sociedade em geral, em todo o seu complexoorganismo de serviços, até o organismo estatal, tendo em vista a necessidadede criar as condições mais favoráveis à expansão da própria classe; ou, pelo menos, deve possuir a capacidade de escolher os “prepostos” (empregados especializados) a quem confiar esta atividade organizativa das relações gerais exteriores à empresa.</w:t>
      </w:r>
      <w:r>
        <w:rPr>
          <w:rStyle w:val="Refdenotaderodap"/>
          <w:rFonts w:ascii="Times New Roman" w:hAnsi="Times New Roman"/>
          <w:sz w:val="20"/>
          <w:szCs w:val="20"/>
        </w:rPr>
        <w:footnoteReference w:id="194"/>
      </w:r>
    </w:p>
    <w:p w:rsidR="008E4AE2" w:rsidRDefault="008E4AE2" w:rsidP="008E4AE2">
      <w:pPr>
        <w:spacing w:before="240" w:after="0" w:line="360" w:lineRule="auto"/>
        <w:ind w:firstLine="708"/>
        <w:jc w:val="both"/>
        <w:rPr>
          <w:rFonts w:ascii="Times New Roman" w:hAnsi="Times New Roman"/>
          <w:sz w:val="24"/>
          <w:szCs w:val="24"/>
        </w:rPr>
      </w:pPr>
      <w:r>
        <w:rPr>
          <w:rFonts w:ascii="Times New Roman" w:hAnsi="Times New Roman"/>
          <w:sz w:val="24"/>
          <w:szCs w:val="24"/>
        </w:rPr>
        <w:t>Importante observar que Gramsci destaca o papel do empresário não apenas no âmbito da produção, mesmo que ali ele já possua “uma certa capacidade dirigente e técnica (isto é, intelectual)”, como organizador de “massa de homens”, da “confiança” dos acionistas da sua empresa, dos consumidores de sua mercadoria.</w:t>
      </w:r>
      <w:r>
        <w:rPr>
          <w:rStyle w:val="Refdenotaderodap"/>
          <w:rFonts w:ascii="Times New Roman" w:hAnsi="Times New Roman"/>
          <w:sz w:val="24"/>
          <w:szCs w:val="24"/>
        </w:rPr>
        <w:footnoteReference w:id="195"/>
      </w:r>
      <w:r>
        <w:rPr>
          <w:rFonts w:ascii="Times New Roman" w:hAnsi="Times New Roman"/>
          <w:sz w:val="24"/>
          <w:szCs w:val="24"/>
        </w:rPr>
        <w:t xml:space="preserve"> Outrossim, os empresários, “ou pelo menos uma elite deles” organizam-se e atuam para além do âmbito específico do aparato produtivo, adquirindo “capacidade de organizar a sociedade em geral” (hegemonia), com vistas a alcançar o Estado, isto é, tornar os projetos de sua classe em consentimento ativo de todos os grupos, mesmo que para isso seja recorrente o uso da coerção para os que não consentem (supremacia).</w:t>
      </w:r>
    </w:p>
    <w:p w:rsidR="008E4AE2" w:rsidRPr="00673F61" w:rsidRDefault="008E4AE2" w:rsidP="00673F61">
      <w:pPr>
        <w:spacing w:line="360" w:lineRule="auto"/>
        <w:ind w:firstLine="708"/>
        <w:jc w:val="both"/>
        <w:rPr>
          <w:rFonts w:ascii="Times New Roman" w:hAnsi="Times New Roman"/>
          <w:sz w:val="24"/>
          <w:szCs w:val="24"/>
        </w:rPr>
      </w:pPr>
      <w:r>
        <w:rPr>
          <w:rFonts w:ascii="Times New Roman" w:hAnsi="Times New Roman"/>
          <w:sz w:val="24"/>
          <w:szCs w:val="24"/>
        </w:rPr>
        <w:t xml:space="preserve">Gramsci, já em sua época, portanto, redefine o papel, o conceito e o </w:t>
      </w:r>
      <w:r>
        <w:rPr>
          <w:rFonts w:ascii="Times New Roman" w:hAnsi="Times New Roman"/>
          <w:i/>
          <w:sz w:val="24"/>
          <w:szCs w:val="24"/>
        </w:rPr>
        <w:t xml:space="preserve">modus operandi </w:t>
      </w:r>
      <w:r>
        <w:rPr>
          <w:rFonts w:ascii="Times New Roman" w:hAnsi="Times New Roman"/>
          <w:sz w:val="24"/>
          <w:szCs w:val="24"/>
        </w:rPr>
        <w:t>do grupo social empresarial nas formações sociais capitalistas contemporâneas, ampliando-os e remetendo-os às esferas organizativas da sociedade civil, concebendo organicamente o vínculo entre cultura, política e economia, numa visão orgânica e dialética entre superestrutura e estrutura. O empresário não é apenas um intelectual restrito, isto é, organizador de sua indústria e do setor de sua influência imediata: o empresário também pode e precisa ser um “intelectual orgânico”, na medida em que “cria as condições mais favoráveis à expansão da própria classe”</w:t>
      </w:r>
      <w:r>
        <w:rPr>
          <w:rStyle w:val="Refdenotaderodap"/>
          <w:rFonts w:ascii="Times New Roman" w:hAnsi="Times New Roman"/>
          <w:sz w:val="24"/>
          <w:szCs w:val="24"/>
        </w:rPr>
        <w:footnoteReference w:id="196"/>
      </w:r>
      <w:r>
        <w:rPr>
          <w:rFonts w:ascii="Times New Roman" w:hAnsi="Times New Roman"/>
          <w:sz w:val="24"/>
          <w:szCs w:val="24"/>
        </w:rPr>
        <w:t xml:space="preserve"> por meio da atuação nas trincheiras, casamatas e fortalezas (aparelhos privados de hegemonia) que constituem a sociedade civil.</w:t>
      </w:r>
    </w:p>
    <w:p w:rsidR="00582426" w:rsidRDefault="00582426" w:rsidP="00703D40">
      <w:pPr>
        <w:pStyle w:val="NormalWeb"/>
        <w:spacing w:before="0" w:beforeAutospacing="0" w:after="240" w:afterAutospacing="0" w:line="360" w:lineRule="auto"/>
        <w:jc w:val="both"/>
        <w:rPr>
          <w:b/>
        </w:rPr>
      </w:pPr>
      <w:r>
        <w:rPr>
          <w:b/>
        </w:rPr>
        <w:t xml:space="preserve">2.3 -As frações do capital </w:t>
      </w:r>
      <w:r w:rsidR="004B775E">
        <w:rPr>
          <w:b/>
        </w:rPr>
        <w:t>e seu entrelaçamento</w:t>
      </w:r>
    </w:p>
    <w:p w:rsidR="008E4AE2" w:rsidRPr="000C7CF7" w:rsidRDefault="008E4AE2" w:rsidP="008E4AE2">
      <w:pPr>
        <w:spacing w:line="360" w:lineRule="auto"/>
        <w:ind w:firstLine="708"/>
        <w:jc w:val="both"/>
        <w:rPr>
          <w:rFonts w:ascii="Times New Roman" w:hAnsi="Times New Roman"/>
          <w:b/>
          <w:sz w:val="24"/>
          <w:szCs w:val="24"/>
        </w:rPr>
      </w:pPr>
      <w:r w:rsidRPr="000C7CF7">
        <w:rPr>
          <w:rFonts w:ascii="Times New Roman" w:hAnsi="Times New Roman"/>
          <w:b/>
          <w:sz w:val="24"/>
          <w:szCs w:val="24"/>
        </w:rPr>
        <w:t xml:space="preserve">2.3.1 – </w:t>
      </w:r>
      <w:r w:rsidR="00C55679" w:rsidRPr="000C7CF7">
        <w:rPr>
          <w:rFonts w:ascii="Times New Roman" w:hAnsi="Times New Roman"/>
          <w:b/>
          <w:sz w:val="24"/>
          <w:szCs w:val="24"/>
        </w:rPr>
        <w:t>Abordagem teórica utilizada</w:t>
      </w:r>
      <w:r w:rsidRPr="000C7CF7">
        <w:rPr>
          <w:rFonts w:ascii="Times New Roman" w:hAnsi="Times New Roman"/>
          <w:b/>
          <w:sz w:val="24"/>
          <w:szCs w:val="24"/>
        </w:rPr>
        <w:t xml:space="preserve"> na pesquisa para o estudo das frações</w:t>
      </w:r>
    </w:p>
    <w:p w:rsidR="008E4AE2" w:rsidRDefault="008E4AE2" w:rsidP="008E4AE2">
      <w:pPr>
        <w:spacing w:after="0" w:line="360" w:lineRule="auto"/>
        <w:ind w:firstLine="708"/>
        <w:jc w:val="both"/>
        <w:rPr>
          <w:rFonts w:ascii="Times New Roman" w:hAnsi="Times New Roman"/>
          <w:sz w:val="24"/>
          <w:szCs w:val="24"/>
        </w:rPr>
      </w:pPr>
      <w:r>
        <w:rPr>
          <w:rFonts w:ascii="Times New Roman" w:hAnsi="Times New Roman"/>
          <w:sz w:val="24"/>
          <w:szCs w:val="24"/>
        </w:rPr>
        <w:t xml:space="preserve">A organização dos capitais particulares em frações da classe dominante deriva da especialização da divisão social do trabalho impulsionada pela concorrência intracapitalista e pela expansão das formas extração de mais-valor. Tais capitais </w:t>
      </w:r>
      <w:r w:rsidR="00773F04">
        <w:rPr>
          <w:rFonts w:ascii="Times New Roman" w:hAnsi="Times New Roman"/>
          <w:sz w:val="24"/>
          <w:szCs w:val="24"/>
        </w:rPr>
        <w:t>se distinguem</w:t>
      </w:r>
      <w:r>
        <w:rPr>
          <w:rFonts w:ascii="Times New Roman" w:hAnsi="Times New Roman"/>
          <w:sz w:val="24"/>
          <w:szCs w:val="24"/>
        </w:rPr>
        <w:t xml:space="preserve"> pela atividade econômica preponderante que exercem no processo produtivo, isto é, em suas funções específicas no papel de valorização do valor, mais bem percebidas na etapa do capitalismo concorrencial, e também pelo seu porte acumulativo e capacidade de expansão. Em 1847, Marx já afirmava em </w:t>
      </w:r>
      <w:r>
        <w:rPr>
          <w:rFonts w:ascii="Times New Roman" w:hAnsi="Times New Roman"/>
          <w:i/>
          <w:sz w:val="24"/>
          <w:szCs w:val="24"/>
        </w:rPr>
        <w:t>Miséria da filosofia</w:t>
      </w:r>
      <w:r>
        <w:rPr>
          <w:rFonts w:ascii="Times New Roman" w:hAnsi="Times New Roman"/>
          <w:sz w:val="24"/>
          <w:szCs w:val="24"/>
        </w:rPr>
        <w:t xml:space="preserve"> que “(...) se todos os membros da burguesia moderna têm o mesmo interesse, enquanto formam uma classe frente a outra classe, eles têm interesses opostos, antagônicos, enquanto se defrontam entre si. Essa oposição de interesses decorre das condições econômicas de sua vida burguesa”.</w:t>
      </w:r>
      <w:r>
        <w:rPr>
          <w:rStyle w:val="Refdenotaderodap"/>
          <w:rFonts w:ascii="Times New Roman" w:hAnsi="Times New Roman"/>
          <w:sz w:val="24"/>
          <w:szCs w:val="24"/>
        </w:rPr>
        <w:footnoteReference w:id="197"/>
      </w:r>
    </w:p>
    <w:p w:rsidR="008E4AE2" w:rsidRDefault="008E4AE2" w:rsidP="008E4AE2">
      <w:pPr>
        <w:spacing w:after="0" w:line="360" w:lineRule="auto"/>
        <w:ind w:firstLine="708"/>
        <w:jc w:val="both"/>
        <w:rPr>
          <w:rFonts w:ascii="Times New Roman" w:hAnsi="Times New Roman"/>
          <w:sz w:val="24"/>
          <w:szCs w:val="24"/>
        </w:rPr>
      </w:pPr>
      <w:r>
        <w:rPr>
          <w:rFonts w:ascii="Times New Roman" w:hAnsi="Times New Roman"/>
          <w:sz w:val="24"/>
          <w:szCs w:val="24"/>
        </w:rPr>
        <w:t xml:space="preserve">Foi, contudo, através do estudo do ciclo de reprodução do capital-dinheiro que Marx, no Capítulo 1, Livro II de </w:t>
      </w:r>
      <w:r>
        <w:rPr>
          <w:rFonts w:ascii="Times New Roman" w:hAnsi="Times New Roman"/>
          <w:i/>
          <w:sz w:val="24"/>
          <w:szCs w:val="24"/>
        </w:rPr>
        <w:t>O Capital</w:t>
      </w:r>
      <w:r>
        <w:rPr>
          <w:rFonts w:ascii="Times New Roman" w:hAnsi="Times New Roman"/>
          <w:sz w:val="24"/>
          <w:szCs w:val="24"/>
        </w:rPr>
        <w:t xml:space="preserve">, revelou a subordinação das outras espécies de capital à única capaz de criar valor: </w:t>
      </w:r>
      <w:r w:rsidRPr="00307AF3">
        <w:rPr>
          <w:rFonts w:ascii="Times New Roman" w:hAnsi="Times New Roman"/>
          <w:i/>
          <w:sz w:val="24"/>
          <w:szCs w:val="24"/>
        </w:rPr>
        <w:t>o capital industrial (produtor de valor)</w:t>
      </w:r>
      <w:r>
        <w:rPr>
          <w:rFonts w:ascii="Times New Roman" w:hAnsi="Times New Roman"/>
          <w:sz w:val="24"/>
          <w:szCs w:val="24"/>
        </w:rPr>
        <w:t>, isto é, a função “P” do ciclo D-M...P...M’-D’, onde D-D’ constitui o ciclo do capital-dinheiro (capital sob a forma dinheiro, já que “o valor tem na figura do dinheiro sua forma autônoma, palpável de manifestação”),</w:t>
      </w:r>
      <w:r>
        <w:rPr>
          <w:rStyle w:val="Refdenotaderodap"/>
          <w:rFonts w:ascii="Times New Roman" w:hAnsi="Times New Roman"/>
          <w:sz w:val="24"/>
          <w:szCs w:val="24"/>
        </w:rPr>
        <w:footnoteReference w:id="198"/>
      </w:r>
      <w:r>
        <w:rPr>
          <w:rFonts w:ascii="Times New Roman" w:hAnsi="Times New Roman"/>
          <w:sz w:val="24"/>
          <w:szCs w:val="24"/>
        </w:rPr>
        <w:t xml:space="preserve"> revelando “o adiantamento do valor-capital [D], meio, e o valor-capital acrescido [D’] fim de toda a operação”</w:t>
      </w:r>
      <w:r>
        <w:rPr>
          <w:rStyle w:val="Refdenotaderodap"/>
          <w:rFonts w:ascii="Times New Roman" w:hAnsi="Times New Roman"/>
          <w:sz w:val="24"/>
          <w:szCs w:val="24"/>
        </w:rPr>
        <w:footnoteReference w:id="199"/>
      </w:r>
      <w:r>
        <w:rPr>
          <w:rFonts w:ascii="Times New Roman" w:hAnsi="Times New Roman"/>
          <w:sz w:val="24"/>
          <w:szCs w:val="24"/>
        </w:rPr>
        <w:t xml:space="preserve"> e M-M’, a constituição do capital-mercadoria (M’=M+µ), isto é, “forma transmutada do capital produtivo P”, prenha de mais-valor (µ) que, para se realizar, precisa “converter-se em dinheiro, ser vendido, percorrer a fase de circulação M-D”.</w:t>
      </w:r>
      <w:r>
        <w:rPr>
          <w:rStyle w:val="Refdenotaderodap"/>
          <w:rFonts w:ascii="Times New Roman" w:hAnsi="Times New Roman"/>
          <w:sz w:val="24"/>
          <w:szCs w:val="24"/>
        </w:rPr>
        <w:footnoteReference w:id="200"/>
      </w:r>
      <w:r>
        <w:rPr>
          <w:rFonts w:ascii="Times New Roman" w:hAnsi="Times New Roman"/>
          <w:sz w:val="24"/>
          <w:szCs w:val="24"/>
        </w:rPr>
        <w:t xml:space="preserve"> Sendo assim, “D’ é apenas o resultado da realização de M’. Ambos, M’ e D’, não passam de formas diversas, a forma mercadoria e a forma dinheiro, do valor-capital aumentado”.</w:t>
      </w:r>
      <w:r>
        <w:rPr>
          <w:rStyle w:val="Refdenotaderodap"/>
          <w:rFonts w:ascii="Times New Roman" w:hAnsi="Times New Roman"/>
          <w:sz w:val="24"/>
          <w:szCs w:val="24"/>
        </w:rPr>
        <w:footnoteReference w:id="201"/>
      </w:r>
      <w:r>
        <w:rPr>
          <w:rFonts w:ascii="Times New Roman" w:hAnsi="Times New Roman"/>
          <w:sz w:val="24"/>
          <w:szCs w:val="24"/>
        </w:rPr>
        <w:t xml:space="preserve"> Como “único modo de existência do capital em que este tem por função não só apropriar-se da mais-valia ou do excedente, mas também criá-la”, o capital industrial ou capital produtivo P “determina o </w:t>
      </w:r>
      <w:r w:rsidR="000306A5">
        <w:rPr>
          <w:rFonts w:ascii="Times New Roman" w:hAnsi="Times New Roman"/>
          <w:sz w:val="24"/>
          <w:szCs w:val="24"/>
        </w:rPr>
        <w:t>caráter capitalista da produção:</w:t>
      </w:r>
      <w:r>
        <w:rPr>
          <w:rFonts w:ascii="Times New Roman" w:hAnsi="Times New Roman"/>
          <w:sz w:val="24"/>
          <w:szCs w:val="24"/>
        </w:rPr>
        <w:t xml:space="preserve"> sua existência implica a oposição entre a classe capitalista e a trabalhadora”.</w:t>
      </w:r>
      <w:r>
        <w:rPr>
          <w:rStyle w:val="Refdenotaderodap"/>
          <w:rFonts w:ascii="Times New Roman" w:hAnsi="Times New Roman"/>
          <w:sz w:val="24"/>
          <w:szCs w:val="24"/>
        </w:rPr>
        <w:footnoteReference w:id="202"/>
      </w:r>
    </w:p>
    <w:p w:rsidR="008E4AE2" w:rsidRPr="009F4B0B" w:rsidRDefault="008E4AE2" w:rsidP="008E4AE2">
      <w:pPr>
        <w:spacing w:line="240" w:lineRule="auto"/>
        <w:ind w:left="2268"/>
        <w:jc w:val="both"/>
        <w:rPr>
          <w:rFonts w:ascii="Times New Roman" w:hAnsi="Times New Roman"/>
          <w:sz w:val="20"/>
          <w:szCs w:val="20"/>
        </w:rPr>
      </w:pPr>
      <w:r w:rsidRPr="009F4B0B">
        <w:rPr>
          <w:rFonts w:ascii="Times New Roman" w:hAnsi="Times New Roman"/>
          <w:sz w:val="20"/>
          <w:szCs w:val="20"/>
        </w:rPr>
        <w:t xml:space="preserve">As outras espécies de capital [...] a ele se subordinam, modificando o mecanismo de suas funções e, além disso, movem-se nele fundamentadas, com ele vivem ou morrem, firmam-se ou caem. O capital-dinheiro e o capital-mercadoria, quando funcionam como veículo de um ramo específico, ao lado do capital industrial, </w:t>
      </w:r>
      <w:r w:rsidRPr="00307AF3">
        <w:rPr>
          <w:rFonts w:ascii="Times New Roman" w:hAnsi="Times New Roman"/>
          <w:b/>
          <w:sz w:val="20"/>
          <w:szCs w:val="20"/>
        </w:rPr>
        <w:t>não são mais do que modo de existência, que a divisão social do trabalho tornou autônomos e especializados, das diferentes formas de funcionamento que o capital industrial ora assume, ora abandona, na esfera da circulação</w:t>
      </w:r>
      <w:r>
        <w:rPr>
          <w:rFonts w:ascii="Times New Roman" w:hAnsi="Times New Roman"/>
          <w:sz w:val="20"/>
          <w:szCs w:val="20"/>
        </w:rPr>
        <w:t>.</w:t>
      </w:r>
      <w:r>
        <w:rPr>
          <w:rStyle w:val="Refdenotaderodap"/>
          <w:rFonts w:ascii="Times New Roman" w:hAnsi="Times New Roman"/>
          <w:sz w:val="20"/>
          <w:szCs w:val="20"/>
        </w:rPr>
        <w:footnoteReference w:id="203"/>
      </w:r>
    </w:p>
    <w:p w:rsidR="008E4AE2" w:rsidRDefault="008E4AE2" w:rsidP="008E4AE2">
      <w:pPr>
        <w:spacing w:after="0" w:line="360" w:lineRule="auto"/>
        <w:ind w:firstLine="708"/>
        <w:jc w:val="both"/>
        <w:rPr>
          <w:rFonts w:ascii="Times New Roman" w:hAnsi="Times New Roman"/>
          <w:sz w:val="24"/>
          <w:szCs w:val="24"/>
        </w:rPr>
      </w:pPr>
      <w:r>
        <w:rPr>
          <w:rFonts w:ascii="Times New Roman" w:hAnsi="Times New Roman"/>
          <w:sz w:val="24"/>
          <w:szCs w:val="24"/>
        </w:rPr>
        <w:t>Há, portanto, uma dupla dimensão imbricada das formas “consensual-orgânica” e “concorrencial-autonomizada” entre os diferentes capitais particulares, na medida em que se de um lado competem entre si em busca de uma posição mais favorável de acumulação e expansão, de outro compartilham a necessidade de, enquanto partes constitutivas do ciclo do capital em geral (na forma explicitada D-M(F+Mp)...P...M’(M+µ)-D’(D+d)), garantir condições sociais, políticas e econômicas cada vez mais propícias de atuação e reprodução, e estas condições são historicamente estabelecidas a partir do resultado das relações de forças que travam com as classes subalternas.</w:t>
      </w:r>
    </w:p>
    <w:p w:rsidR="008E4AE2" w:rsidRDefault="008E4AE2" w:rsidP="008E4AE2">
      <w:pPr>
        <w:spacing w:after="0" w:line="360" w:lineRule="auto"/>
        <w:ind w:firstLine="708"/>
        <w:jc w:val="both"/>
        <w:rPr>
          <w:rFonts w:ascii="Times New Roman" w:hAnsi="Times New Roman"/>
          <w:sz w:val="24"/>
          <w:szCs w:val="24"/>
        </w:rPr>
      </w:pPr>
      <w:r>
        <w:rPr>
          <w:rFonts w:ascii="Times New Roman" w:hAnsi="Times New Roman"/>
          <w:sz w:val="24"/>
          <w:szCs w:val="24"/>
        </w:rPr>
        <w:t>Neste sentido, es</w:t>
      </w:r>
      <w:r w:rsidR="00E451BC">
        <w:rPr>
          <w:rFonts w:ascii="Times New Roman" w:hAnsi="Times New Roman"/>
          <w:sz w:val="24"/>
          <w:szCs w:val="24"/>
        </w:rPr>
        <w:t>s</w:t>
      </w:r>
      <w:r>
        <w:rPr>
          <w:rFonts w:ascii="Times New Roman" w:hAnsi="Times New Roman"/>
          <w:sz w:val="24"/>
          <w:szCs w:val="24"/>
        </w:rPr>
        <w:t>a “unidade tensionada” ou, talvez seja mais apropriado, “unidade-distinção”, está traduzida num cenário de “entrelaçamento pornográfico”,</w:t>
      </w:r>
      <w:r>
        <w:rPr>
          <w:rStyle w:val="Refdenotaderodap"/>
          <w:rFonts w:ascii="Times New Roman" w:hAnsi="Times New Roman"/>
          <w:sz w:val="24"/>
          <w:szCs w:val="24"/>
        </w:rPr>
        <w:footnoteReference w:id="204"/>
      </w:r>
      <w:r>
        <w:rPr>
          <w:rFonts w:ascii="Times New Roman" w:hAnsi="Times New Roman"/>
          <w:sz w:val="24"/>
          <w:szCs w:val="24"/>
        </w:rPr>
        <w:t xml:space="preserve"> à medida que avança a centralização e concentração monopólica dos meios e recursos sociais de produção, inclusive em economias dependentes como o Brasil.</w:t>
      </w:r>
    </w:p>
    <w:p w:rsidR="008E4AE2" w:rsidRPr="0066298A" w:rsidRDefault="008E4AE2" w:rsidP="008E4AE2">
      <w:pPr>
        <w:autoSpaceDE w:val="0"/>
        <w:autoSpaceDN w:val="0"/>
        <w:adjustRightInd w:val="0"/>
        <w:spacing w:line="240" w:lineRule="auto"/>
        <w:ind w:left="2268"/>
        <w:jc w:val="both"/>
        <w:rPr>
          <w:rFonts w:ascii="Times New Roman" w:hAnsi="Times New Roman"/>
          <w:sz w:val="20"/>
          <w:szCs w:val="20"/>
        </w:rPr>
      </w:pPr>
      <w:r w:rsidRPr="00855DC0">
        <w:rPr>
          <w:rFonts w:ascii="Times New Roman" w:hAnsi="Times New Roman"/>
          <w:sz w:val="20"/>
          <w:szCs w:val="20"/>
        </w:rPr>
        <w:t xml:space="preserve">Mais umavez, </w:t>
      </w:r>
      <w:r w:rsidRPr="00307AF3">
        <w:rPr>
          <w:rFonts w:ascii="Times New Roman" w:hAnsi="Times New Roman"/>
          <w:b/>
          <w:sz w:val="20"/>
          <w:szCs w:val="20"/>
        </w:rPr>
        <w:t>o entrelaçamento entre capitais de origens distintas (industrial, serviços, comércio, bancos, fundos, etc.) se evidencia</w:t>
      </w:r>
      <w:r w:rsidRPr="00855DC0">
        <w:rPr>
          <w:rFonts w:ascii="Times New Roman" w:hAnsi="Times New Roman"/>
          <w:sz w:val="20"/>
          <w:szCs w:val="20"/>
        </w:rPr>
        <w:t xml:space="preserve">: as desregulamentaçõesentão implementadas favoreciam a circulação geral decapitais, para qualquer que fosse o seu destino, especulativo ou outros.(...) Nanova forma de concentração capital-imperialista, </w:t>
      </w:r>
      <w:r w:rsidRPr="00307AF3">
        <w:rPr>
          <w:rFonts w:ascii="Times New Roman" w:hAnsi="Times New Roman"/>
          <w:b/>
          <w:sz w:val="20"/>
          <w:szCs w:val="20"/>
        </w:rPr>
        <w:t>não ocorre uma oposição entre capital financeiro ou bancário e capital industrial ou de serviços, ou ainda meramente especulativo</w:t>
      </w:r>
      <w:r w:rsidRPr="00855DC0">
        <w:rPr>
          <w:rFonts w:ascii="Times New Roman" w:hAnsi="Times New Roman"/>
          <w:sz w:val="20"/>
          <w:szCs w:val="20"/>
        </w:rPr>
        <w:t xml:space="preserve">: ela decorre de eimpulsiona o crescimento de todas as formas de capital, </w:t>
      </w:r>
      <w:r w:rsidRPr="00855DC0">
        <w:rPr>
          <w:rFonts w:ascii="Times New Roman" w:hAnsi="Times New Roman"/>
          <w:i/>
          <w:iCs/>
          <w:sz w:val="20"/>
          <w:szCs w:val="20"/>
        </w:rPr>
        <w:t>pornograficamenteentrelaçadas</w:t>
      </w:r>
      <w:r w:rsidRPr="0066298A">
        <w:rPr>
          <w:rFonts w:ascii="Times New Roman" w:hAnsi="Times New Roman"/>
          <w:iCs/>
          <w:sz w:val="20"/>
          <w:szCs w:val="20"/>
        </w:rPr>
        <w:t>.</w:t>
      </w:r>
      <w:r w:rsidRPr="0066298A">
        <w:rPr>
          <w:rStyle w:val="Refdenotaderodap"/>
          <w:rFonts w:ascii="Times New Roman" w:hAnsi="Times New Roman"/>
          <w:iCs/>
          <w:sz w:val="20"/>
          <w:szCs w:val="20"/>
        </w:rPr>
        <w:footnoteReference w:id="205"/>
      </w:r>
    </w:p>
    <w:p w:rsidR="008E4AE2" w:rsidRDefault="008E4AE2" w:rsidP="008E4AE2">
      <w:pPr>
        <w:spacing w:after="0" w:line="360" w:lineRule="auto"/>
        <w:ind w:firstLine="708"/>
        <w:jc w:val="both"/>
        <w:rPr>
          <w:rFonts w:ascii="Times New Roman" w:hAnsi="Times New Roman"/>
          <w:sz w:val="24"/>
          <w:szCs w:val="24"/>
        </w:rPr>
      </w:pPr>
      <w:r>
        <w:rPr>
          <w:rFonts w:ascii="Times New Roman" w:hAnsi="Times New Roman"/>
          <w:sz w:val="24"/>
          <w:szCs w:val="24"/>
        </w:rPr>
        <w:t xml:space="preserve">É claro que há fortes divergências entre os estudiosos que analisam as classes e frações de classes sociais no capitalismo contemporâneo no que se refere ao grau e teor das formas de autonomizações ou soldagens relativas entre os capitais particulares e o que isto representa em termos de organização da produção capitalista e, o que nos interessa mais de perto, das tarefas correspondentes ao âmbito da dominação na esfera política e ideológica, isto é, nas formas de organização, produção e disseminação de hegemonias. Se por um lado não nos parecer convincente trabalhar a partir de indistinção absoluta entre as frações de classe capitalistas, por outro, as percepções trazidas por nossa pesquisa empírica mostraram de fato que não é nada razoável o tratamento encapsulado ou autonomizado que se lhes imputam - situação evidenciada através da </w:t>
      </w:r>
      <w:r w:rsidR="00E451BC">
        <w:rPr>
          <w:rFonts w:ascii="Times New Roman" w:hAnsi="Times New Roman"/>
          <w:sz w:val="24"/>
          <w:szCs w:val="24"/>
        </w:rPr>
        <w:t xml:space="preserve">extensa </w:t>
      </w:r>
      <w:r>
        <w:rPr>
          <w:rFonts w:ascii="Times New Roman" w:hAnsi="Times New Roman"/>
          <w:sz w:val="24"/>
          <w:szCs w:val="24"/>
        </w:rPr>
        <w:t xml:space="preserve">interpenetração entre os capitais de que as frações </w:t>
      </w:r>
      <w:r w:rsidR="00E451BC">
        <w:rPr>
          <w:rFonts w:ascii="Times New Roman" w:hAnsi="Times New Roman"/>
          <w:sz w:val="24"/>
          <w:szCs w:val="24"/>
        </w:rPr>
        <w:t>imprimem entre si</w:t>
      </w:r>
      <w:r>
        <w:rPr>
          <w:rFonts w:ascii="Times New Roman" w:hAnsi="Times New Roman"/>
          <w:sz w:val="24"/>
          <w:szCs w:val="24"/>
        </w:rPr>
        <w:t xml:space="preserve">.  </w:t>
      </w:r>
    </w:p>
    <w:p w:rsidR="008E4AE2" w:rsidRDefault="008E4AE2" w:rsidP="008E4AE2">
      <w:pPr>
        <w:spacing w:line="360" w:lineRule="auto"/>
        <w:ind w:firstLine="708"/>
        <w:jc w:val="both"/>
        <w:rPr>
          <w:rFonts w:ascii="Times New Roman" w:hAnsi="Times New Roman"/>
          <w:sz w:val="24"/>
          <w:szCs w:val="24"/>
        </w:rPr>
      </w:pPr>
      <w:r>
        <w:rPr>
          <w:rFonts w:ascii="Times New Roman" w:hAnsi="Times New Roman"/>
          <w:sz w:val="24"/>
          <w:szCs w:val="24"/>
        </w:rPr>
        <w:t xml:space="preserve">Ciente de que não é nosso objetivo e intenção dirimir as dificuldades apresentadas, parece-nos que um </w:t>
      </w:r>
      <w:r w:rsidRPr="000C7CF7">
        <w:rPr>
          <w:rFonts w:ascii="Times New Roman" w:hAnsi="Times New Roman"/>
          <w:sz w:val="24"/>
          <w:szCs w:val="24"/>
        </w:rPr>
        <w:t xml:space="preserve">encaminhamento satisfatório segue sendo considerar a intransponível </w:t>
      </w:r>
      <w:r w:rsidRPr="000C7CF7">
        <w:rPr>
          <w:rFonts w:ascii="Times New Roman" w:hAnsi="Times New Roman"/>
          <w:i/>
          <w:sz w:val="24"/>
          <w:szCs w:val="24"/>
        </w:rPr>
        <w:t>união orgânica dos capitais</w:t>
      </w:r>
      <w:r w:rsidRPr="000C7CF7">
        <w:rPr>
          <w:rFonts w:ascii="Times New Roman" w:hAnsi="Times New Roman"/>
          <w:sz w:val="24"/>
          <w:szCs w:val="24"/>
        </w:rPr>
        <w:t>, diante da escala de concentração de capitais a que verificamos,</w:t>
      </w:r>
      <w:r>
        <w:rPr>
          <w:rFonts w:ascii="Times New Roman" w:hAnsi="Times New Roman"/>
          <w:sz w:val="24"/>
          <w:szCs w:val="24"/>
        </w:rPr>
        <w:t xml:space="preserve"> irremediavelmente mediada pela divisão social do trabalho no capitalismo, tal como foi realçado por Marx na passagem acima.  Sintetizada na fórmula “unidade-distinção”, onde a dinâmica unitária já é um componente que se sobrepõe  e se requisita à necessária expansão capital-imperialista, ela atravessa, entretanto, períodos de graves crises ou fases mais ou menos estáveis, mas sem abdicar da preservação dos interesses básicos do capital: a garantia da propriedade privada, o cumprimento dos contratos e o funcionamento regular dos mercados.</w:t>
      </w:r>
      <w:r>
        <w:rPr>
          <w:rStyle w:val="Refdenotaderodap"/>
          <w:rFonts w:ascii="Times New Roman" w:hAnsi="Times New Roman"/>
          <w:sz w:val="24"/>
          <w:szCs w:val="24"/>
        </w:rPr>
        <w:footnoteReference w:id="206"/>
      </w:r>
      <w:r>
        <w:rPr>
          <w:rFonts w:ascii="Times New Roman" w:hAnsi="Times New Roman"/>
          <w:sz w:val="24"/>
          <w:szCs w:val="24"/>
        </w:rPr>
        <w:t xml:space="preserve"> Para tanto, é função do Estado burguês zelar pelo interesse comum de toda a burguesia, afiançando a segurança jurídica, criando e acionando mecanismos político-econômicos corretivos e estabelecendo controles abrangentes e permanentes, refinados e truculentos, sobre as classes subalternas.</w:t>
      </w:r>
    </w:p>
    <w:p w:rsidR="00703D40" w:rsidRDefault="002F561F" w:rsidP="002F561F">
      <w:pPr>
        <w:spacing w:line="360" w:lineRule="auto"/>
        <w:ind w:firstLine="708"/>
        <w:jc w:val="both"/>
        <w:rPr>
          <w:rFonts w:ascii="Times New Roman" w:hAnsi="Times New Roman"/>
          <w:b/>
          <w:sz w:val="24"/>
          <w:szCs w:val="24"/>
        </w:rPr>
      </w:pPr>
      <w:r>
        <w:rPr>
          <w:rFonts w:ascii="Times New Roman" w:hAnsi="Times New Roman"/>
          <w:b/>
          <w:sz w:val="24"/>
          <w:szCs w:val="24"/>
        </w:rPr>
        <w:t xml:space="preserve">2.3.2 - O predomínio </w:t>
      </w:r>
      <w:r w:rsidR="00970BC6">
        <w:rPr>
          <w:rFonts w:ascii="Times New Roman" w:hAnsi="Times New Roman"/>
          <w:b/>
          <w:sz w:val="24"/>
          <w:szCs w:val="24"/>
        </w:rPr>
        <w:t>de setores empresariais</w:t>
      </w:r>
      <w:r>
        <w:rPr>
          <w:rFonts w:ascii="Times New Roman" w:hAnsi="Times New Roman"/>
          <w:b/>
          <w:sz w:val="24"/>
          <w:szCs w:val="24"/>
        </w:rPr>
        <w:t xml:space="preserve"> de atividade industrial</w:t>
      </w:r>
    </w:p>
    <w:p w:rsidR="00E01193" w:rsidRPr="00E01193" w:rsidRDefault="00173D94" w:rsidP="002F561F">
      <w:pPr>
        <w:spacing w:after="0" w:line="360" w:lineRule="auto"/>
        <w:ind w:firstLine="708"/>
        <w:jc w:val="both"/>
        <w:rPr>
          <w:rFonts w:ascii="Times New Roman" w:hAnsi="Times New Roman"/>
          <w:sz w:val="24"/>
          <w:szCs w:val="24"/>
        </w:rPr>
      </w:pPr>
      <w:r>
        <w:rPr>
          <w:rFonts w:ascii="Times New Roman" w:hAnsi="Times New Roman"/>
          <w:sz w:val="24"/>
          <w:szCs w:val="24"/>
        </w:rPr>
        <w:t>N</w:t>
      </w:r>
      <w:r w:rsidR="00703D40" w:rsidRPr="00340412">
        <w:rPr>
          <w:rFonts w:ascii="Times New Roman" w:hAnsi="Times New Roman"/>
          <w:sz w:val="24"/>
          <w:szCs w:val="24"/>
        </w:rPr>
        <w:t xml:space="preserve">a pesquisa </w:t>
      </w:r>
      <w:r w:rsidR="00773F04">
        <w:rPr>
          <w:rFonts w:ascii="Times New Roman" w:hAnsi="Times New Roman"/>
          <w:sz w:val="24"/>
          <w:szCs w:val="24"/>
        </w:rPr>
        <w:t xml:space="preserve">sobre </w:t>
      </w:r>
      <w:r w:rsidR="00703D40" w:rsidRPr="00340412">
        <w:rPr>
          <w:rFonts w:ascii="Times New Roman" w:hAnsi="Times New Roman"/>
          <w:sz w:val="24"/>
          <w:szCs w:val="24"/>
        </w:rPr>
        <w:t>o segmento empresarial, averiguamos que as Plenárias do CDES, com renovação parcial bianual, além de preservar</w:t>
      </w:r>
      <w:r w:rsidR="00773F04">
        <w:rPr>
          <w:rFonts w:ascii="Times New Roman" w:hAnsi="Times New Roman"/>
          <w:sz w:val="24"/>
          <w:szCs w:val="24"/>
        </w:rPr>
        <w:t>em</w:t>
      </w:r>
      <w:r w:rsidR="00703D40" w:rsidRPr="00340412">
        <w:rPr>
          <w:rFonts w:ascii="Times New Roman" w:hAnsi="Times New Roman"/>
          <w:sz w:val="24"/>
          <w:szCs w:val="24"/>
        </w:rPr>
        <w:t xml:space="preserve"> a alta representatividade do empresariado, abrigavam distint</w:t>
      </w:r>
      <w:r w:rsidR="00970BC6">
        <w:rPr>
          <w:rFonts w:ascii="Times New Roman" w:hAnsi="Times New Roman"/>
          <w:sz w:val="24"/>
          <w:szCs w:val="24"/>
        </w:rPr>
        <w:t>o</w:t>
      </w:r>
      <w:r w:rsidR="00703D40" w:rsidRPr="00340412">
        <w:rPr>
          <w:rFonts w:ascii="Times New Roman" w:hAnsi="Times New Roman"/>
          <w:sz w:val="24"/>
          <w:szCs w:val="24"/>
        </w:rPr>
        <w:t>s e variad</w:t>
      </w:r>
      <w:r w:rsidR="00970BC6">
        <w:rPr>
          <w:rFonts w:ascii="Times New Roman" w:hAnsi="Times New Roman"/>
          <w:sz w:val="24"/>
          <w:szCs w:val="24"/>
        </w:rPr>
        <w:t>os</w:t>
      </w:r>
      <w:r w:rsidR="00970BC6" w:rsidRPr="00970BC6">
        <w:rPr>
          <w:rFonts w:ascii="Times New Roman" w:hAnsi="Times New Roman"/>
          <w:sz w:val="24"/>
          <w:szCs w:val="24"/>
        </w:rPr>
        <w:t>setor</w:t>
      </w:r>
      <w:r w:rsidR="00970BC6">
        <w:rPr>
          <w:rFonts w:ascii="Times New Roman" w:hAnsi="Times New Roman"/>
          <w:sz w:val="24"/>
          <w:szCs w:val="24"/>
        </w:rPr>
        <w:t>es</w:t>
      </w:r>
      <w:r w:rsidR="00970BC6" w:rsidRPr="00970BC6">
        <w:rPr>
          <w:rFonts w:ascii="Times New Roman" w:hAnsi="Times New Roman"/>
          <w:sz w:val="24"/>
          <w:szCs w:val="24"/>
        </w:rPr>
        <w:t xml:space="preserve"> de atividade</w:t>
      </w:r>
      <w:r w:rsidR="00970BC6">
        <w:rPr>
          <w:rFonts w:ascii="Times New Roman" w:hAnsi="Times New Roman"/>
          <w:sz w:val="24"/>
          <w:szCs w:val="24"/>
        </w:rPr>
        <w:t>s</w:t>
      </w:r>
      <w:r w:rsidR="00E01193">
        <w:rPr>
          <w:rFonts w:ascii="Times New Roman" w:hAnsi="Times New Roman"/>
          <w:sz w:val="24"/>
          <w:szCs w:val="24"/>
        </w:rPr>
        <w:t xml:space="preserve"> econômicas</w:t>
      </w:r>
      <w:r w:rsidR="00970BC6" w:rsidRPr="00970BC6">
        <w:rPr>
          <w:rFonts w:ascii="Times New Roman" w:hAnsi="Times New Roman"/>
          <w:sz w:val="24"/>
          <w:szCs w:val="24"/>
        </w:rPr>
        <w:t xml:space="preserve">como </w:t>
      </w:r>
      <w:r w:rsidR="00E01193">
        <w:rPr>
          <w:rFonts w:ascii="Times New Roman" w:hAnsi="Times New Roman"/>
          <w:sz w:val="24"/>
          <w:szCs w:val="24"/>
        </w:rPr>
        <w:t>send</w:t>
      </w:r>
      <w:r w:rsidR="00970BC6" w:rsidRPr="00970BC6">
        <w:rPr>
          <w:rFonts w:ascii="Times New Roman" w:hAnsi="Times New Roman"/>
          <w:sz w:val="24"/>
          <w:szCs w:val="24"/>
        </w:rPr>
        <w:t xml:space="preserve">o </w:t>
      </w:r>
      <w:r w:rsidR="00E01193">
        <w:rPr>
          <w:rFonts w:ascii="Times New Roman" w:hAnsi="Times New Roman"/>
          <w:sz w:val="24"/>
          <w:szCs w:val="24"/>
        </w:rPr>
        <w:t xml:space="preserve">o </w:t>
      </w:r>
      <w:r w:rsidR="00970BC6" w:rsidRPr="00970BC6">
        <w:rPr>
          <w:rFonts w:ascii="Times New Roman" w:hAnsi="Times New Roman"/>
          <w:sz w:val="24"/>
          <w:szCs w:val="24"/>
        </w:rPr>
        <w:t>setor principal declarado ou reconhecido</w:t>
      </w:r>
      <w:r w:rsidR="00703D40" w:rsidRPr="00340412">
        <w:rPr>
          <w:rFonts w:ascii="Times New Roman" w:hAnsi="Times New Roman"/>
          <w:sz w:val="24"/>
          <w:szCs w:val="24"/>
        </w:rPr>
        <w:t>: industrial, agroindustrial, comercial e de serviços</w:t>
      </w:r>
      <w:r w:rsidR="00703D40">
        <w:rPr>
          <w:rFonts w:ascii="Times New Roman" w:hAnsi="Times New Roman"/>
          <w:sz w:val="24"/>
          <w:szCs w:val="24"/>
        </w:rPr>
        <w:t>, e bancária</w:t>
      </w:r>
      <w:r w:rsidR="00703D40" w:rsidRPr="00340412">
        <w:rPr>
          <w:rFonts w:ascii="Times New Roman" w:hAnsi="Times New Roman"/>
          <w:sz w:val="24"/>
          <w:szCs w:val="24"/>
        </w:rPr>
        <w:t xml:space="preserve">. Para chegar a esta constatação, foi preciso ampliar a investigação dos conselheiros-empresários para além do que o CDES informava sobre cada conselheiro em seu </w:t>
      </w:r>
      <w:r w:rsidR="00703D40" w:rsidRPr="00340412">
        <w:rPr>
          <w:rFonts w:ascii="Times New Roman" w:hAnsi="Times New Roman"/>
          <w:i/>
          <w:sz w:val="24"/>
          <w:szCs w:val="24"/>
        </w:rPr>
        <w:t>site</w:t>
      </w:r>
      <w:r w:rsidR="00703D40" w:rsidRPr="00340412">
        <w:rPr>
          <w:rFonts w:ascii="Times New Roman" w:hAnsi="Times New Roman"/>
          <w:sz w:val="24"/>
          <w:szCs w:val="24"/>
        </w:rPr>
        <w:t>. A busca de dados através da internet, do Dicionário Histórico-Biográfico da FGV</w:t>
      </w:r>
      <w:r w:rsidR="00703D40">
        <w:rPr>
          <w:rStyle w:val="Refdenotaderodap"/>
          <w:rFonts w:ascii="Times New Roman" w:hAnsi="Times New Roman"/>
          <w:sz w:val="24"/>
          <w:szCs w:val="24"/>
        </w:rPr>
        <w:footnoteReference w:id="207"/>
      </w:r>
      <w:r w:rsidR="00703D40" w:rsidRPr="00340412">
        <w:rPr>
          <w:rFonts w:ascii="Times New Roman" w:hAnsi="Times New Roman"/>
          <w:sz w:val="24"/>
          <w:szCs w:val="24"/>
        </w:rPr>
        <w:t xml:space="preserve"> e de jornais e revistas do universo empresarial</w:t>
      </w:r>
      <w:r w:rsidR="00703D40">
        <w:rPr>
          <w:rFonts w:ascii="Times New Roman" w:hAnsi="Times New Roman"/>
          <w:sz w:val="24"/>
          <w:szCs w:val="24"/>
        </w:rPr>
        <w:t>,</w:t>
      </w:r>
      <w:r w:rsidR="00841D58">
        <w:rPr>
          <w:rStyle w:val="Refdenotaderodap"/>
          <w:rFonts w:ascii="Times New Roman" w:hAnsi="Times New Roman"/>
          <w:sz w:val="24"/>
          <w:szCs w:val="24"/>
        </w:rPr>
        <w:footnoteReference w:id="208"/>
      </w:r>
      <w:r w:rsidR="00703D40" w:rsidRPr="00340412">
        <w:rPr>
          <w:rFonts w:ascii="Times New Roman" w:hAnsi="Times New Roman"/>
          <w:sz w:val="24"/>
          <w:szCs w:val="24"/>
        </w:rPr>
        <w:t xml:space="preserve"> nos possibilitou </w:t>
      </w:r>
      <w:r w:rsidR="00703D40" w:rsidRPr="00340412">
        <w:rPr>
          <w:rFonts w:ascii="Times New Roman" w:hAnsi="Times New Roman"/>
          <w:i/>
          <w:sz w:val="24"/>
          <w:szCs w:val="24"/>
        </w:rPr>
        <w:t>confirmar nossa hipótese de que o CDES, de fato, era dominado por conselheiro</w:t>
      </w:r>
      <w:r w:rsidR="00E451BC">
        <w:rPr>
          <w:rFonts w:ascii="Times New Roman" w:hAnsi="Times New Roman"/>
          <w:i/>
          <w:sz w:val="24"/>
          <w:szCs w:val="24"/>
        </w:rPr>
        <w:t>s intimamente ligados a distinto</w:t>
      </w:r>
      <w:r w:rsidR="00703D40" w:rsidRPr="00340412">
        <w:rPr>
          <w:rFonts w:ascii="Times New Roman" w:hAnsi="Times New Roman"/>
          <w:i/>
          <w:sz w:val="24"/>
          <w:szCs w:val="24"/>
        </w:rPr>
        <w:t>s</w:t>
      </w:r>
      <w:r w:rsidR="00970BC6">
        <w:rPr>
          <w:rFonts w:ascii="Times New Roman" w:hAnsi="Times New Roman"/>
          <w:i/>
          <w:sz w:val="24"/>
          <w:szCs w:val="24"/>
        </w:rPr>
        <w:t xml:space="preserve"> setores </w:t>
      </w:r>
      <w:r w:rsidR="00E01193">
        <w:rPr>
          <w:rFonts w:ascii="Times New Roman" w:hAnsi="Times New Roman"/>
          <w:i/>
          <w:sz w:val="24"/>
          <w:szCs w:val="24"/>
        </w:rPr>
        <w:t>d</w:t>
      </w:r>
      <w:r w:rsidR="00970BC6">
        <w:rPr>
          <w:rFonts w:ascii="Times New Roman" w:hAnsi="Times New Roman"/>
          <w:i/>
          <w:sz w:val="24"/>
          <w:szCs w:val="24"/>
        </w:rPr>
        <w:t>e</w:t>
      </w:r>
      <w:r w:rsidR="00E01193">
        <w:rPr>
          <w:rFonts w:ascii="Times New Roman" w:hAnsi="Times New Roman"/>
          <w:i/>
          <w:sz w:val="24"/>
          <w:szCs w:val="24"/>
        </w:rPr>
        <w:t xml:space="preserve">diferentes </w:t>
      </w:r>
      <w:r w:rsidR="00703D40" w:rsidRPr="00340412">
        <w:rPr>
          <w:rFonts w:ascii="Times New Roman" w:hAnsi="Times New Roman"/>
          <w:i/>
          <w:sz w:val="24"/>
          <w:szCs w:val="24"/>
        </w:rPr>
        <w:t>frações empresariai</w:t>
      </w:r>
      <w:r w:rsidR="00E01193">
        <w:rPr>
          <w:rFonts w:ascii="Times New Roman" w:hAnsi="Times New Roman"/>
          <w:i/>
          <w:sz w:val="24"/>
          <w:szCs w:val="24"/>
        </w:rPr>
        <w:t>s e, especificamente, da fração produtora de valor.</w:t>
      </w:r>
      <w:r w:rsidR="00E01193">
        <w:rPr>
          <w:rStyle w:val="Refdenotaderodap"/>
          <w:rFonts w:ascii="Times New Roman" w:hAnsi="Times New Roman"/>
          <w:i/>
          <w:sz w:val="24"/>
          <w:szCs w:val="24"/>
        </w:rPr>
        <w:footnoteReference w:id="209"/>
      </w:r>
    </w:p>
    <w:p w:rsidR="002F561F" w:rsidRPr="000C7CF7" w:rsidRDefault="00173D94" w:rsidP="002F561F">
      <w:pPr>
        <w:spacing w:after="0" w:line="360" w:lineRule="auto"/>
        <w:ind w:firstLine="708"/>
        <w:jc w:val="both"/>
        <w:rPr>
          <w:rFonts w:ascii="Times New Roman" w:hAnsi="Times New Roman"/>
          <w:sz w:val="24"/>
          <w:szCs w:val="24"/>
        </w:rPr>
      </w:pPr>
      <w:r w:rsidRPr="000C7CF7">
        <w:rPr>
          <w:rFonts w:ascii="Times New Roman" w:hAnsi="Times New Roman"/>
          <w:sz w:val="24"/>
          <w:szCs w:val="24"/>
        </w:rPr>
        <w:t>A</w:t>
      </w:r>
      <w:r w:rsidR="002F561F" w:rsidRPr="000C7CF7">
        <w:rPr>
          <w:rFonts w:ascii="Times New Roman" w:hAnsi="Times New Roman"/>
          <w:sz w:val="24"/>
          <w:szCs w:val="24"/>
        </w:rPr>
        <w:t xml:space="preserve"> classificação realizada </w:t>
      </w:r>
      <w:r w:rsidR="00773F04">
        <w:rPr>
          <w:rFonts w:ascii="Times New Roman" w:hAnsi="Times New Roman"/>
          <w:sz w:val="24"/>
          <w:szCs w:val="24"/>
        </w:rPr>
        <w:t>no quadro abaixo</w:t>
      </w:r>
      <w:r w:rsidRPr="000C7CF7">
        <w:rPr>
          <w:rFonts w:ascii="Times New Roman" w:hAnsi="Times New Roman"/>
          <w:sz w:val="24"/>
          <w:szCs w:val="24"/>
        </w:rPr>
        <w:t xml:space="preserve"> partiu</w:t>
      </w:r>
      <w:r w:rsidR="002F561F" w:rsidRPr="000C7CF7">
        <w:rPr>
          <w:rFonts w:ascii="Times New Roman" w:hAnsi="Times New Roman"/>
          <w:sz w:val="24"/>
          <w:szCs w:val="24"/>
        </w:rPr>
        <w:t xml:space="preserve"> da auto-definição das empresas </w:t>
      </w:r>
      <w:r w:rsidRPr="000C7CF7">
        <w:rPr>
          <w:rFonts w:ascii="Times New Roman" w:hAnsi="Times New Roman"/>
          <w:sz w:val="24"/>
          <w:szCs w:val="24"/>
        </w:rPr>
        <w:t>através das suas</w:t>
      </w:r>
      <w:r w:rsidR="002F561F" w:rsidRPr="000C7CF7">
        <w:rPr>
          <w:rFonts w:ascii="Times New Roman" w:hAnsi="Times New Roman"/>
          <w:i/>
          <w:sz w:val="24"/>
          <w:szCs w:val="24"/>
        </w:rPr>
        <w:t>atividades econômicas principais</w:t>
      </w:r>
      <w:r w:rsidR="002F561F" w:rsidRPr="000C7CF7">
        <w:rPr>
          <w:rFonts w:ascii="Times New Roman" w:hAnsi="Times New Roman"/>
          <w:sz w:val="24"/>
          <w:szCs w:val="24"/>
        </w:rPr>
        <w:t xml:space="preserve">, exceto </w:t>
      </w:r>
      <w:r w:rsidR="00B83E5D">
        <w:rPr>
          <w:rFonts w:ascii="Times New Roman" w:hAnsi="Times New Roman"/>
          <w:sz w:val="24"/>
          <w:szCs w:val="24"/>
        </w:rPr>
        <w:t xml:space="preserve">o </w:t>
      </w:r>
      <w:r w:rsidR="002F561F" w:rsidRPr="000C7CF7">
        <w:rPr>
          <w:rFonts w:ascii="Times New Roman" w:hAnsi="Times New Roman"/>
          <w:sz w:val="24"/>
          <w:szCs w:val="24"/>
        </w:rPr>
        <w:t>setor bancário, que é referido usualmente como “financeiro”. Reservamos o conceito de “capital financeiro” à formulação clássica leniniana para a qual este é a “união íntima” entre o capital industrial (isto é, produtor de valor) e capital bancário, sob o predominínio deste último.</w:t>
      </w:r>
    </w:p>
    <w:p w:rsidR="002F561F" w:rsidRPr="000C7CF7" w:rsidRDefault="002F561F" w:rsidP="002F561F">
      <w:pPr>
        <w:spacing w:line="360" w:lineRule="auto"/>
        <w:ind w:firstLine="708"/>
        <w:jc w:val="both"/>
        <w:rPr>
          <w:rFonts w:ascii="Times New Roman" w:hAnsi="Times New Roman"/>
          <w:sz w:val="24"/>
          <w:szCs w:val="24"/>
        </w:rPr>
      </w:pPr>
      <w:r w:rsidRPr="000C7CF7">
        <w:rPr>
          <w:rFonts w:ascii="Times New Roman" w:hAnsi="Times New Roman"/>
          <w:sz w:val="24"/>
          <w:szCs w:val="24"/>
        </w:rPr>
        <w:t xml:space="preserve">Observe-se que a separação entre capital industrial e capital comercial obscurece os setores produtores de valor, incluídos os da segunda classificação (serviços), quando sabemos que empresas educacionais e diversas outras (inclusive comerciais) têm setores voltados à extração direta de valor. Como veremos neste capítulo, </w:t>
      </w:r>
      <w:r w:rsidR="00173D94" w:rsidRPr="000C7CF7">
        <w:rPr>
          <w:rFonts w:ascii="Times New Roman" w:hAnsi="Times New Roman"/>
          <w:sz w:val="24"/>
          <w:szCs w:val="24"/>
        </w:rPr>
        <w:t xml:space="preserve">a </w:t>
      </w:r>
      <w:r w:rsidRPr="000C7CF7">
        <w:rPr>
          <w:rFonts w:ascii="Times New Roman" w:hAnsi="Times New Roman"/>
          <w:sz w:val="24"/>
          <w:szCs w:val="24"/>
        </w:rPr>
        <w:t xml:space="preserve">separação dos grupos econômicos e firmas representados no CDES, tal qual exposta no quadro abaixo, é </w:t>
      </w:r>
      <w:r w:rsidRPr="000C7CF7">
        <w:rPr>
          <w:rFonts w:ascii="Times New Roman" w:hAnsi="Times New Roman"/>
          <w:i/>
          <w:sz w:val="24"/>
          <w:szCs w:val="24"/>
        </w:rPr>
        <w:t>insuficiente</w:t>
      </w:r>
      <w:r w:rsidRPr="000C7CF7">
        <w:rPr>
          <w:rFonts w:ascii="Times New Roman" w:hAnsi="Times New Roman"/>
          <w:sz w:val="24"/>
          <w:szCs w:val="24"/>
        </w:rPr>
        <w:t xml:space="preserve"> para capturar a dinâmica real da interpenetração de capitais entre </w:t>
      </w:r>
      <w:r w:rsidR="00173D94" w:rsidRPr="000C7CF7">
        <w:rPr>
          <w:rFonts w:ascii="Times New Roman" w:hAnsi="Times New Roman"/>
          <w:sz w:val="24"/>
          <w:szCs w:val="24"/>
        </w:rPr>
        <w:t>os</w:t>
      </w:r>
      <w:r w:rsidRPr="000C7CF7">
        <w:rPr>
          <w:rFonts w:ascii="Times New Roman" w:hAnsi="Times New Roman"/>
          <w:sz w:val="24"/>
          <w:szCs w:val="24"/>
        </w:rPr>
        <w:t xml:space="preserve"> setores</w:t>
      </w:r>
      <w:r w:rsidR="00173D94" w:rsidRPr="000C7CF7">
        <w:rPr>
          <w:rFonts w:ascii="Times New Roman" w:hAnsi="Times New Roman"/>
          <w:sz w:val="24"/>
          <w:szCs w:val="24"/>
        </w:rPr>
        <w:t xml:space="preserve">. </w:t>
      </w:r>
      <w:r w:rsidR="0080040C" w:rsidRPr="000C7CF7">
        <w:rPr>
          <w:rFonts w:ascii="Times New Roman" w:hAnsi="Times New Roman"/>
          <w:sz w:val="24"/>
          <w:szCs w:val="24"/>
        </w:rPr>
        <w:t xml:space="preserve">Isto é, como neste momento nos dedicamos a apresentar e analisar as </w:t>
      </w:r>
      <w:r w:rsidR="0080040C" w:rsidRPr="000C7CF7">
        <w:rPr>
          <w:rFonts w:ascii="Times New Roman" w:hAnsi="Times New Roman"/>
          <w:i/>
          <w:sz w:val="24"/>
          <w:szCs w:val="24"/>
        </w:rPr>
        <w:t xml:space="preserve">atividades principais, as atividades-fim </w:t>
      </w:r>
      <w:r w:rsidR="0080040C" w:rsidRPr="000C7CF7">
        <w:rPr>
          <w:rFonts w:ascii="Times New Roman" w:hAnsi="Times New Roman"/>
          <w:sz w:val="24"/>
          <w:szCs w:val="24"/>
        </w:rPr>
        <w:t xml:space="preserve">de cada grupo econômico e firma representado no CDES, não nos é possível abarcar a multiplicidade de vínculos que dada fração carreia. </w:t>
      </w:r>
      <w:r w:rsidR="00173D94" w:rsidRPr="000C7CF7">
        <w:rPr>
          <w:rFonts w:ascii="Times New Roman" w:hAnsi="Times New Roman"/>
          <w:sz w:val="24"/>
          <w:szCs w:val="24"/>
        </w:rPr>
        <w:t xml:space="preserve">Entretanto, </w:t>
      </w:r>
      <w:r w:rsidR="0080040C" w:rsidRPr="000C7CF7">
        <w:rPr>
          <w:rFonts w:ascii="Times New Roman" w:hAnsi="Times New Roman"/>
          <w:sz w:val="24"/>
          <w:szCs w:val="24"/>
        </w:rPr>
        <w:t xml:space="preserve">mesmo remetendo às divisões ordinárias da economia burguesa, </w:t>
      </w:r>
      <w:r w:rsidR="00173D94" w:rsidRPr="000C7CF7">
        <w:rPr>
          <w:rFonts w:ascii="Times New Roman" w:hAnsi="Times New Roman"/>
          <w:sz w:val="24"/>
          <w:szCs w:val="24"/>
        </w:rPr>
        <w:t xml:space="preserve">o quadronos serve </w:t>
      </w:r>
      <w:r w:rsidRPr="000C7CF7">
        <w:rPr>
          <w:rFonts w:ascii="Times New Roman" w:hAnsi="Times New Roman"/>
          <w:sz w:val="24"/>
          <w:szCs w:val="24"/>
        </w:rPr>
        <w:t>como modo didático de exposição</w:t>
      </w:r>
      <w:r w:rsidR="00173D94" w:rsidRPr="000C7CF7">
        <w:rPr>
          <w:rFonts w:ascii="Times New Roman" w:hAnsi="Times New Roman"/>
          <w:sz w:val="24"/>
          <w:szCs w:val="24"/>
        </w:rPr>
        <w:t xml:space="preserve"> de uma primeira </w:t>
      </w:r>
      <w:r w:rsidR="00970BC6" w:rsidRPr="000C7CF7">
        <w:rPr>
          <w:rFonts w:ascii="Times New Roman" w:hAnsi="Times New Roman"/>
          <w:sz w:val="24"/>
          <w:szCs w:val="24"/>
        </w:rPr>
        <w:t>aproximação</w:t>
      </w:r>
      <w:r w:rsidR="00173D94" w:rsidRPr="000C7CF7">
        <w:rPr>
          <w:rFonts w:ascii="Times New Roman" w:hAnsi="Times New Roman"/>
          <w:sz w:val="24"/>
          <w:szCs w:val="24"/>
        </w:rPr>
        <w:t xml:space="preserve"> da dimensão econômica que o CDES comportava</w:t>
      </w:r>
      <w:r w:rsidRPr="000C7CF7">
        <w:rPr>
          <w:rFonts w:ascii="Times New Roman" w:hAnsi="Times New Roman"/>
          <w:sz w:val="24"/>
          <w:szCs w:val="24"/>
        </w:rPr>
        <w:t>.</w:t>
      </w:r>
    </w:p>
    <w:p w:rsidR="00582426" w:rsidRDefault="00582426" w:rsidP="00582426">
      <w:pPr>
        <w:jc w:val="center"/>
        <w:rPr>
          <w:rFonts w:ascii="Times New Roman" w:hAnsi="Times New Roman"/>
          <w:b/>
          <w:sz w:val="24"/>
          <w:szCs w:val="24"/>
        </w:rPr>
      </w:pPr>
      <w:r>
        <w:rPr>
          <w:rFonts w:ascii="Times New Roman" w:hAnsi="Times New Roman"/>
          <w:b/>
          <w:sz w:val="24"/>
          <w:szCs w:val="24"/>
        </w:rPr>
        <w:t xml:space="preserve">Quadro 2.5 - </w:t>
      </w:r>
      <w:r w:rsidR="008E5D53">
        <w:rPr>
          <w:rFonts w:ascii="Times New Roman" w:hAnsi="Times New Roman"/>
          <w:b/>
          <w:sz w:val="24"/>
          <w:szCs w:val="24"/>
        </w:rPr>
        <w:t xml:space="preserve">Grupos Econômicos e Firmas representados </w:t>
      </w:r>
      <w:r>
        <w:rPr>
          <w:rFonts w:ascii="Times New Roman" w:hAnsi="Times New Roman"/>
          <w:b/>
          <w:sz w:val="24"/>
          <w:szCs w:val="24"/>
        </w:rPr>
        <w:t xml:space="preserve">no CDES </w:t>
      </w:r>
      <w:r w:rsidR="001147AF">
        <w:rPr>
          <w:rFonts w:ascii="Times New Roman" w:hAnsi="Times New Roman"/>
          <w:b/>
          <w:sz w:val="24"/>
          <w:szCs w:val="24"/>
        </w:rPr>
        <w:t>por</w:t>
      </w:r>
      <w:r w:rsidR="008E5D53">
        <w:rPr>
          <w:rFonts w:ascii="Times New Roman" w:hAnsi="Times New Roman"/>
          <w:b/>
          <w:sz w:val="24"/>
          <w:szCs w:val="24"/>
        </w:rPr>
        <w:t xml:space="preserve"> Atividade Econômica Principa</w:t>
      </w:r>
      <w:r w:rsidR="001147AF">
        <w:rPr>
          <w:rFonts w:ascii="Times New Roman" w:hAnsi="Times New Roman"/>
          <w:b/>
          <w:sz w:val="24"/>
          <w:szCs w:val="24"/>
        </w:rPr>
        <w:t>l</w:t>
      </w:r>
      <w:r>
        <w:rPr>
          <w:rFonts w:ascii="Times New Roman" w:hAnsi="Times New Roman"/>
          <w:b/>
          <w:sz w:val="24"/>
          <w:szCs w:val="24"/>
        </w:rPr>
        <w:t xml:space="preserve"> (2003-2010)</w:t>
      </w:r>
      <w:r>
        <w:rPr>
          <w:rStyle w:val="Refdenotaderodap"/>
          <w:rFonts w:ascii="Times New Roman" w:hAnsi="Times New Roman"/>
          <w:b/>
          <w:sz w:val="24"/>
          <w:szCs w:val="24"/>
        </w:rPr>
        <w:footnoteReference w:id="210"/>
      </w:r>
    </w:p>
    <w:tbl>
      <w:tblPr>
        <w:tblW w:w="4918"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277"/>
        <w:gridCol w:w="7407"/>
        <w:gridCol w:w="451"/>
      </w:tblGrid>
      <w:tr w:rsidR="00582426" w:rsidRPr="008211FD" w:rsidTr="00582426">
        <w:tc>
          <w:tcPr>
            <w:tcW w:w="699" w:type="pct"/>
            <w:tcBorders>
              <w:top w:val="single" w:sz="8" w:space="0" w:color="4F81BD"/>
              <w:left w:val="single" w:sz="8" w:space="0" w:color="4F81BD"/>
              <w:bottom w:val="single" w:sz="18" w:space="0" w:color="4F81BD"/>
              <w:right w:val="single" w:sz="8" w:space="0" w:color="4F81BD"/>
            </w:tcBorders>
          </w:tcPr>
          <w:p w:rsidR="00582426" w:rsidRPr="00582426" w:rsidRDefault="008E5D53" w:rsidP="00582426">
            <w:pPr>
              <w:spacing w:after="0" w:line="240" w:lineRule="auto"/>
              <w:rPr>
                <w:rFonts w:ascii="Times New Roman" w:eastAsia="Times New Roman" w:hAnsi="Times New Roman"/>
                <w:b/>
                <w:bCs/>
                <w:sz w:val="20"/>
                <w:szCs w:val="20"/>
              </w:rPr>
            </w:pPr>
            <w:r>
              <w:rPr>
                <w:rFonts w:ascii="Times New Roman" w:eastAsia="Times New Roman" w:hAnsi="Times New Roman"/>
                <w:b/>
                <w:bCs/>
                <w:sz w:val="20"/>
                <w:szCs w:val="20"/>
              </w:rPr>
              <w:t>Atividade Principal</w:t>
            </w:r>
          </w:p>
        </w:tc>
        <w:tc>
          <w:tcPr>
            <w:tcW w:w="4054" w:type="pct"/>
            <w:tcBorders>
              <w:top w:val="single" w:sz="8" w:space="0" w:color="4F81BD"/>
              <w:left w:val="single" w:sz="8" w:space="0" w:color="4F81BD"/>
              <w:bottom w:val="single" w:sz="18" w:space="0" w:color="4F81BD"/>
              <w:right w:val="single" w:sz="8" w:space="0" w:color="4F81BD"/>
            </w:tcBorders>
          </w:tcPr>
          <w:p w:rsidR="00582426" w:rsidRPr="00582426" w:rsidRDefault="00582426" w:rsidP="00582426">
            <w:pPr>
              <w:spacing w:after="0" w:line="240" w:lineRule="auto"/>
              <w:rPr>
                <w:rFonts w:ascii="Times New Roman" w:eastAsia="Times New Roman" w:hAnsi="Times New Roman"/>
                <w:b/>
                <w:bCs/>
                <w:sz w:val="20"/>
                <w:szCs w:val="20"/>
              </w:rPr>
            </w:pPr>
            <w:r w:rsidRPr="00582426">
              <w:rPr>
                <w:rFonts w:ascii="Times New Roman" w:eastAsia="Times New Roman" w:hAnsi="Times New Roman"/>
                <w:b/>
                <w:bCs/>
                <w:sz w:val="20"/>
                <w:szCs w:val="20"/>
              </w:rPr>
              <w:t>Grupos Econômicos e Firmas</w:t>
            </w:r>
          </w:p>
        </w:tc>
        <w:tc>
          <w:tcPr>
            <w:tcW w:w="247" w:type="pct"/>
            <w:tcBorders>
              <w:top w:val="single" w:sz="8" w:space="0" w:color="4F81BD"/>
              <w:left w:val="single" w:sz="8" w:space="0" w:color="4F81BD"/>
              <w:bottom w:val="single" w:sz="18" w:space="0" w:color="4F81BD"/>
              <w:right w:val="single" w:sz="8" w:space="0" w:color="4F81BD"/>
            </w:tcBorders>
          </w:tcPr>
          <w:p w:rsidR="00582426" w:rsidRPr="00582426" w:rsidRDefault="00582426" w:rsidP="00582426">
            <w:pPr>
              <w:spacing w:after="0" w:line="240" w:lineRule="auto"/>
              <w:jc w:val="center"/>
              <w:rPr>
                <w:rFonts w:ascii="Times New Roman" w:eastAsia="Times New Roman" w:hAnsi="Times New Roman"/>
                <w:b/>
                <w:bCs/>
                <w:sz w:val="20"/>
                <w:szCs w:val="20"/>
              </w:rPr>
            </w:pPr>
            <w:r w:rsidRPr="00582426">
              <w:rPr>
                <w:rFonts w:ascii="Times New Roman" w:eastAsia="Times New Roman" w:hAnsi="Times New Roman"/>
                <w:b/>
                <w:bCs/>
                <w:sz w:val="20"/>
                <w:szCs w:val="20"/>
              </w:rPr>
              <w:t>T</w:t>
            </w:r>
          </w:p>
        </w:tc>
      </w:tr>
      <w:tr w:rsidR="00582426" w:rsidRPr="008211FD" w:rsidTr="00582426">
        <w:tc>
          <w:tcPr>
            <w:tcW w:w="699" w:type="pct"/>
            <w:tcBorders>
              <w:top w:val="single" w:sz="8" w:space="0" w:color="4F81BD"/>
              <w:left w:val="single" w:sz="8" w:space="0" w:color="4F81BD"/>
              <w:bottom w:val="single" w:sz="8" w:space="0" w:color="4F81BD"/>
              <w:right w:val="single" w:sz="8" w:space="0" w:color="4F81BD"/>
            </w:tcBorders>
            <w:shd w:val="clear" w:color="auto" w:fill="D3DFEE"/>
          </w:tcPr>
          <w:p w:rsidR="00582426" w:rsidRPr="00582426" w:rsidRDefault="00582426" w:rsidP="008E5D53">
            <w:pPr>
              <w:spacing w:after="0" w:line="240" w:lineRule="auto"/>
              <w:jc w:val="both"/>
              <w:rPr>
                <w:rFonts w:ascii="Times New Roman" w:eastAsia="Times New Roman" w:hAnsi="Times New Roman"/>
                <w:b/>
                <w:bCs/>
                <w:sz w:val="20"/>
                <w:szCs w:val="20"/>
              </w:rPr>
            </w:pPr>
            <w:r w:rsidRPr="00582426">
              <w:rPr>
                <w:rFonts w:ascii="Times New Roman" w:eastAsia="Times New Roman" w:hAnsi="Times New Roman"/>
                <w:bCs/>
                <w:sz w:val="20"/>
                <w:szCs w:val="20"/>
              </w:rPr>
              <w:t>Industrial e</w:t>
            </w:r>
            <w:r w:rsidR="008E5D53">
              <w:rPr>
                <w:rFonts w:ascii="Times New Roman" w:eastAsia="Times New Roman" w:hAnsi="Times New Roman"/>
                <w:bCs/>
                <w:sz w:val="20"/>
                <w:szCs w:val="20"/>
              </w:rPr>
              <w:t xml:space="preserve"> Agroindustrial</w:t>
            </w:r>
            <w:r w:rsidRPr="00582426">
              <w:rPr>
                <w:rStyle w:val="Refdenotaderodap"/>
                <w:rFonts w:ascii="Times New Roman" w:eastAsia="Times New Roman" w:hAnsi="Times New Roman"/>
                <w:bCs/>
                <w:sz w:val="20"/>
                <w:szCs w:val="20"/>
              </w:rPr>
              <w:footnoteReference w:id="211"/>
            </w:r>
          </w:p>
        </w:tc>
        <w:tc>
          <w:tcPr>
            <w:tcW w:w="4054"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pStyle w:val="Textodenotaderodap"/>
              <w:jc w:val="both"/>
              <w:rPr>
                <w:rFonts w:ascii="Times New Roman" w:hAnsi="Times New Roman"/>
              </w:rPr>
            </w:pPr>
            <w:r w:rsidRPr="008211FD">
              <w:rPr>
                <w:rFonts w:ascii="Times New Roman" w:hAnsi="Times New Roman"/>
              </w:rPr>
              <w:t xml:space="preserve">Cia Vale do Rio Doce (CVRD), Cia Brasileira de Metalurgia e Mineração (CBMM), Cia. Siderúrgica Nacional (CSN), Grupo Gerdau, Usinas Siderúrgicas de Minas Gerais (Usiminas), Grupo Suzano, Grupo Vicunha, Grupo Rosset, Klabin S/A, Grupo Alcoa Inc., Grupo Petróleo Ipiranga, Grupo Dixie Toga S.A., Grupo J. Macedo S/A, Grupo Iochpe-Maxion, Grupo Springer, Grupo Gradiente, Grupo Nestlé, Embraer, Grupo Carfepe, Grupo Enguia Power, Grupo DHB, Grupo Dudalina S/A, Grupo Ford Motors Company Brasil, Aubert Engrenagens, Grupo Fiat, Grupo Odebrecht, Grupo Süd Metal, Grupo Alusa, Grupo WTorre Engenharia, </w:t>
            </w:r>
            <w:r w:rsidRPr="008211FD">
              <w:rPr>
                <w:rFonts w:ascii="Times New Roman" w:hAnsi="Times New Roman"/>
                <w:color w:val="000000"/>
              </w:rPr>
              <w:t xml:space="preserve">Estacon Engenharia S.A, Machado Correa Engenharia Ltda, Concreta Tecnologia em Engenharia Ltda, Gráfica Sagrada Família, Nutrimental Alimentos, </w:t>
            </w:r>
            <w:r w:rsidRPr="008211FD">
              <w:rPr>
                <w:rFonts w:ascii="Times New Roman" w:hAnsi="Times New Roman"/>
              </w:rPr>
              <w:t xml:space="preserve">Wady Simão-Construções e Incorporações LTDA, Grow Jogos e Brinquedos, Mercedez-Benz, </w:t>
            </w:r>
            <w:r w:rsidRPr="008211FD">
              <w:rPr>
                <w:rFonts w:ascii="Times New Roman" w:hAnsi="Times New Roman"/>
                <w:color w:val="000000"/>
              </w:rPr>
              <w:t xml:space="preserve">Grupo </w:t>
            </w:r>
            <w:r w:rsidRPr="008211FD">
              <w:rPr>
                <w:rFonts w:ascii="Times New Roman" w:hAnsi="Times New Roman"/>
                <w:bCs/>
              </w:rPr>
              <w:t xml:space="preserve">Sucocítrico Cutrale, Grupo Itamarati, Grupo Agrovale e </w:t>
            </w:r>
            <w:r w:rsidRPr="008211FD">
              <w:rPr>
                <w:rFonts w:ascii="Times New Roman" w:hAnsi="Times New Roman"/>
              </w:rPr>
              <w:t>Grupo Maubisa</w:t>
            </w:r>
            <w:r w:rsidRPr="008211FD">
              <w:rPr>
                <w:rFonts w:ascii="Times New Roman" w:hAnsi="Times New Roman"/>
                <w:bCs/>
              </w:rPr>
              <w:t>.</w:t>
            </w:r>
            <w:r w:rsidRPr="008211FD">
              <w:rPr>
                <w:rStyle w:val="Refdenotaderodap"/>
                <w:rFonts w:ascii="Times New Roman" w:hAnsi="Times New Roman"/>
              </w:rPr>
              <w:footnoteReference w:id="212"/>
            </w:r>
          </w:p>
        </w:tc>
        <w:tc>
          <w:tcPr>
            <w:tcW w:w="24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pStyle w:val="Textodenotaderodap"/>
              <w:jc w:val="center"/>
              <w:rPr>
                <w:rFonts w:ascii="Times New Roman" w:hAnsi="Times New Roman"/>
              </w:rPr>
            </w:pPr>
            <w:r w:rsidRPr="008211FD">
              <w:rPr>
                <w:rFonts w:ascii="Times New Roman" w:hAnsi="Times New Roman"/>
              </w:rPr>
              <w:t>41</w:t>
            </w:r>
          </w:p>
        </w:tc>
      </w:tr>
      <w:tr w:rsidR="00582426" w:rsidRPr="008211FD" w:rsidTr="00582426">
        <w:tc>
          <w:tcPr>
            <w:tcW w:w="699" w:type="pct"/>
            <w:tcBorders>
              <w:top w:val="single" w:sz="8" w:space="0" w:color="4F81BD"/>
              <w:left w:val="single" w:sz="8" w:space="0" w:color="4F81BD"/>
              <w:bottom w:val="single" w:sz="8" w:space="0" w:color="4F81BD"/>
              <w:right w:val="single" w:sz="8" w:space="0" w:color="4F81BD"/>
            </w:tcBorders>
          </w:tcPr>
          <w:p w:rsidR="00582426" w:rsidRPr="00582426" w:rsidRDefault="00582426" w:rsidP="00582426">
            <w:pPr>
              <w:spacing w:after="0" w:line="240" w:lineRule="auto"/>
              <w:jc w:val="both"/>
              <w:rPr>
                <w:rFonts w:ascii="Times New Roman" w:eastAsia="Times New Roman" w:hAnsi="Times New Roman"/>
                <w:bCs/>
                <w:sz w:val="20"/>
                <w:szCs w:val="20"/>
              </w:rPr>
            </w:pPr>
            <w:r w:rsidRPr="00582426">
              <w:rPr>
                <w:rFonts w:ascii="Times New Roman" w:eastAsia="Times New Roman" w:hAnsi="Times New Roman"/>
                <w:bCs/>
                <w:sz w:val="20"/>
                <w:szCs w:val="20"/>
              </w:rPr>
              <w:t>Comercial e</w:t>
            </w:r>
          </w:p>
          <w:p w:rsidR="00582426" w:rsidRPr="00582426" w:rsidRDefault="00582426" w:rsidP="00582426">
            <w:pPr>
              <w:spacing w:after="0" w:line="240" w:lineRule="auto"/>
              <w:jc w:val="both"/>
              <w:rPr>
                <w:rFonts w:ascii="Times New Roman" w:eastAsia="Times New Roman" w:hAnsi="Times New Roman"/>
                <w:b/>
                <w:bCs/>
                <w:sz w:val="20"/>
                <w:szCs w:val="20"/>
              </w:rPr>
            </w:pPr>
            <w:r w:rsidRPr="00582426">
              <w:rPr>
                <w:rFonts w:ascii="Times New Roman" w:eastAsia="Times New Roman" w:hAnsi="Times New Roman"/>
                <w:bCs/>
                <w:sz w:val="20"/>
                <w:szCs w:val="20"/>
              </w:rPr>
              <w:t>de Serviços</w:t>
            </w:r>
          </w:p>
        </w:tc>
        <w:tc>
          <w:tcPr>
            <w:tcW w:w="4054"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pStyle w:val="Textodenotaderodap"/>
              <w:jc w:val="both"/>
              <w:rPr>
                <w:rFonts w:ascii="Times New Roman" w:hAnsi="Times New Roman"/>
              </w:rPr>
            </w:pPr>
            <w:r w:rsidRPr="008211FD">
              <w:rPr>
                <w:rFonts w:ascii="Times New Roman" w:hAnsi="Times New Roman"/>
              </w:rPr>
              <w:t>Grupo Telefônica, Grupo Telemar, Iguatemi Empr. Shoppings, Grupo Jereissati SP, Grupo Verdi, Cia. Brasileira de Distribuição (Grupo Pão de Açúcar), Casas Anglo-Americana S/A (Mappin),</w:t>
            </w:r>
            <w:r w:rsidRPr="008211FD">
              <w:rPr>
                <w:rFonts w:ascii="Times New Roman" w:hAnsi="Times New Roman"/>
                <w:color w:val="000000"/>
              </w:rPr>
              <w:t xml:space="preserve"> Martins Comércio e Serviços de Distribuição S/A (Grupo Martins), Trevisan Escola de Negócios, Grupo Dufry, Magazine Luiza, Grupo Anhanguera Educacional, Grupo Siemens, Grupo IT Partners, Grupo ORTENG Equipamentos e Sistemas, </w:t>
            </w:r>
            <w:r w:rsidRPr="008211FD">
              <w:rPr>
                <w:rFonts w:ascii="Times New Roman" w:hAnsi="Times New Roman"/>
              </w:rPr>
              <w:t xml:space="preserve">J. Mendo Consultoria,Manig S/A, Teruel Viação Agrícola Ltda, Escola de Idiomas Yazigi Internexus,Arko Advice Pesquisas, Centro Universitário Newton Paiva, </w:t>
            </w:r>
            <w:r w:rsidRPr="008211FD">
              <w:rPr>
                <w:rFonts w:ascii="Times New Roman" w:hAnsi="Times New Roman"/>
                <w:color w:val="000000"/>
              </w:rPr>
              <w:t xml:space="preserve">Grupo Price Waterhouse Coopers, </w:t>
            </w:r>
            <w:r w:rsidRPr="008211FD">
              <w:rPr>
                <w:rFonts w:ascii="Times New Roman" w:hAnsi="Times New Roman"/>
              </w:rPr>
              <w:t>CPM Brax Capgemini,</w:t>
            </w:r>
            <w:r w:rsidRPr="008211FD">
              <w:rPr>
                <w:rFonts w:ascii="Times New Roman" w:hAnsi="Times New Roman"/>
                <w:color w:val="000000"/>
              </w:rPr>
              <w:t xml:space="preserve"> LOG - Negócios e Consultoria Ltda.</w:t>
            </w:r>
          </w:p>
        </w:tc>
        <w:tc>
          <w:tcPr>
            <w:tcW w:w="247" w:type="pct"/>
            <w:tcBorders>
              <w:top w:val="single" w:sz="8" w:space="0" w:color="4F81BD"/>
              <w:left w:val="single" w:sz="8" w:space="0" w:color="4F81BD"/>
              <w:bottom w:val="single" w:sz="8" w:space="0" w:color="4F81BD"/>
              <w:right w:val="single" w:sz="8" w:space="0" w:color="4F81BD"/>
            </w:tcBorders>
          </w:tcPr>
          <w:p w:rsidR="00582426" w:rsidRPr="008211FD" w:rsidRDefault="00582426" w:rsidP="00582426">
            <w:pPr>
              <w:pStyle w:val="Textodenotaderodap"/>
              <w:jc w:val="center"/>
              <w:rPr>
                <w:rFonts w:ascii="Times New Roman" w:hAnsi="Times New Roman"/>
              </w:rPr>
            </w:pPr>
            <w:r w:rsidRPr="008211FD">
              <w:rPr>
                <w:rFonts w:ascii="Times New Roman" w:hAnsi="Times New Roman"/>
              </w:rPr>
              <w:t>24</w:t>
            </w:r>
          </w:p>
        </w:tc>
      </w:tr>
      <w:tr w:rsidR="00582426" w:rsidRPr="008211FD" w:rsidTr="00582426">
        <w:tc>
          <w:tcPr>
            <w:tcW w:w="699" w:type="pct"/>
            <w:tcBorders>
              <w:top w:val="single" w:sz="8" w:space="0" w:color="4F81BD"/>
              <w:left w:val="single" w:sz="8" w:space="0" w:color="4F81BD"/>
              <w:bottom w:val="single" w:sz="8" w:space="0" w:color="4F81BD"/>
              <w:right w:val="single" w:sz="8" w:space="0" w:color="4F81BD"/>
            </w:tcBorders>
            <w:shd w:val="clear" w:color="auto" w:fill="D3DFEE"/>
          </w:tcPr>
          <w:p w:rsidR="00582426" w:rsidRPr="000C7CF7" w:rsidRDefault="008E5D53" w:rsidP="00D47DD5">
            <w:pPr>
              <w:spacing w:after="0" w:line="240" w:lineRule="auto"/>
              <w:jc w:val="both"/>
              <w:rPr>
                <w:rFonts w:ascii="Times New Roman" w:eastAsia="Times New Roman" w:hAnsi="Times New Roman"/>
                <w:bCs/>
                <w:sz w:val="20"/>
                <w:szCs w:val="20"/>
              </w:rPr>
            </w:pPr>
            <w:r w:rsidRPr="000C7CF7">
              <w:rPr>
                <w:rFonts w:ascii="Times New Roman" w:eastAsia="Times New Roman" w:hAnsi="Times New Roman"/>
                <w:bCs/>
                <w:sz w:val="20"/>
                <w:szCs w:val="20"/>
              </w:rPr>
              <w:t>Bancário e Financeiro não Bancário</w:t>
            </w:r>
            <w:r w:rsidR="001A6593" w:rsidRPr="000C7CF7">
              <w:rPr>
                <w:rStyle w:val="Refdenotaderodap"/>
                <w:rFonts w:ascii="Times New Roman" w:eastAsia="Times New Roman" w:hAnsi="Times New Roman"/>
                <w:bCs/>
                <w:sz w:val="20"/>
                <w:szCs w:val="20"/>
              </w:rPr>
              <w:footnoteReference w:id="213"/>
            </w:r>
          </w:p>
        </w:tc>
        <w:tc>
          <w:tcPr>
            <w:tcW w:w="4054" w:type="pct"/>
            <w:tcBorders>
              <w:top w:val="single" w:sz="8" w:space="0" w:color="4F81BD"/>
              <w:left w:val="single" w:sz="8" w:space="0" w:color="4F81BD"/>
              <w:bottom w:val="single" w:sz="8" w:space="0" w:color="4F81BD"/>
              <w:right w:val="single" w:sz="8" w:space="0" w:color="4F81BD"/>
            </w:tcBorders>
            <w:shd w:val="clear" w:color="auto" w:fill="D3DFEE"/>
          </w:tcPr>
          <w:p w:rsidR="00582426" w:rsidRPr="000C7CF7" w:rsidRDefault="00582426" w:rsidP="00582426">
            <w:pPr>
              <w:pStyle w:val="Textodenotaderodap"/>
              <w:jc w:val="both"/>
              <w:rPr>
                <w:rFonts w:ascii="Times New Roman" w:hAnsi="Times New Roman"/>
              </w:rPr>
            </w:pPr>
            <w:r w:rsidRPr="000C7CF7">
              <w:rPr>
                <w:rFonts w:ascii="Times New Roman" w:hAnsi="Times New Roman"/>
              </w:rPr>
              <w:t xml:space="preserve">Banco Fibra, Grupo Santander Brasil, E. Johnston Representação e Participação S. A., Citbank Brasil, Banco Gerdau, Banco Bradesco, </w:t>
            </w:r>
            <w:r w:rsidRPr="000C7CF7">
              <w:rPr>
                <w:rFonts w:ascii="Times New Roman" w:hAnsi="Times New Roman"/>
                <w:bCs/>
              </w:rPr>
              <w:t xml:space="preserve">ABN Amro Bank, </w:t>
            </w:r>
            <w:r w:rsidRPr="000C7CF7">
              <w:rPr>
                <w:rFonts w:ascii="Times New Roman" w:hAnsi="Times New Roman"/>
              </w:rPr>
              <w:t>Banco Itaú, Banco Dibens S/A, Banco Triângulo S.A, Banco Fidis, Banco BNP Paribas Brasil, Grupo NSG Capital, BMF&amp;Bovespa, MDS Corretora e Administradora de Seguros, Centauro Vida e Previdência S.A, Cooperativa de Crédito Rural.</w:t>
            </w:r>
          </w:p>
        </w:tc>
        <w:tc>
          <w:tcPr>
            <w:tcW w:w="24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582426">
            <w:pPr>
              <w:pStyle w:val="Textodenotaderodap"/>
              <w:jc w:val="center"/>
              <w:rPr>
                <w:rFonts w:ascii="Times New Roman" w:hAnsi="Times New Roman"/>
              </w:rPr>
            </w:pPr>
            <w:r w:rsidRPr="008211FD">
              <w:rPr>
                <w:rFonts w:ascii="Times New Roman" w:hAnsi="Times New Roman"/>
              </w:rPr>
              <w:t>17</w:t>
            </w:r>
          </w:p>
        </w:tc>
      </w:tr>
    </w:tbl>
    <w:p w:rsidR="00582426" w:rsidRDefault="00CB3F9D" w:rsidP="0083334A">
      <w:pPr>
        <w:spacing w:line="360" w:lineRule="auto"/>
        <w:jc w:val="both"/>
        <w:rPr>
          <w:rFonts w:ascii="Times New Roman" w:hAnsi="Times New Roman"/>
          <w:sz w:val="24"/>
          <w:szCs w:val="24"/>
        </w:rPr>
      </w:pPr>
      <w:r>
        <w:rPr>
          <w:rFonts w:ascii="Times New Roman" w:hAnsi="Times New Roman"/>
          <w:b/>
          <w:sz w:val="18"/>
          <w:szCs w:val="18"/>
        </w:rPr>
        <w:t>Elaboração própria</w:t>
      </w:r>
      <w:r w:rsidR="0083334A">
        <w:rPr>
          <w:rFonts w:ascii="Times New Roman" w:hAnsi="Times New Roman"/>
          <w:b/>
          <w:sz w:val="18"/>
          <w:szCs w:val="18"/>
        </w:rPr>
        <w:t>.</w:t>
      </w:r>
    </w:p>
    <w:p w:rsidR="00582426" w:rsidRDefault="00582426" w:rsidP="00582426">
      <w:pPr>
        <w:spacing w:line="360" w:lineRule="auto"/>
        <w:ind w:firstLine="708"/>
        <w:jc w:val="both"/>
        <w:rPr>
          <w:rFonts w:ascii="Times New Roman" w:hAnsi="Times New Roman"/>
          <w:sz w:val="24"/>
          <w:szCs w:val="24"/>
        </w:rPr>
      </w:pPr>
      <w:r w:rsidRPr="00340412">
        <w:rPr>
          <w:rFonts w:ascii="Times New Roman" w:hAnsi="Times New Roman"/>
          <w:sz w:val="24"/>
          <w:szCs w:val="24"/>
        </w:rPr>
        <w:t xml:space="preserve">A organização dos grupos econômicos e firmas </w:t>
      </w:r>
      <w:r>
        <w:rPr>
          <w:rFonts w:ascii="Times New Roman" w:hAnsi="Times New Roman"/>
          <w:sz w:val="24"/>
          <w:szCs w:val="24"/>
        </w:rPr>
        <w:t xml:space="preserve">no CDES </w:t>
      </w:r>
      <w:r w:rsidRPr="00340412">
        <w:rPr>
          <w:rFonts w:ascii="Times New Roman" w:hAnsi="Times New Roman"/>
          <w:sz w:val="24"/>
          <w:szCs w:val="24"/>
        </w:rPr>
        <w:t xml:space="preserve">segundo sua </w:t>
      </w:r>
      <w:r w:rsidRPr="00340412">
        <w:rPr>
          <w:rFonts w:ascii="Times New Roman" w:hAnsi="Times New Roman"/>
          <w:i/>
          <w:sz w:val="24"/>
          <w:szCs w:val="24"/>
        </w:rPr>
        <w:t>atividade principal</w:t>
      </w:r>
      <w:r w:rsidRPr="00340412">
        <w:rPr>
          <w:rFonts w:ascii="Times New Roman" w:hAnsi="Times New Roman"/>
          <w:sz w:val="24"/>
          <w:szCs w:val="24"/>
        </w:rPr>
        <w:t xml:space="preserve"> nos revelou a forte presença </w:t>
      </w:r>
      <w:r w:rsidR="007F5DD2">
        <w:rPr>
          <w:rFonts w:ascii="Times New Roman" w:hAnsi="Times New Roman"/>
          <w:sz w:val="24"/>
          <w:szCs w:val="24"/>
        </w:rPr>
        <w:t xml:space="preserve">das frações voltadas às atividades </w:t>
      </w:r>
      <w:r w:rsidRPr="00340412">
        <w:rPr>
          <w:rFonts w:ascii="Times New Roman" w:hAnsi="Times New Roman"/>
          <w:sz w:val="24"/>
          <w:szCs w:val="24"/>
        </w:rPr>
        <w:t xml:space="preserve">industrial, comercial e de serviços, </w:t>
      </w:r>
      <w:r w:rsidR="00DF02A8">
        <w:rPr>
          <w:rFonts w:ascii="Times New Roman" w:hAnsi="Times New Roman"/>
          <w:sz w:val="24"/>
          <w:szCs w:val="24"/>
        </w:rPr>
        <w:t>e bancária</w:t>
      </w:r>
      <w:r w:rsidRPr="00340412">
        <w:rPr>
          <w:rFonts w:ascii="Times New Roman" w:hAnsi="Times New Roman"/>
          <w:sz w:val="24"/>
          <w:szCs w:val="24"/>
        </w:rPr>
        <w:t xml:space="preserve">nas plenárias do CDES. A tendência de ampliação da presença dos empresários vinculados </w:t>
      </w:r>
      <w:r w:rsidR="00C00DCF">
        <w:rPr>
          <w:rFonts w:ascii="Times New Roman" w:hAnsi="Times New Roman"/>
          <w:sz w:val="24"/>
          <w:szCs w:val="24"/>
        </w:rPr>
        <w:t>ao capita</w:t>
      </w:r>
      <w:r w:rsidR="00190EF4">
        <w:rPr>
          <w:rFonts w:ascii="Times New Roman" w:hAnsi="Times New Roman"/>
          <w:sz w:val="24"/>
          <w:szCs w:val="24"/>
        </w:rPr>
        <w:t xml:space="preserve">l produtivo (produtor de </w:t>
      </w:r>
      <w:r w:rsidR="00C00DCF">
        <w:rPr>
          <w:rFonts w:ascii="Times New Roman" w:hAnsi="Times New Roman"/>
          <w:sz w:val="24"/>
          <w:szCs w:val="24"/>
        </w:rPr>
        <w:t>valor)</w:t>
      </w:r>
      <w:r w:rsidRPr="00340412">
        <w:rPr>
          <w:rFonts w:ascii="Times New Roman" w:hAnsi="Times New Roman"/>
          <w:sz w:val="24"/>
          <w:szCs w:val="24"/>
        </w:rPr>
        <w:t xml:space="preserve">, com destaque </w:t>
      </w:r>
      <w:r w:rsidR="00681411">
        <w:rPr>
          <w:rFonts w:ascii="Times New Roman" w:hAnsi="Times New Roman"/>
          <w:sz w:val="24"/>
          <w:szCs w:val="24"/>
        </w:rPr>
        <w:t>ao</w:t>
      </w:r>
      <w:r w:rsidRPr="00340412">
        <w:rPr>
          <w:rFonts w:ascii="Times New Roman" w:hAnsi="Times New Roman"/>
          <w:sz w:val="24"/>
          <w:szCs w:val="24"/>
        </w:rPr>
        <w:t xml:space="preserve"> industrial, em detrimento do esvaziamento do setor </w:t>
      </w:r>
      <w:r w:rsidR="003F12E4">
        <w:rPr>
          <w:rFonts w:ascii="Times New Roman" w:hAnsi="Times New Roman"/>
          <w:sz w:val="24"/>
          <w:szCs w:val="24"/>
        </w:rPr>
        <w:t>bancário</w:t>
      </w:r>
      <w:r w:rsidRPr="00340412">
        <w:rPr>
          <w:rFonts w:ascii="Times New Roman" w:hAnsi="Times New Roman"/>
          <w:sz w:val="24"/>
          <w:szCs w:val="24"/>
        </w:rPr>
        <w:t xml:space="preserve">, a partir de 2007, </w:t>
      </w:r>
      <w:r w:rsidRPr="000C7CF7">
        <w:rPr>
          <w:rFonts w:ascii="Times New Roman" w:hAnsi="Times New Roman"/>
          <w:i/>
          <w:sz w:val="24"/>
          <w:szCs w:val="24"/>
        </w:rPr>
        <w:t xml:space="preserve">reafirma a hipótese de ascenso </w:t>
      </w:r>
      <w:r w:rsidR="007F5DD2" w:rsidRPr="000C7CF7">
        <w:rPr>
          <w:rFonts w:ascii="Times New Roman" w:hAnsi="Times New Roman"/>
          <w:i/>
          <w:sz w:val="24"/>
          <w:szCs w:val="24"/>
        </w:rPr>
        <w:t>do capitalprodutivo</w:t>
      </w:r>
      <w:r w:rsidR="0080040C" w:rsidRPr="00190EF4">
        <w:rPr>
          <w:rFonts w:ascii="Times New Roman" w:hAnsi="Times New Roman"/>
          <w:i/>
          <w:sz w:val="24"/>
          <w:szCs w:val="24"/>
        </w:rPr>
        <w:t>n</w:t>
      </w:r>
      <w:r w:rsidRPr="00190EF4">
        <w:rPr>
          <w:rFonts w:ascii="Times New Roman" w:hAnsi="Times New Roman"/>
          <w:i/>
          <w:sz w:val="24"/>
          <w:szCs w:val="24"/>
        </w:rPr>
        <w:t>o CDES.</w:t>
      </w:r>
    </w:p>
    <w:p w:rsidR="00582426" w:rsidRPr="00340412" w:rsidRDefault="0018135C" w:rsidP="00CB3F9D">
      <w:pPr>
        <w:spacing w:after="0"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extent cx="5399151" cy="2189929"/>
            <wp:effectExtent l="12192" t="6096" r="7112" b="1075"/>
            <wp:docPr id="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B3F9D" w:rsidRPr="00401038" w:rsidRDefault="00CB3F9D" w:rsidP="00401038">
      <w:pPr>
        <w:spacing w:after="0" w:line="240" w:lineRule="auto"/>
        <w:jc w:val="both"/>
        <w:rPr>
          <w:rFonts w:ascii="Times New Roman" w:hAnsi="Times New Roman"/>
          <w:sz w:val="18"/>
          <w:szCs w:val="18"/>
        </w:rPr>
      </w:pPr>
      <w:r w:rsidRPr="00401038">
        <w:rPr>
          <w:rFonts w:ascii="Times New Roman" w:hAnsi="Times New Roman"/>
          <w:b/>
          <w:sz w:val="18"/>
          <w:szCs w:val="18"/>
        </w:rPr>
        <w:t>Elaboração própria</w:t>
      </w:r>
      <w:r w:rsidR="0083334A" w:rsidRPr="00401038">
        <w:rPr>
          <w:rFonts w:ascii="Times New Roman" w:hAnsi="Times New Roman"/>
          <w:b/>
          <w:sz w:val="18"/>
          <w:szCs w:val="18"/>
        </w:rPr>
        <w:t>. Fonte</w:t>
      </w:r>
      <w:r w:rsidR="00401038">
        <w:rPr>
          <w:rFonts w:ascii="Times New Roman" w:hAnsi="Times New Roman"/>
          <w:b/>
          <w:sz w:val="18"/>
          <w:szCs w:val="18"/>
        </w:rPr>
        <w:t>s</w:t>
      </w:r>
      <w:r w:rsidR="0083334A" w:rsidRPr="00401038">
        <w:rPr>
          <w:rFonts w:ascii="Times New Roman" w:hAnsi="Times New Roman"/>
          <w:b/>
          <w:sz w:val="18"/>
          <w:szCs w:val="18"/>
        </w:rPr>
        <w:t xml:space="preserve">: </w:t>
      </w:r>
      <w:r w:rsidR="0083334A" w:rsidRPr="00401038">
        <w:rPr>
          <w:rFonts w:ascii="Times New Roman" w:hAnsi="Times New Roman"/>
          <w:sz w:val="18"/>
          <w:szCs w:val="18"/>
        </w:rPr>
        <w:t>site do CDES (www.cdes.gov.br)</w:t>
      </w:r>
      <w:r w:rsidR="00401038" w:rsidRPr="00401038">
        <w:rPr>
          <w:rFonts w:ascii="Times New Roman" w:hAnsi="Times New Roman"/>
          <w:sz w:val="18"/>
          <w:szCs w:val="18"/>
        </w:rPr>
        <w:t xml:space="preserve">, do Econoinfo, </w:t>
      </w:r>
      <w:r w:rsidR="00401038">
        <w:rPr>
          <w:rFonts w:ascii="Times New Roman" w:hAnsi="Times New Roman"/>
          <w:sz w:val="18"/>
          <w:szCs w:val="18"/>
        </w:rPr>
        <w:t xml:space="preserve">dos grupos e firmas, </w:t>
      </w:r>
      <w:r w:rsidR="00401038" w:rsidRPr="00401038">
        <w:rPr>
          <w:rFonts w:ascii="Times New Roman" w:hAnsi="Times New Roman"/>
          <w:sz w:val="18"/>
          <w:szCs w:val="18"/>
        </w:rPr>
        <w:t>revistas Valor Grandes Grupos e Balanço Anual da Gazeta Mercantil</w:t>
      </w:r>
      <w:r w:rsidR="00401038">
        <w:rPr>
          <w:rFonts w:ascii="Times New Roman" w:hAnsi="Times New Roman"/>
          <w:sz w:val="18"/>
          <w:szCs w:val="18"/>
        </w:rPr>
        <w:t>.</w:t>
      </w:r>
    </w:p>
    <w:p w:rsidR="00582426" w:rsidRDefault="00582426" w:rsidP="00582426">
      <w:pPr>
        <w:spacing w:before="240" w:after="0" w:line="360" w:lineRule="auto"/>
        <w:ind w:firstLine="708"/>
        <w:jc w:val="both"/>
        <w:rPr>
          <w:rFonts w:ascii="Times New Roman" w:hAnsi="Times New Roman"/>
          <w:sz w:val="24"/>
          <w:szCs w:val="24"/>
        </w:rPr>
      </w:pPr>
      <w:r>
        <w:rPr>
          <w:rFonts w:ascii="Times New Roman" w:hAnsi="Times New Roman"/>
          <w:sz w:val="24"/>
          <w:szCs w:val="24"/>
        </w:rPr>
        <w:t xml:space="preserve">O gráfico acima é o fluxo anual dos grupos e firmas presentes no quadro 2.5. A variação numérica não é de empresários, mas de grupos econômicos e firmas com os quais estavam intimamente vinculados. Isto significa considerar situações particulares como, por exemplo, apenas um conselheiro </w:t>
      </w:r>
      <w:r w:rsidRPr="008133F0">
        <w:rPr>
          <w:rFonts w:ascii="Times New Roman" w:hAnsi="Times New Roman"/>
          <w:i/>
          <w:sz w:val="24"/>
          <w:szCs w:val="24"/>
        </w:rPr>
        <w:t>representar mais de um grupo ou firma</w:t>
      </w:r>
      <w:r>
        <w:rPr>
          <w:rFonts w:ascii="Times New Roman" w:hAnsi="Times New Roman"/>
          <w:sz w:val="24"/>
          <w:szCs w:val="24"/>
        </w:rPr>
        <w:t xml:space="preserve"> no Conselho: como o caso de Benjamin Steinbruch, cujos interesses corporativos se estendiam à área de siderurgia (CSN), fabricação têxtil (Vicunha Têxtil) e bancária (Banco Fibra). O mesmo se podia dizer de Jorge Gerdau (Siderúrgicas e Metalúrgicas Gerdau e Banco Gerdau), Waldemar Verdi Jr. (Grupo Verdi e Banco Dibens), Alair Martins do Nascimento (Martins Distribuidora e Banco Triângulo) e Carlos Jereissati Filho (Grupo Jereissati São Paulo, Iguatemi Shopping e Telemar), para nos determos em casos mais emblemáticos. Nestes casos, consideramos que estes conselheiros carreavam interesses de distintos capitais particulares, ou seja, computamos mais de uma empresa para situações nas quais havia inserção significativa de dado conselheiro no capital </w:t>
      </w:r>
      <w:r w:rsidR="008133F0">
        <w:rPr>
          <w:rFonts w:ascii="Times New Roman" w:hAnsi="Times New Roman"/>
          <w:sz w:val="24"/>
          <w:szCs w:val="24"/>
        </w:rPr>
        <w:t>bancário</w:t>
      </w:r>
      <w:r>
        <w:rPr>
          <w:rFonts w:ascii="Times New Roman" w:hAnsi="Times New Roman"/>
          <w:sz w:val="24"/>
          <w:szCs w:val="24"/>
        </w:rPr>
        <w:t xml:space="preserve"> e/ou em setores relativamente </w:t>
      </w:r>
      <w:r w:rsidRPr="00E32E83">
        <w:rPr>
          <w:rFonts w:ascii="Times New Roman" w:hAnsi="Times New Roman"/>
          <w:i/>
          <w:sz w:val="24"/>
          <w:szCs w:val="24"/>
        </w:rPr>
        <w:t>autônomos</w:t>
      </w:r>
      <w:r>
        <w:rPr>
          <w:rFonts w:ascii="Times New Roman" w:hAnsi="Times New Roman"/>
          <w:sz w:val="24"/>
          <w:szCs w:val="24"/>
        </w:rPr>
        <w:t xml:space="preserve"> (administração de shoppings e telefonia, por exemplo).</w:t>
      </w:r>
    </w:p>
    <w:p w:rsidR="00582426" w:rsidRDefault="00582426" w:rsidP="00582426">
      <w:pPr>
        <w:spacing w:line="360" w:lineRule="auto"/>
        <w:ind w:firstLine="708"/>
        <w:jc w:val="both"/>
        <w:rPr>
          <w:rFonts w:ascii="Times New Roman" w:hAnsi="Times New Roman"/>
          <w:sz w:val="24"/>
          <w:szCs w:val="24"/>
        </w:rPr>
      </w:pPr>
      <w:r>
        <w:rPr>
          <w:rFonts w:ascii="Times New Roman" w:hAnsi="Times New Roman"/>
          <w:sz w:val="24"/>
          <w:szCs w:val="24"/>
        </w:rPr>
        <w:t>Ainda assim, as investigações empíricas sobre os agentes econômicos representados no CDES indicavam-nos ser bastante complicada qualquer delimitação estreita das frações presentes. As</w:t>
      </w:r>
      <w:r w:rsidRPr="00084F66">
        <w:rPr>
          <w:rFonts w:ascii="Times New Roman" w:hAnsi="Times New Roman"/>
          <w:sz w:val="24"/>
          <w:szCs w:val="24"/>
        </w:rPr>
        <w:t xml:space="preserve"> fontes levantadas </w:t>
      </w:r>
      <w:r>
        <w:rPr>
          <w:rFonts w:ascii="Times New Roman" w:hAnsi="Times New Roman"/>
          <w:sz w:val="24"/>
          <w:szCs w:val="24"/>
        </w:rPr>
        <w:t xml:space="preserve">mostravam </w:t>
      </w:r>
      <w:r w:rsidRPr="00084F66">
        <w:rPr>
          <w:rFonts w:ascii="Times New Roman" w:hAnsi="Times New Roman"/>
          <w:sz w:val="24"/>
          <w:szCs w:val="24"/>
        </w:rPr>
        <w:t xml:space="preserve">que, não poucas vezes, o grupo econômico de um mesmo conselheiro estava vinculado simultaneamente às atividades industrial, comercial, de serviços </w:t>
      </w:r>
      <w:r w:rsidR="00DF02A8">
        <w:rPr>
          <w:rFonts w:ascii="Times New Roman" w:hAnsi="Times New Roman"/>
          <w:sz w:val="24"/>
          <w:szCs w:val="24"/>
        </w:rPr>
        <w:t>e bancária</w:t>
      </w:r>
      <w:r w:rsidRPr="00084F66">
        <w:rPr>
          <w:rFonts w:ascii="Times New Roman" w:hAnsi="Times New Roman"/>
          <w:sz w:val="24"/>
          <w:szCs w:val="24"/>
        </w:rPr>
        <w:t xml:space="preserve">, tornando-se bastante arbitrário a definição deste ou daquele grupo social burguês como portador unívoco dos interesses </w:t>
      </w:r>
      <w:r w:rsidR="0080040C">
        <w:rPr>
          <w:rFonts w:ascii="Times New Roman" w:hAnsi="Times New Roman"/>
          <w:sz w:val="24"/>
          <w:szCs w:val="24"/>
        </w:rPr>
        <w:t xml:space="preserve">imediatos </w:t>
      </w:r>
      <w:r w:rsidRPr="00084F66">
        <w:rPr>
          <w:rFonts w:ascii="Times New Roman" w:hAnsi="Times New Roman"/>
          <w:sz w:val="24"/>
          <w:szCs w:val="24"/>
        </w:rPr>
        <w:t xml:space="preserve">de uma dada fração do capital </w:t>
      </w:r>
      <w:r w:rsidRPr="00084F66">
        <w:rPr>
          <w:rFonts w:ascii="Times New Roman" w:hAnsi="Times New Roman"/>
          <w:i/>
          <w:sz w:val="24"/>
          <w:szCs w:val="24"/>
        </w:rPr>
        <w:t>tout court</w:t>
      </w:r>
      <w:r w:rsidRPr="00084F66">
        <w:rPr>
          <w:rFonts w:ascii="Times New Roman" w:hAnsi="Times New Roman"/>
          <w:sz w:val="24"/>
          <w:szCs w:val="24"/>
        </w:rPr>
        <w:t xml:space="preserve">. </w:t>
      </w:r>
      <w:r>
        <w:rPr>
          <w:rFonts w:ascii="Times New Roman" w:hAnsi="Times New Roman"/>
          <w:sz w:val="24"/>
          <w:szCs w:val="24"/>
        </w:rPr>
        <w:t xml:space="preserve">Além dos casos acima referidos, podemos destacar, a título de ilustração, os grupos que operavam como grandes holdings em diversos setores e ramos econômicos: Grupo Carfepe, Magazine Luiza, DHB Holding, Grupo Alusa, dentre outros. A fim de dirimir o máximo possível o grau de arbitrariedade, optamos por classificá-los nas frações do capital </w:t>
      </w:r>
      <w:r w:rsidRPr="00AB0321">
        <w:rPr>
          <w:rFonts w:ascii="Times New Roman" w:hAnsi="Times New Roman"/>
          <w:i/>
          <w:sz w:val="24"/>
          <w:szCs w:val="24"/>
        </w:rPr>
        <w:t xml:space="preserve">cujaatuação econômica nos pareceu </w:t>
      </w:r>
      <w:r>
        <w:rPr>
          <w:rFonts w:ascii="Times New Roman" w:hAnsi="Times New Roman"/>
          <w:i/>
          <w:sz w:val="24"/>
          <w:szCs w:val="24"/>
        </w:rPr>
        <w:t xml:space="preserve">claramente </w:t>
      </w:r>
      <w:r w:rsidRPr="00AB0321">
        <w:rPr>
          <w:rFonts w:ascii="Times New Roman" w:hAnsi="Times New Roman"/>
          <w:i/>
          <w:sz w:val="24"/>
          <w:szCs w:val="24"/>
        </w:rPr>
        <w:t>preponderante</w:t>
      </w:r>
      <w:r>
        <w:rPr>
          <w:rFonts w:ascii="Times New Roman" w:hAnsi="Times New Roman"/>
          <w:sz w:val="24"/>
          <w:szCs w:val="24"/>
        </w:rPr>
        <w:t xml:space="preserve">, segundo as fontes às quais consultamos. Os demais segmentos e atividades em que atuavam eram, grosso modo, </w:t>
      </w:r>
      <w:r>
        <w:rPr>
          <w:rFonts w:ascii="Times New Roman" w:hAnsi="Times New Roman"/>
          <w:i/>
          <w:sz w:val="24"/>
          <w:szCs w:val="24"/>
        </w:rPr>
        <w:t xml:space="preserve">capilarizações internas </w:t>
      </w:r>
      <w:r>
        <w:rPr>
          <w:rFonts w:ascii="Times New Roman" w:hAnsi="Times New Roman"/>
          <w:sz w:val="24"/>
          <w:szCs w:val="24"/>
        </w:rPr>
        <w:t>(subsidiárias ou acessórias) necessárias à atividade-fim, permitindo-lhes deter o controle da cadeia de produção. As ramificações referidas devem-se, originalmente, ao crescimento patrimonial-financeiro da grande empresa capitalista. Segundo Gonçalves:</w:t>
      </w:r>
    </w:p>
    <w:p w:rsidR="00582426" w:rsidRPr="005C724F" w:rsidRDefault="00582426" w:rsidP="00582426">
      <w:pPr>
        <w:spacing w:line="240" w:lineRule="auto"/>
        <w:ind w:left="2268"/>
        <w:jc w:val="both"/>
        <w:rPr>
          <w:rFonts w:ascii="Times New Roman" w:hAnsi="Times New Roman"/>
          <w:sz w:val="20"/>
          <w:szCs w:val="20"/>
        </w:rPr>
      </w:pPr>
      <w:r w:rsidRPr="005C724F">
        <w:rPr>
          <w:rFonts w:ascii="Times New Roman" w:hAnsi="Times New Roman"/>
          <w:sz w:val="20"/>
          <w:szCs w:val="20"/>
        </w:rPr>
        <w:t xml:space="preserve">O processo de expansão (quantitativo) significa também uma mudança de natureza qualitativa. Isto porque a expansão capitalista leva à ruptura institucional e organizativa da empresa. Assim, já não é possível para cada “bloco individual de capital” manter o seu processo de expansão com base numa única unidade empresarial </w:t>
      </w:r>
      <w:r>
        <w:rPr>
          <w:rFonts w:ascii="Times New Roman" w:hAnsi="Times New Roman"/>
          <w:sz w:val="20"/>
          <w:szCs w:val="20"/>
        </w:rPr>
        <w:t>[...]</w:t>
      </w:r>
      <w:r w:rsidRPr="005C724F">
        <w:rPr>
          <w:rFonts w:ascii="Times New Roman" w:hAnsi="Times New Roman"/>
          <w:sz w:val="20"/>
          <w:szCs w:val="20"/>
        </w:rPr>
        <w:t>. De fato, a criação e a aquisição de novas empresas, e as fusões com outros grupos, aparecem como métodos importantes e necessários de expansão nas estratégias de diversificação e conglomeração, assim como nas de especialização e de verticalização.</w:t>
      </w:r>
      <w:r>
        <w:rPr>
          <w:rStyle w:val="Refdenotaderodap"/>
          <w:rFonts w:ascii="Times New Roman" w:hAnsi="Times New Roman"/>
          <w:sz w:val="20"/>
          <w:szCs w:val="20"/>
        </w:rPr>
        <w:footnoteReference w:id="214"/>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Trata-se, portanto, de classificação necessariamente alvo de problematizações, mas que, no geral, traz o mérito de revelar, cotejando com as intervenções de seus representantes nas Atas das reuniões plenárias do CDES, não apenas </w:t>
      </w:r>
      <w:r>
        <w:rPr>
          <w:rFonts w:ascii="Times New Roman" w:hAnsi="Times New Roman"/>
          <w:i/>
          <w:sz w:val="24"/>
          <w:szCs w:val="24"/>
        </w:rPr>
        <w:t xml:space="preserve">quais </w:t>
      </w:r>
      <w:r>
        <w:rPr>
          <w:rFonts w:ascii="Times New Roman" w:hAnsi="Times New Roman"/>
          <w:sz w:val="24"/>
          <w:szCs w:val="24"/>
        </w:rPr>
        <w:t xml:space="preserve">os principais atores econômicos (e governamentais) estavam edificando o propalado projeto “neodesenvolvimentista”, mas também </w:t>
      </w:r>
      <w:r>
        <w:rPr>
          <w:rFonts w:ascii="Times New Roman" w:hAnsi="Times New Roman"/>
          <w:i/>
          <w:sz w:val="24"/>
          <w:szCs w:val="24"/>
        </w:rPr>
        <w:t xml:space="preserve">os </w:t>
      </w:r>
      <w:r w:rsidRPr="00AC2980">
        <w:rPr>
          <w:rFonts w:ascii="Times New Roman" w:hAnsi="Times New Roman"/>
          <w:i/>
          <w:sz w:val="24"/>
          <w:szCs w:val="24"/>
        </w:rPr>
        <w:t>conteúdo</w:t>
      </w:r>
      <w:r>
        <w:rPr>
          <w:rFonts w:ascii="Times New Roman" w:hAnsi="Times New Roman"/>
          <w:i/>
          <w:sz w:val="24"/>
          <w:szCs w:val="24"/>
        </w:rPr>
        <w:t xml:space="preserve">s programáticos </w:t>
      </w:r>
      <w:r>
        <w:rPr>
          <w:rFonts w:ascii="Times New Roman" w:hAnsi="Times New Roman"/>
          <w:sz w:val="24"/>
          <w:szCs w:val="24"/>
        </w:rPr>
        <w:t>trazidos pelos distintos capitais particulares, organizados em seus aparelhos privados de hegemonia.</w:t>
      </w:r>
    </w:p>
    <w:p w:rsidR="00582426"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Percebam, no gráfico 2.4 acima,</w:t>
      </w:r>
      <w:r w:rsidR="00116130">
        <w:rPr>
          <w:rFonts w:ascii="Times New Roman" w:hAnsi="Times New Roman"/>
          <w:sz w:val="24"/>
          <w:szCs w:val="24"/>
        </w:rPr>
        <w:t xml:space="preserve"> que os grupos ou as firmas </w:t>
      </w:r>
      <w:r w:rsidR="00D61476">
        <w:rPr>
          <w:rFonts w:ascii="Times New Roman" w:hAnsi="Times New Roman"/>
          <w:sz w:val="24"/>
          <w:szCs w:val="24"/>
        </w:rPr>
        <w:t>cuja</w:t>
      </w:r>
      <w:r w:rsidR="008133F0">
        <w:rPr>
          <w:rFonts w:ascii="Times New Roman" w:hAnsi="Times New Roman"/>
          <w:sz w:val="24"/>
          <w:szCs w:val="24"/>
        </w:rPr>
        <w:t xml:space="preserve"> atividade </w:t>
      </w:r>
      <w:r w:rsidR="00D61476">
        <w:rPr>
          <w:rFonts w:ascii="Times New Roman" w:hAnsi="Times New Roman"/>
          <w:sz w:val="24"/>
          <w:szCs w:val="24"/>
        </w:rPr>
        <w:t xml:space="preserve">era </w:t>
      </w:r>
      <w:r w:rsidR="008133F0">
        <w:rPr>
          <w:rFonts w:ascii="Times New Roman" w:hAnsi="Times New Roman"/>
          <w:sz w:val="24"/>
          <w:szCs w:val="24"/>
        </w:rPr>
        <w:t>predominantemente</w:t>
      </w:r>
      <w:r>
        <w:rPr>
          <w:rFonts w:ascii="Times New Roman" w:hAnsi="Times New Roman"/>
          <w:sz w:val="24"/>
          <w:szCs w:val="24"/>
        </w:rPr>
        <w:t xml:space="preserve"> industrial </w:t>
      </w:r>
      <w:r w:rsidR="00D61476">
        <w:rPr>
          <w:rFonts w:ascii="Times New Roman" w:hAnsi="Times New Roman"/>
          <w:sz w:val="24"/>
          <w:szCs w:val="24"/>
        </w:rPr>
        <w:t>se destacavam</w:t>
      </w:r>
      <w:r>
        <w:rPr>
          <w:rFonts w:ascii="Times New Roman" w:hAnsi="Times New Roman"/>
          <w:sz w:val="24"/>
          <w:szCs w:val="24"/>
        </w:rPr>
        <w:t xml:space="preserve"> numericamente durante todo o período pesquisado. A partir de 2007, verificamos a afirmação e ampliação da presença dos conselheiros </w:t>
      </w:r>
      <w:r w:rsidR="00D61476">
        <w:rPr>
          <w:rFonts w:ascii="Times New Roman" w:hAnsi="Times New Roman"/>
          <w:sz w:val="24"/>
          <w:szCs w:val="24"/>
        </w:rPr>
        <w:t xml:space="preserve">representantes de grupos e firmas </w:t>
      </w:r>
      <w:r>
        <w:rPr>
          <w:rFonts w:ascii="Times New Roman" w:hAnsi="Times New Roman"/>
          <w:sz w:val="24"/>
          <w:szCs w:val="24"/>
        </w:rPr>
        <w:t xml:space="preserve">preponderantemente conectados </w:t>
      </w:r>
      <w:r w:rsidR="00116130">
        <w:rPr>
          <w:rFonts w:ascii="Times New Roman" w:hAnsi="Times New Roman"/>
          <w:sz w:val="24"/>
          <w:szCs w:val="24"/>
        </w:rPr>
        <w:t xml:space="preserve">aos setores cuja </w:t>
      </w:r>
      <w:r w:rsidR="00D61476">
        <w:rPr>
          <w:rFonts w:ascii="Times New Roman" w:hAnsi="Times New Roman"/>
          <w:sz w:val="24"/>
          <w:szCs w:val="24"/>
        </w:rPr>
        <w:t xml:space="preserve">atividade principal </w:t>
      </w:r>
      <w:r w:rsidR="009B4060">
        <w:rPr>
          <w:rFonts w:ascii="Times New Roman" w:hAnsi="Times New Roman"/>
          <w:sz w:val="24"/>
          <w:szCs w:val="24"/>
        </w:rPr>
        <w:t>foi</w:t>
      </w:r>
      <w:r w:rsidR="00D61476">
        <w:rPr>
          <w:rFonts w:ascii="Times New Roman" w:hAnsi="Times New Roman"/>
          <w:sz w:val="24"/>
          <w:szCs w:val="24"/>
        </w:rPr>
        <w:t xml:space="preserve"> a </w:t>
      </w:r>
      <w:r>
        <w:rPr>
          <w:rFonts w:ascii="Times New Roman" w:hAnsi="Times New Roman"/>
          <w:sz w:val="24"/>
          <w:szCs w:val="24"/>
        </w:rPr>
        <w:t>industrial, comportando, até o fim do período analisado (2010),</w:t>
      </w:r>
      <w:r>
        <w:rPr>
          <w:rFonts w:ascii="Times New Roman" w:hAnsi="Times New Roman"/>
          <w:i/>
          <w:sz w:val="24"/>
          <w:szCs w:val="24"/>
        </w:rPr>
        <w:t xml:space="preserve"> um predomínio absoluto </w:t>
      </w:r>
      <w:r>
        <w:rPr>
          <w:rFonts w:ascii="Times New Roman" w:hAnsi="Times New Roman"/>
          <w:sz w:val="24"/>
          <w:szCs w:val="24"/>
        </w:rPr>
        <w:t xml:space="preserve">de sua representatividade: mais do que a soma do </w:t>
      </w:r>
      <w:r>
        <w:rPr>
          <w:rFonts w:ascii="Times New Roman" w:hAnsi="Times New Roman"/>
          <w:i/>
          <w:sz w:val="24"/>
          <w:szCs w:val="24"/>
        </w:rPr>
        <w:t xml:space="preserve">quantum </w:t>
      </w:r>
      <w:r>
        <w:rPr>
          <w:rFonts w:ascii="Times New Roman" w:hAnsi="Times New Roman"/>
          <w:sz w:val="24"/>
          <w:szCs w:val="24"/>
        </w:rPr>
        <w:t xml:space="preserve">de grupos e firmas </w:t>
      </w:r>
      <w:r w:rsidR="004056D4">
        <w:rPr>
          <w:rFonts w:ascii="Times New Roman" w:hAnsi="Times New Roman"/>
          <w:sz w:val="24"/>
          <w:szCs w:val="24"/>
        </w:rPr>
        <w:t>vinculados às</w:t>
      </w:r>
      <w:r w:rsidR="00116130">
        <w:rPr>
          <w:rFonts w:ascii="Times New Roman" w:hAnsi="Times New Roman"/>
          <w:sz w:val="24"/>
          <w:szCs w:val="24"/>
        </w:rPr>
        <w:t>atividades econômicas</w:t>
      </w:r>
      <w:r>
        <w:rPr>
          <w:rFonts w:ascii="Times New Roman" w:hAnsi="Times New Roman"/>
          <w:sz w:val="24"/>
          <w:szCs w:val="24"/>
        </w:rPr>
        <w:t xml:space="preserve"> comercial</w:t>
      </w:r>
      <w:r w:rsidR="00116130">
        <w:rPr>
          <w:rFonts w:ascii="Times New Roman" w:hAnsi="Times New Roman"/>
          <w:sz w:val="24"/>
          <w:szCs w:val="24"/>
        </w:rPr>
        <w:t xml:space="preserve"> e</w:t>
      </w:r>
      <w:r>
        <w:rPr>
          <w:rFonts w:ascii="Times New Roman" w:hAnsi="Times New Roman"/>
          <w:sz w:val="24"/>
          <w:szCs w:val="24"/>
        </w:rPr>
        <w:t xml:space="preserve"> de serviço e </w:t>
      </w:r>
      <w:r w:rsidR="00D61476">
        <w:rPr>
          <w:rFonts w:ascii="Times New Roman" w:hAnsi="Times New Roman"/>
          <w:sz w:val="24"/>
          <w:szCs w:val="24"/>
        </w:rPr>
        <w:t>bancária</w:t>
      </w:r>
      <w:r>
        <w:rPr>
          <w:rFonts w:ascii="Times New Roman" w:hAnsi="Times New Roman"/>
          <w:sz w:val="24"/>
          <w:szCs w:val="24"/>
        </w:rPr>
        <w:t xml:space="preserve">. </w:t>
      </w:r>
    </w:p>
    <w:p w:rsidR="00582426" w:rsidRDefault="00582426" w:rsidP="00582426">
      <w:pPr>
        <w:spacing w:line="360" w:lineRule="auto"/>
        <w:ind w:firstLine="708"/>
        <w:jc w:val="both"/>
        <w:rPr>
          <w:rFonts w:ascii="Times New Roman" w:hAnsi="Times New Roman"/>
          <w:sz w:val="24"/>
          <w:szCs w:val="24"/>
        </w:rPr>
      </w:pPr>
      <w:r>
        <w:rPr>
          <w:rFonts w:ascii="Times New Roman" w:hAnsi="Times New Roman"/>
          <w:sz w:val="24"/>
          <w:szCs w:val="24"/>
        </w:rPr>
        <w:t xml:space="preserve">Além disso, é preciso ressaltar que, no ano de 2007, a fração bancária partiu em retirada do Conselho, com a saída de banqueiros do Unibanco, Citibank, Bradesco e Itaú, além de alguns industriais com vinculações bancárias como Benjamin Steinbruch, Waldemar Verdi Jr e Eduardo Eugênio Gouvêa Vieira. </w:t>
      </w:r>
      <w:r w:rsidR="007B5FC2">
        <w:rPr>
          <w:rFonts w:ascii="Times New Roman" w:hAnsi="Times New Roman"/>
          <w:sz w:val="24"/>
          <w:szCs w:val="24"/>
        </w:rPr>
        <w:t>E</w:t>
      </w:r>
      <w:r>
        <w:rPr>
          <w:rFonts w:ascii="Times New Roman" w:hAnsi="Times New Roman"/>
          <w:sz w:val="24"/>
          <w:szCs w:val="24"/>
        </w:rPr>
        <w:t xml:space="preserve">m 2010 </w:t>
      </w:r>
      <w:r w:rsidR="00116130">
        <w:rPr>
          <w:rFonts w:ascii="Times New Roman" w:hAnsi="Times New Roman"/>
          <w:sz w:val="24"/>
          <w:szCs w:val="24"/>
        </w:rPr>
        <w:t>ingressaram</w:t>
      </w:r>
      <w:r>
        <w:rPr>
          <w:rFonts w:ascii="Times New Roman" w:hAnsi="Times New Roman"/>
          <w:sz w:val="24"/>
          <w:szCs w:val="24"/>
        </w:rPr>
        <w:t xml:space="preserve">algumas empresas do ramo </w:t>
      </w:r>
      <w:r w:rsidR="007B5FC2">
        <w:rPr>
          <w:rFonts w:ascii="Times New Roman" w:hAnsi="Times New Roman"/>
          <w:sz w:val="24"/>
          <w:szCs w:val="24"/>
        </w:rPr>
        <w:t xml:space="preserve">bancário </w:t>
      </w:r>
      <w:r w:rsidR="00D61476" w:rsidRPr="00D61476">
        <w:rPr>
          <w:rFonts w:ascii="Times New Roman" w:hAnsi="Times New Roman"/>
          <w:sz w:val="24"/>
          <w:szCs w:val="24"/>
        </w:rPr>
        <w:t>(</w:t>
      </w:r>
      <w:r w:rsidR="00D61476" w:rsidRPr="00D61476">
        <w:rPr>
          <w:rFonts w:ascii="Times New Roman" w:hAnsi="Times New Roman"/>
          <w:color w:val="000000"/>
          <w:sz w:val="24"/>
          <w:szCs w:val="24"/>
        </w:rPr>
        <w:t>Banco Fidis e Banco BNP Paribas Brasil)</w:t>
      </w:r>
      <w:r w:rsidR="007B5FC2">
        <w:rPr>
          <w:rFonts w:ascii="Times New Roman" w:hAnsi="Times New Roman"/>
          <w:sz w:val="24"/>
          <w:szCs w:val="24"/>
        </w:rPr>
        <w:t>no CDES</w:t>
      </w:r>
      <w:r w:rsidR="00CD6337">
        <w:rPr>
          <w:rFonts w:ascii="Times New Roman" w:hAnsi="Times New Roman"/>
          <w:sz w:val="24"/>
          <w:szCs w:val="24"/>
        </w:rPr>
        <w:t xml:space="preserve">. </w:t>
      </w:r>
      <w:r>
        <w:rPr>
          <w:rFonts w:ascii="Times New Roman" w:hAnsi="Times New Roman"/>
          <w:sz w:val="24"/>
          <w:szCs w:val="24"/>
        </w:rPr>
        <w:t xml:space="preserve">A tabela abaixo nos oferece, em termos relativos (em razão do total anual de grupos e firmas), a evolução da presença dos </w:t>
      </w:r>
      <w:r w:rsidR="00CD6337">
        <w:rPr>
          <w:rFonts w:ascii="Times New Roman" w:hAnsi="Times New Roman"/>
          <w:sz w:val="24"/>
          <w:szCs w:val="24"/>
        </w:rPr>
        <w:t>grupos e firmas cujas suas principais atividades eram industriais, comerciais</w:t>
      </w:r>
      <w:r>
        <w:rPr>
          <w:rFonts w:ascii="Times New Roman" w:hAnsi="Times New Roman"/>
          <w:sz w:val="24"/>
          <w:szCs w:val="24"/>
        </w:rPr>
        <w:t xml:space="preserve"> e de serviços, e </w:t>
      </w:r>
      <w:r w:rsidR="00CD6337">
        <w:rPr>
          <w:rFonts w:ascii="Times New Roman" w:hAnsi="Times New Roman"/>
          <w:sz w:val="24"/>
          <w:szCs w:val="24"/>
        </w:rPr>
        <w:t>bancárias</w:t>
      </w:r>
      <w:r>
        <w:rPr>
          <w:rFonts w:ascii="Times New Roman" w:hAnsi="Times New Roman"/>
          <w:sz w:val="24"/>
          <w:szCs w:val="24"/>
        </w:rPr>
        <w:t xml:space="preserve"> no CDES entre 2003 e 2010:</w:t>
      </w:r>
    </w:p>
    <w:p w:rsidR="00582426" w:rsidRDefault="00582426" w:rsidP="00582426">
      <w:pPr>
        <w:ind w:firstLine="708"/>
        <w:jc w:val="center"/>
        <w:rPr>
          <w:rFonts w:ascii="Times New Roman" w:hAnsi="Times New Roman"/>
          <w:b/>
          <w:sz w:val="24"/>
          <w:szCs w:val="24"/>
        </w:rPr>
      </w:pPr>
      <w:r>
        <w:rPr>
          <w:rFonts w:ascii="Times New Roman" w:hAnsi="Times New Roman"/>
          <w:b/>
          <w:sz w:val="24"/>
          <w:szCs w:val="24"/>
        </w:rPr>
        <w:t xml:space="preserve">Tabela 2.1 – Evolução relativa dos Grupos Econômicos e Firmas no CDES por </w:t>
      </w:r>
      <w:r w:rsidR="007B5FC2">
        <w:rPr>
          <w:rFonts w:ascii="Times New Roman" w:hAnsi="Times New Roman"/>
          <w:b/>
          <w:sz w:val="24"/>
          <w:szCs w:val="24"/>
        </w:rPr>
        <w:t>atividade principal</w:t>
      </w:r>
      <w:r>
        <w:rPr>
          <w:rFonts w:ascii="Times New Roman" w:hAnsi="Times New Roman"/>
          <w:b/>
          <w:sz w:val="24"/>
          <w:szCs w:val="24"/>
        </w:rPr>
        <w:t xml:space="preserve"> (2003-2010)</w:t>
      </w:r>
    </w:p>
    <w:tbl>
      <w:tblPr>
        <w:tblW w:w="8505"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701"/>
        <w:gridCol w:w="850"/>
        <w:gridCol w:w="851"/>
        <w:gridCol w:w="850"/>
        <w:gridCol w:w="851"/>
        <w:gridCol w:w="850"/>
        <w:gridCol w:w="851"/>
        <w:gridCol w:w="850"/>
        <w:gridCol w:w="851"/>
      </w:tblGrid>
      <w:tr w:rsidR="00582426" w:rsidRPr="008211FD" w:rsidTr="008211FD">
        <w:tc>
          <w:tcPr>
            <w:tcW w:w="1701" w:type="dxa"/>
            <w:tcBorders>
              <w:top w:val="single" w:sz="8" w:space="0" w:color="4F81BD"/>
              <w:left w:val="single" w:sz="8" w:space="0" w:color="4F81BD"/>
              <w:bottom w:val="single" w:sz="18" w:space="0" w:color="4F81BD"/>
              <w:right w:val="single" w:sz="8" w:space="0" w:color="4F81BD"/>
            </w:tcBorders>
          </w:tcPr>
          <w:p w:rsidR="00582426" w:rsidRPr="00190EF4" w:rsidRDefault="007B5FC2" w:rsidP="008211FD">
            <w:pPr>
              <w:spacing w:after="0" w:line="240" w:lineRule="auto"/>
              <w:jc w:val="center"/>
              <w:rPr>
                <w:rFonts w:ascii="Times New Roman" w:eastAsia="Times New Roman" w:hAnsi="Times New Roman"/>
                <w:b/>
                <w:bCs/>
                <w:sz w:val="20"/>
                <w:szCs w:val="20"/>
              </w:rPr>
            </w:pPr>
            <w:r w:rsidRPr="00190EF4">
              <w:rPr>
                <w:rFonts w:ascii="Times New Roman" w:eastAsia="Times New Roman" w:hAnsi="Times New Roman"/>
                <w:b/>
                <w:bCs/>
                <w:sz w:val="20"/>
                <w:szCs w:val="20"/>
              </w:rPr>
              <w:t>Atividades</w:t>
            </w:r>
            <w:r w:rsidR="00CD6337" w:rsidRPr="00190EF4">
              <w:rPr>
                <w:rFonts w:ascii="Times New Roman" w:eastAsia="Times New Roman" w:hAnsi="Times New Roman"/>
                <w:b/>
                <w:bCs/>
                <w:sz w:val="20"/>
                <w:szCs w:val="20"/>
              </w:rPr>
              <w:t xml:space="preserve"> Principais</w:t>
            </w:r>
          </w:p>
        </w:tc>
        <w:tc>
          <w:tcPr>
            <w:tcW w:w="850" w:type="dxa"/>
            <w:tcBorders>
              <w:top w:val="single" w:sz="8" w:space="0" w:color="4F81BD"/>
              <w:left w:val="single" w:sz="8" w:space="0" w:color="4F81BD"/>
              <w:bottom w:val="single" w:sz="18" w:space="0" w:color="4F81BD"/>
              <w:right w:val="single" w:sz="8" w:space="0" w:color="4F81BD"/>
            </w:tcBorders>
          </w:tcPr>
          <w:p w:rsidR="00582426" w:rsidRPr="00190EF4" w:rsidRDefault="00582426" w:rsidP="008211FD">
            <w:pPr>
              <w:spacing w:after="0" w:line="240" w:lineRule="auto"/>
              <w:jc w:val="center"/>
              <w:rPr>
                <w:rFonts w:ascii="Times New Roman" w:eastAsia="Times New Roman" w:hAnsi="Times New Roman"/>
                <w:b/>
                <w:bCs/>
                <w:sz w:val="20"/>
                <w:szCs w:val="20"/>
              </w:rPr>
            </w:pPr>
            <w:r w:rsidRPr="00190EF4">
              <w:rPr>
                <w:rFonts w:ascii="Times New Roman" w:eastAsia="Times New Roman" w:hAnsi="Times New Roman"/>
                <w:b/>
                <w:bCs/>
                <w:sz w:val="20"/>
                <w:szCs w:val="20"/>
              </w:rPr>
              <w:t>2003</w:t>
            </w:r>
          </w:p>
        </w:tc>
        <w:tc>
          <w:tcPr>
            <w:tcW w:w="851" w:type="dxa"/>
            <w:tcBorders>
              <w:top w:val="single" w:sz="8" w:space="0" w:color="4F81BD"/>
              <w:left w:val="single" w:sz="8" w:space="0" w:color="4F81BD"/>
              <w:bottom w:val="single" w:sz="18" w:space="0" w:color="4F81BD"/>
              <w:right w:val="single" w:sz="8" w:space="0" w:color="4F81BD"/>
            </w:tcBorders>
          </w:tcPr>
          <w:p w:rsidR="00582426" w:rsidRPr="00190EF4" w:rsidRDefault="00582426" w:rsidP="008211FD">
            <w:pPr>
              <w:spacing w:after="0" w:line="240" w:lineRule="auto"/>
              <w:jc w:val="center"/>
              <w:rPr>
                <w:rFonts w:ascii="Times New Roman" w:eastAsia="Times New Roman" w:hAnsi="Times New Roman"/>
                <w:b/>
                <w:bCs/>
                <w:sz w:val="20"/>
                <w:szCs w:val="20"/>
              </w:rPr>
            </w:pPr>
            <w:r w:rsidRPr="00190EF4">
              <w:rPr>
                <w:rFonts w:ascii="Times New Roman" w:eastAsia="Times New Roman" w:hAnsi="Times New Roman"/>
                <w:b/>
                <w:bCs/>
                <w:sz w:val="20"/>
                <w:szCs w:val="20"/>
              </w:rPr>
              <w:t>2004</w:t>
            </w:r>
          </w:p>
        </w:tc>
        <w:tc>
          <w:tcPr>
            <w:tcW w:w="850" w:type="dxa"/>
            <w:tcBorders>
              <w:top w:val="single" w:sz="8" w:space="0" w:color="4F81BD"/>
              <w:left w:val="single" w:sz="8" w:space="0" w:color="4F81BD"/>
              <w:bottom w:val="single" w:sz="18" w:space="0" w:color="4F81BD"/>
              <w:right w:val="single" w:sz="8" w:space="0" w:color="4F81BD"/>
            </w:tcBorders>
          </w:tcPr>
          <w:p w:rsidR="00582426" w:rsidRPr="00190EF4" w:rsidRDefault="00582426" w:rsidP="008211FD">
            <w:pPr>
              <w:spacing w:after="0" w:line="240" w:lineRule="auto"/>
              <w:jc w:val="center"/>
              <w:rPr>
                <w:rFonts w:ascii="Times New Roman" w:eastAsia="Times New Roman" w:hAnsi="Times New Roman"/>
                <w:b/>
                <w:bCs/>
                <w:sz w:val="20"/>
                <w:szCs w:val="20"/>
              </w:rPr>
            </w:pPr>
            <w:r w:rsidRPr="00190EF4">
              <w:rPr>
                <w:rFonts w:ascii="Times New Roman" w:eastAsia="Times New Roman" w:hAnsi="Times New Roman"/>
                <w:b/>
                <w:bCs/>
                <w:sz w:val="20"/>
                <w:szCs w:val="20"/>
              </w:rPr>
              <w:t>2005</w:t>
            </w:r>
          </w:p>
        </w:tc>
        <w:tc>
          <w:tcPr>
            <w:tcW w:w="851" w:type="dxa"/>
            <w:tcBorders>
              <w:top w:val="single" w:sz="8" w:space="0" w:color="4F81BD"/>
              <w:left w:val="single" w:sz="8" w:space="0" w:color="4F81BD"/>
              <w:bottom w:val="single" w:sz="18" w:space="0" w:color="4F81BD"/>
              <w:right w:val="single" w:sz="8" w:space="0" w:color="4F81BD"/>
            </w:tcBorders>
          </w:tcPr>
          <w:p w:rsidR="00582426" w:rsidRPr="00190EF4" w:rsidRDefault="00582426" w:rsidP="008211FD">
            <w:pPr>
              <w:spacing w:after="0" w:line="240" w:lineRule="auto"/>
              <w:jc w:val="center"/>
              <w:rPr>
                <w:rFonts w:ascii="Times New Roman" w:eastAsia="Times New Roman" w:hAnsi="Times New Roman"/>
                <w:b/>
                <w:bCs/>
                <w:sz w:val="20"/>
                <w:szCs w:val="20"/>
              </w:rPr>
            </w:pPr>
            <w:r w:rsidRPr="00190EF4">
              <w:rPr>
                <w:rFonts w:ascii="Times New Roman" w:eastAsia="Times New Roman" w:hAnsi="Times New Roman"/>
                <w:b/>
                <w:bCs/>
                <w:sz w:val="20"/>
                <w:szCs w:val="20"/>
              </w:rPr>
              <w:t>2006</w:t>
            </w:r>
          </w:p>
        </w:tc>
        <w:tc>
          <w:tcPr>
            <w:tcW w:w="850" w:type="dxa"/>
            <w:tcBorders>
              <w:top w:val="single" w:sz="8" w:space="0" w:color="4F81BD"/>
              <w:left w:val="single" w:sz="8" w:space="0" w:color="4F81BD"/>
              <w:bottom w:val="single" w:sz="18" w:space="0" w:color="4F81BD"/>
              <w:right w:val="single" w:sz="8" w:space="0" w:color="4F81BD"/>
            </w:tcBorders>
          </w:tcPr>
          <w:p w:rsidR="00582426" w:rsidRPr="00190EF4" w:rsidRDefault="00582426" w:rsidP="008211FD">
            <w:pPr>
              <w:spacing w:after="0" w:line="240" w:lineRule="auto"/>
              <w:jc w:val="center"/>
              <w:rPr>
                <w:rFonts w:ascii="Times New Roman" w:eastAsia="Times New Roman" w:hAnsi="Times New Roman"/>
                <w:b/>
                <w:bCs/>
                <w:sz w:val="20"/>
                <w:szCs w:val="20"/>
              </w:rPr>
            </w:pPr>
            <w:r w:rsidRPr="00190EF4">
              <w:rPr>
                <w:rFonts w:ascii="Times New Roman" w:eastAsia="Times New Roman" w:hAnsi="Times New Roman"/>
                <w:b/>
                <w:bCs/>
                <w:sz w:val="20"/>
                <w:szCs w:val="20"/>
              </w:rPr>
              <w:t>2007</w:t>
            </w:r>
          </w:p>
        </w:tc>
        <w:tc>
          <w:tcPr>
            <w:tcW w:w="851" w:type="dxa"/>
            <w:tcBorders>
              <w:top w:val="single" w:sz="8" w:space="0" w:color="4F81BD"/>
              <w:left w:val="single" w:sz="8" w:space="0" w:color="4F81BD"/>
              <w:bottom w:val="single" w:sz="18" w:space="0" w:color="4F81BD"/>
              <w:right w:val="single" w:sz="8" w:space="0" w:color="4F81BD"/>
            </w:tcBorders>
          </w:tcPr>
          <w:p w:rsidR="00582426" w:rsidRPr="00190EF4" w:rsidRDefault="00582426" w:rsidP="008211FD">
            <w:pPr>
              <w:spacing w:after="0" w:line="240" w:lineRule="auto"/>
              <w:jc w:val="center"/>
              <w:rPr>
                <w:rFonts w:ascii="Times New Roman" w:eastAsia="Times New Roman" w:hAnsi="Times New Roman"/>
                <w:b/>
                <w:bCs/>
                <w:sz w:val="20"/>
                <w:szCs w:val="20"/>
              </w:rPr>
            </w:pPr>
            <w:r w:rsidRPr="00190EF4">
              <w:rPr>
                <w:rFonts w:ascii="Times New Roman" w:eastAsia="Times New Roman" w:hAnsi="Times New Roman"/>
                <w:b/>
                <w:bCs/>
                <w:sz w:val="20"/>
                <w:szCs w:val="20"/>
              </w:rPr>
              <w:t>2008</w:t>
            </w:r>
          </w:p>
        </w:tc>
        <w:tc>
          <w:tcPr>
            <w:tcW w:w="850" w:type="dxa"/>
            <w:tcBorders>
              <w:top w:val="single" w:sz="8" w:space="0" w:color="4F81BD"/>
              <w:left w:val="single" w:sz="8" w:space="0" w:color="4F81BD"/>
              <w:bottom w:val="single" w:sz="18" w:space="0" w:color="4F81BD"/>
              <w:right w:val="single" w:sz="8" w:space="0" w:color="4F81BD"/>
            </w:tcBorders>
          </w:tcPr>
          <w:p w:rsidR="00582426" w:rsidRPr="00190EF4" w:rsidRDefault="00582426" w:rsidP="008211FD">
            <w:pPr>
              <w:spacing w:after="0" w:line="240" w:lineRule="auto"/>
              <w:jc w:val="center"/>
              <w:rPr>
                <w:rFonts w:ascii="Times New Roman" w:eastAsia="Times New Roman" w:hAnsi="Times New Roman"/>
                <w:b/>
                <w:bCs/>
                <w:sz w:val="20"/>
                <w:szCs w:val="20"/>
              </w:rPr>
            </w:pPr>
            <w:r w:rsidRPr="00190EF4">
              <w:rPr>
                <w:rFonts w:ascii="Times New Roman" w:eastAsia="Times New Roman" w:hAnsi="Times New Roman"/>
                <w:b/>
                <w:bCs/>
                <w:sz w:val="20"/>
                <w:szCs w:val="20"/>
              </w:rPr>
              <w:t>2009</w:t>
            </w:r>
          </w:p>
        </w:tc>
        <w:tc>
          <w:tcPr>
            <w:tcW w:w="851" w:type="dxa"/>
            <w:tcBorders>
              <w:top w:val="single" w:sz="8" w:space="0" w:color="4F81BD"/>
              <w:left w:val="single" w:sz="8" w:space="0" w:color="4F81BD"/>
              <w:bottom w:val="single" w:sz="18" w:space="0" w:color="4F81BD"/>
              <w:right w:val="single" w:sz="8" w:space="0" w:color="4F81BD"/>
            </w:tcBorders>
          </w:tcPr>
          <w:p w:rsidR="00582426" w:rsidRPr="00190EF4" w:rsidRDefault="00582426" w:rsidP="008211FD">
            <w:pPr>
              <w:spacing w:after="0" w:line="240" w:lineRule="auto"/>
              <w:jc w:val="center"/>
              <w:rPr>
                <w:rFonts w:ascii="Times New Roman" w:eastAsia="Times New Roman" w:hAnsi="Times New Roman"/>
                <w:b/>
                <w:bCs/>
                <w:sz w:val="20"/>
                <w:szCs w:val="20"/>
              </w:rPr>
            </w:pPr>
            <w:r w:rsidRPr="00190EF4">
              <w:rPr>
                <w:rFonts w:ascii="Times New Roman" w:eastAsia="Times New Roman" w:hAnsi="Times New Roman"/>
                <w:b/>
                <w:bCs/>
                <w:sz w:val="20"/>
                <w:szCs w:val="20"/>
              </w:rPr>
              <w:t>2010</w:t>
            </w:r>
          </w:p>
        </w:tc>
      </w:tr>
      <w:tr w:rsidR="00582426" w:rsidRPr="008211FD" w:rsidTr="008211FD">
        <w:tc>
          <w:tcPr>
            <w:tcW w:w="1701"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CD6337" w:rsidP="008211FD">
            <w:pPr>
              <w:spacing w:after="0" w:line="240" w:lineRule="auto"/>
              <w:rPr>
                <w:rFonts w:ascii="Times New Roman" w:eastAsia="Times New Roman" w:hAnsi="Times New Roman"/>
                <w:b/>
                <w:bCs/>
                <w:sz w:val="20"/>
                <w:szCs w:val="20"/>
              </w:rPr>
            </w:pPr>
            <w:r w:rsidRPr="00190EF4">
              <w:rPr>
                <w:rFonts w:ascii="Times New Roman" w:eastAsia="Times New Roman" w:hAnsi="Times New Roman"/>
                <w:b/>
                <w:bCs/>
                <w:sz w:val="20"/>
                <w:szCs w:val="20"/>
              </w:rPr>
              <w:t>Industriais</w:t>
            </w:r>
          </w:p>
        </w:tc>
        <w:tc>
          <w:tcPr>
            <w:tcW w:w="850"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50%</w:t>
            </w:r>
          </w:p>
        </w:tc>
        <w:tc>
          <w:tcPr>
            <w:tcW w:w="851"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50%</w:t>
            </w:r>
          </w:p>
        </w:tc>
        <w:tc>
          <w:tcPr>
            <w:tcW w:w="850"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50%</w:t>
            </w:r>
          </w:p>
        </w:tc>
        <w:tc>
          <w:tcPr>
            <w:tcW w:w="851"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48%</w:t>
            </w:r>
          </w:p>
        </w:tc>
        <w:tc>
          <w:tcPr>
            <w:tcW w:w="850"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57%</w:t>
            </w:r>
          </w:p>
        </w:tc>
        <w:tc>
          <w:tcPr>
            <w:tcW w:w="851"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57%</w:t>
            </w:r>
          </w:p>
        </w:tc>
        <w:tc>
          <w:tcPr>
            <w:tcW w:w="850"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58%</w:t>
            </w:r>
          </w:p>
        </w:tc>
        <w:tc>
          <w:tcPr>
            <w:tcW w:w="851"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59%</w:t>
            </w:r>
          </w:p>
        </w:tc>
      </w:tr>
      <w:tr w:rsidR="00582426" w:rsidRPr="008211FD" w:rsidTr="008211FD">
        <w:tc>
          <w:tcPr>
            <w:tcW w:w="1701" w:type="dxa"/>
            <w:tcBorders>
              <w:top w:val="single" w:sz="8" w:space="0" w:color="4F81BD"/>
              <w:left w:val="single" w:sz="8" w:space="0" w:color="4F81BD"/>
              <w:bottom w:val="single" w:sz="8" w:space="0" w:color="4F81BD"/>
              <w:right w:val="single" w:sz="8" w:space="0" w:color="4F81BD"/>
            </w:tcBorders>
          </w:tcPr>
          <w:p w:rsidR="00582426" w:rsidRPr="00190EF4" w:rsidRDefault="00CD6337" w:rsidP="008211FD">
            <w:pPr>
              <w:spacing w:after="0" w:line="240" w:lineRule="auto"/>
              <w:rPr>
                <w:rFonts w:ascii="Times New Roman" w:eastAsia="Times New Roman" w:hAnsi="Times New Roman"/>
                <w:b/>
                <w:bCs/>
                <w:sz w:val="20"/>
                <w:szCs w:val="20"/>
              </w:rPr>
            </w:pPr>
            <w:r w:rsidRPr="00190EF4">
              <w:rPr>
                <w:rFonts w:ascii="Times New Roman" w:eastAsia="Times New Roman" w:hAnsi="Times New Roman"/>
                <w:b/>
                <w:bCs/>
                <w:sz w:val="20"/>
                <w:szCs w:val="20"/>
              </w:rPr>
              <w:t>Comerciais</w:t>
            </w:r>
            <w:r w:rsidR="00582426" w:rsidRPr="00190EF4">
              <w:rPr>
                <w:rFonts w:ascii="Times New Roman" w:eastAsia="Times New Roman" w:hAnsi="Times New Roman"/>
                <w:b/>
                <w:bCs/>
                <w:sz w:val="20"/>
                <w:szCs w:val="20"/>
              </w:rPr>
              <w:t xml:space="preserve"> e de Serviços</w:t>
            </w:r>
          </w:p>
        </w:tc>
        <w:tc>
          <w:tcPr>
            <w:tcW w:w="850"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25%</w:t>
            </w:r>
          </w:p>
        </w:tc>
        <w:tc>
          <w:tcPr>
            <w:tcW w:w="851"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25%</w:t>
            </w:r>
          </w:p>
        </w:tc>
        <w:tc>
          <w:tcPr>
            <w:tcW w:w="850"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24%</w:t>
            </w:r>
          </w:p>
        </w:tc>
        <w:tc>
          <w:tcPr>
            <w:tcW w:w="851"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24%</w:t>
            </w:r>
          </w:p>
        </w:tc>
        <w:tc>
          <w:tcPr>
            <w:tcW w:w="850"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23%</w:t>
            </w:r>
          </w:p>
        </w:tc>
        <w:tc>
          <w:tcPr>
            <w:tcW w:w="851"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24%</w:t>
            </w:r>
          </w:p>
        </w:tc>
        <w:tc>
          <w:tcPr>
            <w:tcW w:w="850"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28%</w:t>
            </w:r>
          </w:p>
        </w:tc>
        <w:tc>
          <w:tcPr>
            <w:tcW w:w="851"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25%</w:t>
            </w:r>
          </w:p>
        </w:tc>
      </w:tr>
      <w:tr w:rsidR="00582426" w:rsidRPr="008211FD" w:rsidTr="008211FD">
        <w:tc>
          <w:tcPr>
            <w:tcW w:w="1701"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7B5FC2" w:rsidP="008211FD">
            <w:pPr>
              <w:spacing w:after="0" w:line="240" w:lineRule="auto"/>
              <w:rPr>
                <w:rFonts w:ascii="Times New Roman" w:eastAsia="Times New Roman" w:hAnsi="Times New Roman"/>
                <w:b/>
                <w:bCs/>
                <w:sz w:val="20"/>
                <w:szCs w:val="20"/>
              </w:rPr>
            </w:pPr>
            <w:r w:rsidRPr="00190EF4">
              <w:rPr>
                <w:rFonts w:ascii="Times New Roman" w:eastAsia="Times New Roman" w:hAnsi="Times New Roman"/>
                <w:b/>
                <w:bCs/>
                <w:sz w:val="20"/>
                <w:szCs w:val="20"/>
              </w:rPr>
              <w:t>Bancári</w:t>
            </w:r>
            <w:r w:rsidR="00CD6337" w:rsidRPr="00190EF4">
              <w:rPr>
                <w:rFonts w:ascii="Times New Roman" w:eastAsia="Times New Roman" w:hAnsi="Times New Roman"/>
                <w:b/>
                <w:bCs/>
                <w:sz w:val="20"/>
                <w:szCs w:val="20"/>
              </w:rPr>
              <w:t>as</w:t>
            </w:r>
          </w:p>
        </w:tc>
        <w:tc>
          <w:tcPr>
            <w:tcW w:w="850"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25%</w:t>
            </w:r>
          </w:p>
        </w:tc>
        <w:tc>
          <w:tcPr>
            <w:tcW w:w="851"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25%</w:t>
            </w:r>
          </w:p>
        </w:tc>
        <w:tc>
          <w:tcPr>
            <w:tcW w:w="850"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26%</w:t>
            </w:r>
          </w:p>
        </w:tc>
        <w:tc>
          <w:tcPr>
            <w:tcW w:w="851"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28%</w:t>
            </w:r>
          </w:p>
        </w:tc>
        <w:tc>
          <w:tcPr>
            <w:tcW w:w="850"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20%</w:t>
            </w:r>
          </w:p>
        </w:tc>
        <w:tc>
          <w:tcPr>
            <w:tcW w:w="851"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19%</w:t>
            </w:r>
          </w:p>
        </w:tc>
        <w:tc>
          <w:tcPr>
            <w:tcW w:w="850"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14%</w:t>
            </w:r>
          </w:p>
        </w:tc>
        <w:tc>
          <w:tcPr>
            <w:tcW w:w="851" w:type="dxa"/>
            <w:tcBorders>
              <w:top w:val="single" w:sz="8" w:space="0" w:color="4F81BD"/>
              <w:left w:val="single" w:sz="8" w:space="0" w:color="4F81BD"/>
              <w:bottom w:val="single" w:sz="8" w:space="0" w:color="4F81BD"/>
              <w:right w:val="single" w:sz="8" w:space="0" w:color="4F81BD"/>
            </w:tcBorders>
            <w:shd w:val="clear" w:color="auto" w:fill="D3DFEE"/>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16%</w:t>
            </w:r>
          </w:p>
        </w:tc>
      </w:tr>
      <w:tr w:rsidR="00582426" w:rsidRPr="008211FD" w:rsidTr="008211FD">
        <w:tc>
          <w:tcPr>
            <w:tcW w:w="1701"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rPr>
                <w:rFonts w:ascii="Times New Roman" w:eastAsia="Times New Roman" w:hAnsi="Times New Roman"/>
                <w:b/>
                <w:bCs/>
                <w:sz w:val="20"/>
                <w:szCs w:val="20"/>
              </w:rPr>
            </w:pPr>
            <w:r w:rsidRPr="00190EF4">
              <w:rPr>
                <w:rFonts w:ascii="Times New Roman" w:eastAsia="Times New Roman" w:hAnsi="Times New Roman"/>
                <w:b/>
                <w:bCs/>
                <w:sz w:val="20"/>
                <w:szCs w:val="20"/>
              </w:rPr>
              <w:t>Total</w:t>
            </w:r>
          </w:p>
        </w:tc>
        <w:tc>
          <w:tcPr>
            <w:tcW w:w="850"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100%</w:t>
            </w:r>
          </w:p>
        </w:tc>
        <w:tc>
          <w:tcPr>
            <w:tcW w:w="851"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100%</w:t>
            </w:r>
          </w:p>
        </w:tc>
        <w:tc>
          <w:tcPr>
            <w:tcW w:w="850"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100%</w:t>
            </w:r>
          </w:p>
        </w:tc>
        <w:tc>
          <w:tcPr>
            <w:tcW w:w="851"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100%</w:t>
            </w:r>
          </w:p>
        </w:tc>
        <w:tc>
          <w:tcPr>
            <w:tcW w:w="850"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100%</w:t>
            </w:r>
          </w:p>
        </w:tc>
        <w:tc>
          <w:tcPr>
            <w:tcW w:w="851"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100%</w:t>
            </w:r>
          </w:p>
        </w:tc>
        <w:tc>
          <w:tcPr>
            <w:tcW w:w="850"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100%</w:t>
            </w:r>
          </w:p>
        </w:tc>
        <w:tc>
          <w:tcPr>
            <w:tcW w:w="851" w:type="dxa"/>
            <w:tcBorders>
              <w:top w:val="single" w:sz="8" w:space="0" w:color="4F81BD"/>
              <w:left w:val="single" w:sz="8" w:space="0" w:color="4F81BD"/>
              <w:bottom w:val="single" w:sz="8" w:space="0" w:color="4F81BD"/>
              <w:right w:val="single" w:sz="8" w:space="0" w:color="4F81BD"/>
            </w:tcBorders>
          </w:tcPr>
          <w:p w:rsidR="00582426" w:rsidRPr="00190EF4" w:rsidRDefault="00582426" w:rsidP="008211FD">
            <w:pPr>
              <w:spacing w:after="0" w:line="240" w:lineRule="auto"/>
              <w:jc w:val="center"/>
              <w:rPr>
                <w:rFonts w:ascii="Times New Roman" w:hAnsi="Times New Roman"/>
                <w:sz w:val="20"/>
                <w:szCs w:val="20"/>
              </w:rPr>
            </w:pPr>
            <w:r w:rsidRPr="00190EF4">
              <w:rPr>
                <w:rFonts w:ascii="Times New Roman" w:hAnsi="Times New Roman"/>
                <w:sz w:val="20"/>
                <w:szCs w:val="20"/>
              </w:rPr>
              <w:t>100%</w:t>
            </w:r>
          </w:p>
        </w:tc>
      </w:tr>
    </w:tbl>
    <w:p w:rsidR="00CB3F9D" w:rsidRDefault="00CB3F9D" w:rsidP="0083334A">
      <w:pPr>
        <w:spacing w:line="360" w:lineRule="auto"/>
        <w:jc w:val="both"/>
        <w:rPr>
          <w:rFonts w:ascii="Times New Roman" w:hAnsi="Times New Roman"/>
          <w:sz w:val="24"/>
          <w:szCs w:val="24"/>
        </w:rPr>
      </w:pPr>
      <w:r>
        <w:rPr>
          <w:rFonts w:ascii="Times New Roman" w:hAnsi="Times New Roman"/>
          <w:b/>
          <w:sz w:val="18"/>
          <w:szCs w:val="18"/>
        </w:rPr>
        <w:t>Elaboração própria</w:t>
      </w:r>
      <w:r w:rsidR="0083334A">
        <w:rPr>
          <w:rFonts w:ascii="Times New Roman" w:hAnsi="Times New Roman"/>
          <w:b/>
          <w:sz w:val="18"/>
          <w:szCs w:val="18"/>
        </w:rPr>
        <w:t>.</w:t>
      </w:r>
    </w:p>
    <w:p w:rsidR="00582426" w:rsidRDefault="00582426" w:rsidP="00582426">
      <w:pPr>
        <w:spacing w:line="360" w:lineRule="auto"/>
        <w:ind w:firstLine="708"/>
        <w:jc w:val="both"/>
        <w:rPr>
          <w:rFonts w:ascii="Times New Roman" w:hAnsi="Times New Roman"/>
          <w:sz w:val="24"/>
          <w:szCs w:val="24"/>
        </w:rPr>
      </w:pPr>
      <w:r>
        <w:rPr>
          <w:rFonts w:ascii="Times New Roman" w:hAnsi="Times New Roman"/>
          <w:sz w:val="24"/>
          <w:szCs w:val="24"/>
        </w:rPr>
        <w:t>A prevalência d</w:t>
      </w:r>
      <w:r w:rsidR="00116130">
        <w:rPr>
          <w:rFonts w:ascii="Times New Roman" w:hAnsi="Times New Roman"/>
          <w:sz w:val="24"/>
          <w:szCs w:val="24"/>
        </w:rPr>
        <w:t>e setores de atividade</w:t>
      </w:r>
      <w:r>
        <w:rPr>
          <w:rFonts w:ascii="Times New Roman" w:hAnsi="Times New Roman"/>
          <w:sz w:val="24"/>
          <w:szCs w:val="24"/>
        </w:rPr>
        <w:t xml:space="preserve"> industrial no Conselho pode ser também confirmada se notarmos a </w:t>
      </w:r>
      <w:r w:rsidRPr="00DE23AA">
        <w:rPr>
          <w:rFonts w:ascii="Times New Roman" w:hAnsi="Times New Roman"/>
          <w:i/>
          <w:sz w:val="24"/>
          <w:szCs w:val="24"/>
        </w:rPr>
        <w:t>presença permanente de 12 industriais durante todo o período</w:t>
      </w:r>
      <w:r>
        <w:rPr>
          <w:rFonts w:ascii="Times New Roman" w:hAnsi="Times New Roman"/>
          <w:sz w:val="24"/>
          <w:szCs w:val="24"/>
        </w:rPr>
        <w:t>,</w:t>
      </w:r>
      <w:r>
        <w:rPr>
          <w:rStyle w:val="Refdenotaderodap"/>
          <w:rFonts w:ascii="Times New Roman" w:hAnsi="Times New Roman"/>
          <w:sz w:val="24"/>
          <w:szCs w:val="24"/>
        </w:rPr>
        <w:footnoteReference w:id="215"/>
      </w:r>
      <w:r>
        <w:rPr>
          <w:rFonts w:ascii="Times New Roman" w:hAnsi="Times New Roman"/>
          <w:sz w:val="24"/>
          <w:szCs w:val="24"/>
        </w:rPr>
        <w:t xml:space="preserve"> reconduzidos, ou melhor, renomeados pelo Presidente da República, tão logo as renovações das plenárias ocorriam. Ainda dentre o empresariado, o mesmo se repetiu com 3 integrantes d</w:t>
      </w:r>
      <w:r w:rsidR="00116130">
        <w:rPr>
          <w:rFonts w:ascii="Times New Roman" w:hAnsi="Times New Roman"/>
          <w:sz w:val="24"/>
          <w:szCs w:val="24"/>
        </w:rPr>
        <w:t xml:space="preserve"> e setores de atividade </w:t>
      </w:r>
      <w:r>
        <w:rPr>
          <w:rFonts w:ascii="Times New Roman" w:hAnsi="Times New Roman"/>
          <w:sz w:val="24"/>
          <w:szCs w:val="24"/>
        </w:rPr>
        <w:t>comercial e de serviços e 2 ligados aos bancos. Estes 17 conselheiros-empresários-permanentes representaram 37% da média empresarial e 20% da média de todos os segmentos instaurados no CDES no período. Os segmentos “sindicalistas” e “demais entidades da sociedade civil” contaram com a presença permanente de 5 e 3 conselheiros, respectivamente.</w:t>
      </w:r>
      <w:r>
        <w:rPr>
          <w:rStyle w:val="Refdenotaderodap"/>
          <w:rFonts w:ascii="Times New Roman" w:hAnsi="Times New Roman"/>
          <w:sz w:val="24"/>
          <w:szCs w:val="24"/>
        </w:rPr>
        <w:footnoteReference w:id="216"/>
      </w:r>
      <w:r>
        <w:rPr>
          <w:rFonts w:ascii="Times New Roman" w:hAnsi="Times New Roman"/>
          <w:sz w:val="24"/>
          <w:szCs w:val="24"/>
        </w:rPr>
        <w:t xml:space="preserve"> Ademais, estamos tratando apenas dos empresários que se vinculavam diretamente a alguma atividade empresarial </w:t>
      </w:r>
      <w:r>
        <w:rPr>
          <w:rFonts w:ascii="Times New Roman" w:hAnsi="Times New Roman"/>
          <w:i/>
          <w:sz w:val="24"/>
          <w:szCs w:val="24"/>
        </w:rPr>
        <w:t xml:space="preserve">strictu sensu </w:t>
      </w:r>
      <w:r>
        <w:rPr>
          <w:rFonts w:ascii="Times New Roman" w:hAnsi="Times New Roman"/>
          <w:sz w:val="24"/>
          <w:szCs w:val="24"/>
        </w:rPr>
        <w:t>já que, além deles, havia outros que se credenciavam como lideranças ou organizadores de suas associações, sejam corporativas, setoriais ou societais</w:t>
      </w:r>
      <w:r>
        <w:rPr>
          <w:rStyle w:val="Refdenotaderodap"/>
          <w:rFonts w:ascii="Times New Roman" w:hAnsi="Times New Roman"/>
          <w:sz w:val="24"/>
          <w:szCs w:val="24"/>
        </w:rPr>
        <w:footnoteReference w:id="217"/>
      </w:r>
      <w:r>
        <w:rPr>
          <w:rFonts w:ascii="Times New Roman" w:hAnsi="Times New Roman"/>
          <w:sz w:val="24"/>
          <w:szCs w:val="24"/>
        </w:rPr>
        <w:t xml:space="preserve"> e que a pesquisa não encontrou conexões com o exercício da atividade empresarial propriamente dita </w:t>
      </w:r>
      <w:r w:rsidRPr="00F63F41">
        <w:rPr>
          <w:rFonts w:ascii="Times New Roman" w:hAnsi="Times New Roman"/>
          <w:i/>
          <w:sz w:val="24"/>
          <w:szCs w:val="24"/>
        </w:rPr>
        <w:t>entre os anos 2003 e 2010</w:t>
      </w:r>
      <w:r>
        <w:rPr>
          <w:rFonts w:ascii="Times New Roman" w:hAnsi="Times New Roman"/>
          <w:sz w:val="24"/>
          <w:szCs w:val="24"/>
        </w:rPr>
        <w:t>, sendo praticamente todos também int</w:t>
      </w:r>
      <w:r w:rsidR="00116130">
        <w:rPr>
          <w:rFonts w:ascii="Times New Roman" w:hAnsi="Times New Roman"/>
          <w:sz w:val="24"/>
          <w:szCs w:val="24"/>
        </w:rPr>
        <w:t xml:space="preserve">egrantes e/ou representantes de setores de atividade </w:t>
      </w:r>
      <w:r>
        <w:rPr>
          <w:rFonts w:ascii="Times New Roman" w:hAnsi="Times New Roman"/>
          <w:sz w:val="24"/>
          <w:szCs w:val="24"/>
        </w:rPr>
        <w:t xml:space="preserve">industrial. </w:t>
      </w:r>
    </w:p>
    <w:p w:rsidR="00582426" w:rsidRPr="0050560E" w:rsidRDefault="00582426" w:rsidP="00582426">
      <w:pPr>
        <w:ind w:firstLine="708"/>
        <w:jc w:val="center"/>
        <w:rPr>
          <w:rFonts w:ascii="Times New Roman" w:hAnsi="Times New Roman"/>
          <w:b/>
          <w:sz w:val="24"/>
          <w:szCs w:val="24"/>
        </w:rPr>
      </w:pPr>
      <w:r>
        <w:rPr>
          <w:rFonts w:ascii="Times New Roman" w:hAnsi="Times New Roman"/>
          <w:b/>
          <w:sz w:val="24"/>
          <w:szCs w:val="24"/>
        </w:rPr>
        <w:t>Quadro 2.6</w:t>
      </w:r>
      <w:r w:rsidRPr="0050560E">
        <w:rPr>
          <w:rFonts w:ascii="Times New Roman" w:hAnsi="Times New Roman"/>
          <w:b/>
          <w:sz w:val="24"/>
          <w:szCs w:val="24"/>
        </w:rPr>
        <w:t xml:space="preserve"> - Conselheiros-empresários não vinculados a Grupos/Firmas (2003-2010)</w:t>
      </w:r>
    </w:p>
    <w:tbl>
      <w:tblPr>
        <w:tblW w:w="4891"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671"/>
        <w:gridCol w:w="6414"/>
      </w:tblGrid>
      <w:tr w:rsidR="00582426" w:rsidRPr="008211FD" w:rsidTr="008211FD">
        <w:tc>
          <w:tcPr>
            <w:tcW w:w="1470" w:type="pct"/>
            <w:tcBorders>
              <w:top w:val="single" w:sz="8" w:space="0" w:color="4F81BD"/>
              <w:left w:val="single" w:sz="8" w:space="0" w:color="4F81BD"/>
              <w:bottom w:val="single" w:sz="18" w:space="0" w:color="4F81BD"/>
              <w:right w:val="single" w:sz="8" w:space="0" w:color="4F81BD"/>
            </w:tcBorders>
          </w:tcPr>
          <w:p w:rsidR="00582426" w:rsidRPr="008211FD" w:rsidRDefault="00582426"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Conselheiros-Empresários</w:t>
            </w:r>
          </w:p>
        </w:tc>
        <w:tc>
          <w:tcPr>
            <w:tcW w:w="3530" w:type="pct"/>
            <w:tcBorders>
              <w:top w:val="single" w:sz="8" w:space="0" w:color="4F81BD"/>
              <w:left w:val="single" w:sz="8" w:space="0" w:color="4F81BD"/>
              <w:bottom w:val="single" w:sz="18" w:space="0" w:color="4F81BD"/>
              <w:right w:val="single" w:sz="8" w:space="0" w:color="4F81BD"/>
            </w:tcBorders>
          </w:tcPr>
          <w:p w:rsidR="00582426" w:rsidRPr="008211FD" w:rsidRDefault="00582426" w:rsidP="008211FD">
            <w:pPr>
              <w:pStyle w:val="DecimalAligned"/>
              <w:tabs>
                <w:tab w:val="clear" w:pos="360"/>
              </w:tabs>
              <w:spacing w:after="0" w:line="240" w:lineRule="auto"/>
              <w:rPr>
                <w:rFonts w:ascii="Times New Roman" w:hAnsi="Times New Roman"/>
                <w:b/>
                <w:bCs/>
                <w:sz w:val="20"/>
                <w:szCs w:val="20"/>
              </w:rPr>
            </w:pPr>
            <w:r w:rsidRPr="008211FD">
              <w:rPr>
                <w:rFonts w:ascii="Times New Roman" w:hAnsi="Times New Roman"/>
                <w:b/>
                <w:bCs/>
                <w:sz w:val="20"/>
                <w:szCs w:val="20"/>
              </w:rPr>
              <w:t>Associações da Sociedade Civil</w:t>
            </w:r>
          </w:p>
        </w:tc>
      </w:tr>
      <w:tr w:rsidR="00582426" w:rsidRPr="008211FD" w:rsidTr="008211FD">
        <w:tc>
          <w:tcPr>
            <w:tcW w:w="147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b/>
                <w:bCs/>
                <w:sz w:val="20"/>
                <w:szCs w:val="20"/>
              </w:rPr>
            </w:pPr>
            <w:r w:rsidRPr="008211FD">
              <w:rPr>
                <w:rFonts w:ascii="Times New Roman" w:eastAsia="Times New Roman" w:hAnsi="Times New Roman"/>
                <w:b/>
                <w:bCs/>
                <w:color w:val="000000"/>
                <w:sz w:val="20"/>
                <w:szCs w:val="20"/>
              </w:rPr>
              <w:t xml:space="preserve">Alceu Nieckarz </w:t>
            </w:r>
          </w:p>
        </w:tc>
        <w:tc>
          <w:tcPr>
            <w:tcW w:w="353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both"/>
              <w:rPr>
                <w:rFonts w:ascii="Times New Roman" w:eastAsia="Times New Roman" w:hAnsi="Times New Roman"/>
                <w:sz w:val="20"/>
                <w:szCs w:val="20"/>
              </w:rPr>
            </w:pPr>
            <w:r w:rsidRPr="008211FD">
              <w:rPr>
                <w:rFonts w:ascii="Times New Roman" w:eastAsia="Times New Roman" w:hAnsi="Times New Roman"/>
                <w:color w:val="000000"/>
                <w:sz w:val="20"/>
                <w:szCs w:val="20"/>
              </w:rPr>
              <w:t>Associação Universal de Empresários Cristãos</w:t>
            </w:r>
            <w:r w:rsidRPr="008211FD">
              <w:rPr>
                <w:rStyle w:val="Refdenotaderodap"/>
                <w:rFonts w:ascii="Times New Roman" w:eastAsia="Times New Roman" w:hAnsi="Times New Roman"/>
                <w:color w:val="000000"/>
                <w:sz w:val="20"/>
                <w:szCs w:val="20"/>
              </w:rPr>
              <w:footnoteReference w:id="218"/>
            </w:r>
          </w:p>
        </w:tc>
      </w:tr>
      <w:tr w:rsidR="00DB0016" w:rsidRPr="008211FD" w:rsidTr="008211FD">
        <w:tc>
          <w:tcPr>
            <w:tcW w:w="1470" w:type="pct"/>
            <w:tcBorders>
              <w:top w:val="single" w:sz="8" w:space="0" w:color="4F81BD"/>
              <w:left w:val="single" w:sz="8" w:space="0" w:color="4F81BD"/>
              <w:bottom w:val="single" w:sz="8" w:space="0" w:color="4F81BD"/>
              <w:right w:val="single" w:sz="8" w:space="0" w:color="4F81BD"/>
            </w:tcBorders>
            <w:shd w:val="clear" w:color="auto" w:fill="D3DFEE"/>
          </w:tcPr>
          <w:p w:rsidR="00DB0016" w:rsidRPr="008211FD" w:rsidRDefault="00DB0016" w:rsidP="008211FD">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Omilton Visconde Júnior</w:t>
            </w:r>
          </w:p>
        </w:tc>
        <w:tc>
          <w:tcPr>
            <w:tcW w:w="3530" w:type="pct"/>
            <w:tcBorders>
              <w:top w:val="single" w:sz="8" w:space="0" w:color="4F81BD"/>
              <w:left w:val="single" w:sz="8" w:space="0" w:color="4F81BD"/>
              <w:bottom w:val="single" w:sz="8" w:space="0" w:color="4F81BD"/>
              <w:right w:val="single" w:sz="8" w:space="0" w:color="4F81BD"/>
            </w:tcBorders>
            <w:shd w:val="clear" w:color="auto" w:fill="D3DFEE"/>
          </w:tcPr>
          <w:p w:rsidR="00DB0016" w:rsidRPr="008211FD" w:rsidRDefault="00DB0016" w:rsidP="008211FD">
            <w:pP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Presidente da FEBRAFARMA.</w:t>
            </w:r>
          </w:p>
        </w:tc>
      </w:tr>
      <w:tr w:rsidR="00582426" w:rsidRPr="008211FD" w:rsidTr="008211FD">
        <w:tc>
          <w:tcPr>
            <w:tcW w:w="147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José Augusto Marques</w:t>
            </w:r>
          </w:p>
        </w:tc>
        <w:tc>
          <w:tcPr>
            <w:tcW w:w="353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DecimalAligned"/>
              <w:tabs>
                <w:tab w:val="clear" w:pos="360"/>
                <w:tab w:val="left" w:pos="1361"/>
              </w:tabs>
              <w:spacing w:after="0" w:line="240" w:lineRule="auto"/>
              <w:rPr>
                <w:rFonts w:ascii="Times New Roman" w:hAnsi="Times New Roman"/>
                <w:sz w:val="20"/>
                <w:szCs w:val="20"/>
              </w:rPr>
            </w:pPr>
            <w:r w:rsidRPr="008211FD">
              <w:rPr>
                <w:rFonts w:ascii="Times New Roman" w:hAnsi="Times New Roman"/>
                <w:sz w:val="20"/>
                <w:szCs w:val="20"/>
              </w:rPr>
              <w:t>ABDIB e ABINEE</w:t>
            </w:r>
          </w:p>
        </w:tc>
      </w:tr>
      <w:tr w:rsidR="00582426" w:rsidRPr="008211FD" w:rsidTr="008211FD">
        <w:tc>
          <w:tcPr>
            <w:tcW w:w="147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Joseph Couri</w:t>
            </w:r>
          </w:p>
        </w:tc>
        <w:tc>
          <w:tcPr>
            <w:tcW w:w="353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DecimalAligned"/>
              <w:tabs>
                <w:tab w:val="clear" w:pos="360"/>
              </w:tabs>
              <w:spacing w:after="0" w:line="240" w:lineRule="auto"/>
              <w:rPr>
                <w:rFonts w:ascii="Times New Roman" w:hAnsi="Times New Roman"/>
                <w:sz w:val="20"/>
                <w:szCs w:val="20"/>
              </w:rPr>
            </w:pPr>
            <w:r w:rsidRPr="008211FD">
              <w:rPr>
                <w:rFonts w:ascii="Times New Roman" w:hAnsi="Times New Roman"/>
                <w:color w:val="000000"/>
                <w:sz w:val="20"/>
                <w:szCs w:val="20"/>
              </w:rPr>
              <w:t>ASSIMPI, Ação Empresarial; Fórum da Cidade de São Paulo; Fórum da Cidadania; Fundador do PNBE; CIESP; Simefre; Abifa,</w:t>
            </w:r>
          </w:p>
        </w:tc>
      </w:tr>
      <w:tr w:rsidR="00582426" w:rsidRPr="008211FD" w:rsidTr="008211FD">
        <w:trPr>
          <w:trHeight w:val="46"/>
        </w:trPr>
        <w:tc>
          <w:tcPr>
            <w:tcW w:w="147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jc w:val="both"/>
              <w:rPr>
                <w:b/>
                <w:bCs/>
                <w:sz w:val="20"/>
                <w:szCs w:val="20"/>
              </w:rPr>
            </w:pPr>
            <w:r w:rsidRPr="008211FD">
              <w:rPr>
                <w:b/>
                <w:bCs/>
                <w:sz w:val="20"/>
                <w:szCs w:val="20"/>
              </w:rPr>
              <w:t>Paulo Skaf</w:t>
            </w:r>
          </w:p>
        </w:tc>
        <w:tc>
          <w:tcPr>
            <w:tcW w:w="3530" w:type="pct"/>
            <w:tcBorders>
              <w:top w:val="single" w:sz="8" w:space="0" w:color="4F81BD"/>
              <w:left w:val="single" w:sz="8" w:space="0" w:color="4F81BD"/>
              <w:bottom w:val="single" w:sz="8" w:space="0" w:color="4F81BD"/>
              <w:right w:val="single" w:sz="8" w:space="0" w:color="4F81BD"/>
            </w:tcBorders>
          </w:tcPr>
          <w:p w:rsidR="00582426" w:rsidRPr="008211FD" w:rsidRDefault="000834BC" w:rsidP="008211FD">
            <w:pPr>
              <w:spacing w:after="0" w:line="240" w:lineRule="auto"/>
              <w:rPr>
                <w:rFonts w:ascii="Times New Roman" w:hAnsi="Times New Roman"/>
                <w:sz w:val="20"/>
                <w:szCs w:val="20"/>
              </w:rPr>
            </w:pPr>
            <w:r>
              <w:rPr>
                <w:rFonts w:ascii="Times New Roman" w:hAnsi="Times New Roman"/>
                <w:sz w:val="20"/>
                <w:szCs w:val="20"/>
              </w:rPr>
              <w:t>FIESP</w:t>
            </w:r>
            <w:r w:rsidR="00582426" w:rsidRPr="008211FD">
              <w:rPr>
                <w:rFonts w:ascii="Times New Roman" w:hAnsi="Times New Roman"/>
                <w:sz w:val="20"/>
                <w:szCs w:val="20"/>
              </w:rPr>
              <w:t>, CIESP, CNI, SINDITEXTIL, PROTEC.</w:t>
            </w:r>
          </w:p>
        </w:tc>
      </w:tr>
      <w:tr w:rsidR="00582426" w:rsidRPr="008211FD" w:rsidTr="008211FD">
        <w:tc>
          <w:tcPr>
            <w:tcW w:w="147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Ricardo dos S. Carvalho</w:t>
            </w:r>
          </w:p>
        </w:tc>
        <w:tc>
          <w:tcPr>
            <w:tcW w:w="353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DecimalAligned"/>
              <w:tabs>
                <w:tab w:val="clear" w:pos="360"/>
              </w:tabs>
              <w:spacing w:after="0" w:line="240" w:lineRule="auto"/>
              <w:rPr>
                <w:rFonts w:ascii="Times New Roman" w:hAnsi="Times New Roman"/>
                <w:sz w:val="20"/>
                <w:szCs w:val="20"/>
              </w:rPr>
            </w:pPr>
            <w:r w:rsidRPr="008211FD">
              <w:rPr>
                <w:rFonts w:ascii="Times New Roman" w:hAnsi="Times New Roman"/>
                <w:sz w:val="20"/>
                <w:szCs w:val="20"/>
              </w:rPr>
              <w:t>Associação Nacional de Veículos Automotores (ANFAVEA)</w:t>
            </w:r>
          </w:p>
        </w:tc>
      </w:tr>
      <w:tr w:rsidR="00582426" w:rsidRPr="008211FD" w:rsidTr="008211FD">
        <w:tc>
          <w:tcPr>
            <w:tcW w:w="147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jc w:val="both"/>
              <w:rPr>
                <w:b/>
                <w:bCs/>
                <w:sz w:val="20"/>
                <w:szCs w:val="20"/>
              </w:rPr>
            </w:pPr>
            <w:r w:rsidRPr="008211FD">
              <w:rPr>
                <w:b/>
                <w:bCs/>
                <w:sz w:val="20"/>
                <w:szCs w:val="20"/>
              </w:rPr>
              <w:t>Gisela Gorovitz</w:t>
            </w:r>
          </w:p>
        </w:tc>
        <w:tc>
          <w:tcPr>
            <w:tcW w:w="353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rPr>
                <w:sz w:val="20"/>
                <w:szCs w:val="20"/>
              </w:rPr>
            </w:pPr>
            <w:r w:rsidRPr="008211FD">
              <w:rPr>
                <w:sz w:val="20"/>
                <w:szCs w:val="20"/>
              </w:rPr>
              <w:t>Associação Brasileira de Empresários pela Cidadania (Cives)</w:t>
            </w:r>
          </w:p>
        </w:tc>
      </w:tr>
      <w:tr w:rsidR="00582426" w:rsidRPr="008211FD" w:rsidTr="008211FD">
        <w:tc>
          <w:tcPr>
            <w:tcW w:w="147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NormalWeb"/>
              <w:spacing w:before="0" w:beforeAutospacing="0" w:after="0" w:afterAutospacing="0"/>
              <w:jc w:val="both"/>
              <w:rPr>
                <w:b/>
                <w:bCs/>
                <w:sz w:val="20"/>
                <w:szCs w:val="20"/>
              </w:rPr>
            </w:pPr>
            <w:r w:rsidRPr="008211FD">
              <w:rPr>
                <w:b/>
                <w:bCs/>
                <w:sz w:val="20"/>
                <w:szCs w:val="20"/>
              </w:rPr>
              <w:t>João Bosco Borba</w:t>
            </w:r>
          </w:p>
        </w:tc>
        <w:tc>
          <w:tcPr>
            <w:tcW w:w="353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DecimalAligned"/>
              <w:tabs>
                <w:tab w:val="clear" w:pos="360"/>
              </w:tabs>
              <w:spacing w:after="0" w:line="240" w:lineRule="auto"/>
              <w:rPr>
                <w:rFonts w:ascii="Times New Roman" w:hAnsi="Times New Roman"/>
                <w:sz w:val="20"/>
                <w:szCs w:val="20"/>
              </w:rPr>
            </w:pPr>
            <w:r w:rsidRPr="008211FD">
              <w:rPr>
                <w:rFonts w:ascii="Times New Roman" w:hAnsi="Times New Roman"/>
                <w:sz w:val="20"/>
                <w:szCs w:val="20"/>
              </w:rPr>
              <w:t>Associação Nacional de Empresários e Empreendedores Afro-Brasileiro</w:t>
            </w:r>
          </w:p>
        </w:tc>
      </w:tr>
      <w:tr w:rsidR="00582426" w:rsidRPr="008211FD" w:rsidTr="008211FD">
        <w:tc>
          <w:tcPr>
            <w:tcW w:w="147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jc w:val="both"/>
              <w:rPr>
                <w:b/>
                <w:bCs/>
                <w:sz w:val="20"/>
                <w:szCs w:val="20"/>
              </w:rPr>
            </w:pPr>
            <w:r w:rsidRPr="008211FD">
              <w:rPr>
                <w:b/>
                <w:bCs/>
                <w:sz w:val="20"/>
                <w:szCs w:val="20"/>
              </w:rPr>
              <w:t>Marcos Jank</w:t>
            </w:r>
          </w:p>
        </w:tc>
        <w:tc>
          <w:tcPr>
            <w:tcW w:w="353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rPr>
                <w:rFonts w:ascii="Times New Roman" w:hAnsi="Times New Roman"/>
                <w:sz w:val="20"/>
                <w:szCs w:val="20"/>
              </w:rPr>
            </w:pPr>
            <w:r w:rsidRPr="008211FD">
              <w:rPr>
                <w:rFonts w:ascii="Times New Roman" w:hAnsi="Times New Roman"/>
                <w:sz w:val="20"/>
                <w:szCs w:val="20"/>
              </w:rPr>
              <w:t>União das Indústrias de Cana-de-Açúcar (ÚNICA)</w:t>
            </w:r>
          </w:p>
        </w:tc>
      </w:tr>
      <w:tr w:rsidR="00582426" w:rsidRPr="008211FD" w:rsidTr="008211FD">
        <w:tc>
          <w:tcPr>
            <w:tcW w:w="147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NormalWeb"/>
              <w:spacing w:before="0" w:beforeAutospacing="0" w:after="0" w:afterAutospacing="0"/>
              <w:jc w:val="both"/>
              <w:rPr>
                <w:b/>
                <w:bCs/>
                <w:sz w:val="20"/>
                <w:szCs w:val="20"/>
              </w:rPr>
            </w:pPr>
            <w:r w:rsidRPr="008211FD">
              <w:rPr>
                <w:b/>
                <w:bCs/>
                <w:sz w:val="20"/>
                <w:szCs w:val="20"/>
              </w:rPr>
              <w:t>Cláudio Elias Conz</w:t>
            </w:r>
          </w:p>
        </w:tc>
        <w:tc>
          <w:tcPr>
            <w:tcW w:w="353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hAnsi="Times New Roman"/>
                <w:sz w:val="20"/>
                <w:szCs w:val="20"/>
              </w:rPr>
            </w:pPr>
            <w:r w:rsidRPr="008211FD">
              <w:rPr>
                <w:rFonts w:ascii="Times New Roman" w:hAnsi="Times New Roman"/>
                <w:sz w:val="20"/>
                <w:szCs w:val="20"/>
              </w:rPr>
              <w:t>Associação Nacional de Comerciantes de Materiais de Construção (ANAMACO)</w:t>
            </w:r>
          </w:p>
        </w:tc>
      </w:tr>
      <w:tr w:rsidR="004056D4" w:rsidRPr="008211FD" w:rsidTr="008211FD">
        <w:tc>
          <w:tcPr>
            <w:tcW w:w="1470" w:type="pct"/>
            <w:tcBorders>
              <w:top w:val="single" w:sz="8" w:space="0" w:color="4F81BD"/>
              <w:left w:val="single" w:sz="8" w:space="0" w:color="4F81BD"/>
              <w:bottom w:val="single" w:sz="8" w:space="0" w:color="4F81BD"/>
              <w:right w:val="single" w:sz="8" w:space="0" w:color="4F81BD"/>
            </w:tcBorders>
          </w:tcPr>
          <w:p w:rsidR="004056D4" w:rsidRPr="008211FD" w:rsidRDefault="004056D4" w:rsidP="008211FD">
            <w:pPr>
              <w:spacing w:after="0" w:line="240" w:lineRule="auto"/>
              <w:jc w:val="both"/>
              <w:rPr>
                <w:rFonts w:ascii="Times New Roman" w:eastAsia="Times New Roman" w:hAnsi="Times New Roman"/>
                <w:b/>
                <w:bCs/>
                <w:sz w:val="20"/>
                <w:szCs w:val="20"/>
              </w:rPr>
            </w:pPr>
            <w:r w:rsidRPr="008211FD">
              <w:rPr>
                <w:rFonts w:ascii="Times New Roman" w:eastAsia="Times New Roman" w:hAnsi="Times New Roman"/>
                <w:b/>
                <w:bCs/>
                <w:sz w:val="20"/>
                <w:szCs w:val="20"/>
              </w:rPr>
              <w:t>João Paulo dos Reis Velloso</w:t>
            </w:r>
          </w:p>
        </w:tc>
        <w:tc>
          <w:tcPr>
            <w:tcW w:w="3530" w:type="pct"/>
            <w:tcBorders>
              <w:top w:val="single" w:sz="8" w:space="0" w:color="4F81BD"/>
              <w:left w:val="single" w:sz="8" w:space="0" w:color="4F81BD"/>
              <w:bottom w:val="single" w:sz="8" w:space="0" w:color="4F81BD"/>
              <w:right w:val="single" w:sz="8" w:space="0" w:color="4F81BD"/>
            </w:tcBorders>
          </w:tcPr>
          <w:p w:rsidR="004056D4" w:rsidRPr="008211FD" w:rsidRDefault="004056D4" w:rsidP="008211FD">
            <w:pPr>
              <w:spacing w:after="0" w:line="240" w:lineRule="auto"/>
              <w:jc w:val="both"/>
              <w:rPr>
                <w:rFonts w:ascii="Times New Roman" w:eastAsia="Times New Roman" w:hAnsi="Times New Roman"/>
                <w:sz w:val="20"/>
                <w:szCs w:val="20"/>
              </w:rPr>
            </w:pPr>
            <w:r w:rsidRPr="008211FD">
              <w:rPr>
                <w:rFonts w:ascii="Times New Roman" w:eastAsia="Times New Roman" w:hAnsi="Times New Roman"/>
                <w:sz w:val="20"/>
                <w:szCs w:val="20"/>
              </w:rPr>
              <w:t>Instituto Nacional de Altos Estudos / Fórum Nacional</w:t>
            </w:r>
          </w:p>
        </w:tc>
      </w:tr>
      <w:tr w:rsidR="004056D4" w:rsidRPr="008211FD" w:rsidTr="008211FD">
        <w:tc>
          <w:tcPr>
            <w:tcW w:w="1470" w:type="pct"/>
            <w:tcBorders>
              <w:top w:val="single" w:sz="8" w:space="0" w:color="4F81BD"/>
              <w:left w:val="single" w:sz="8" w:space="0" w:color="4F81BD"/>
              <w:bottom w:val="single" w:sz="8" w:space="0" w:color="4F81BD"/>
              <w:right w:val="single" w:sz="8" w:space="0" w:color="4F81BD"/>
            </w:tcBorders>
            <w:shd w:val="clear" w:color="auto" w:fill="D3DFEE"/>
          </w:tcPr>
          <w:p w:rsidR="004056D4" w:rsidRPr="008211FD" w:rsidRDefault="004056D4"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Viviane Senna</w:t>
            </w:r>
            <w:r w:rsidRPr="008211FD">
              <w:rPr>
                <w:rStyle w:val="Refdenotaderodap"/>
                <w:rFonts w:ascii="Times New Roman" w:eastAsia="Times New Roman" w:hAnsi="Times New Roman"/>
                <w:b/>
                <w:bCs/>
                <w:sz w:val="20"/>
                <w:szCs w:val="20"/>
              </w:rPr>
              <w:footnoteReference w:id="219"/>
            </w:r>
          </w:p>
        </w:tc>
        <w:tc>
          <w:tcPr>
            <w:tcW w:w="3530" w:type="pct"/>
            <w:tcBorders>
              <w:top w:val="single" w:sz="8" w:space="0" w:color="4F81BD"/>
              <w:left w:val="single" w:sz="8" w:space="0" w:color="4F81BD"/>
              <w:bottom w:val="single" w:sz="8" w:space="0" w:color="4F81BD"/>
              <w:right w:val="single" w:sz="8" w:space="0" w:color="4F81BD"/>
            </w:tcBorders>
            <w:shd w:val="clear" w:color="auto" w:fill="D3DFEE"/>
          </w:tcPr>
          <w:p w:rsidR="004056D4" w:rsidRPr="008211FD" w:rsidRDefault="004056D4" w:rsidP="008211FD">
            <w:pPr>
              <w:pStyle w:val="Commarcadores"/>
              <w:tabs>
                <w:tab w:val="clear" w:pos="360"/>
              </w:tabs>
              <w:ind w:left="0" w:firstLine="0"/>
              <w:rPr>
                <w:sz w:val="20"/>
                <w:szCs w:val="20"/>
              </w:rPr>
            </w:pPr>
            <w:r w:rsidRPr="008211FD">
              <w:rPr>
                <w:sz w:val="20"/>
                <w:szCs w:val="20"/>
              </w:rPr>
              <w:t xml:space="preserve">Conselhos de Administração: </w:t>
            </w:r>
            <w:r w:rsidR="000834BC">
              <w:rPr>
                <w:sz w:val="20"/>
                <w:szCs w:val="20"/>
              </w:rPr>
              <w:t>FIESP</w:t>
            </w:r>
            <w:r w:rsidRPr="008211FD">
              <w:rPr>
                <w:sz w:val="20"/>
                <w:szCs w:val="20"/>
              </w:rPr>
              <w:t>, CNI, Febraban, Coca-Cola, Citibank, Itaú, Unibanco, Santander, Todos pela Educação, Presidente do Instituto Ayrton Senna.</w:t>
            </w:r>
          </w:p>
        </w:tc>
      </w:tr>
    </w:tbl>
    <w:p w:rsidR="00582426" w:rsidRDefault="00CB3F9D" w:rsidP="00CB3F9D">
      <w:pPr>
        <w:spacing w:line="360" w:lineRule="auto"/>
        <w:jc w:val="both"/>
        <w:rPr>
          <w:rFonts w:ascii="Times New Roman" w:hAnsi="Times New Roman"/>
          <w:sz w:val="24"/>
          <w:szCs w:val="24"/>
        </w:rPr>
      </w:pPr>
      <w:r>
        <w:rPr>
          <w:rFonts w:ascii="Times New Roman" w:hAnsi="Times New Roman"/>
          <w:b/>
          <w:sz w:val="18"/>
          <w:szCs w:val="18"/>
        </w:rPr>
        <w:t>Elaboração própria</w:t>
      </w:r>
      <w:r w:rsidR="006D30AB">
        <w:rPr>
          <w:rFonts w:ascii="Times New Roman" w:hAnsi="Times New Roman"/>
          <w:b/>
          <w:sz w:val="18"/>
          <w:szCs w:val="18"/>
        </w:rPr>
        <w:t xml:space="preserve">. Fonte: </w:t>
      </w:r>
      <w:r w:rsidR="006D30AB" w:rsidRPr="00A6063D">
        <w:rPr>
          <w:rFonts w:ascii="Times New Roman" w:hAnsi="Times New Roman"/>
          <w:sz w:val="18"/>
          <w:szCs w:val="18"/>
        </w:rPr>
        <w:t>site do CDES (</w:t>
      </w:r>
      <w:hyperlink r:id="rId17" w:history="1">
        <w:r w:rsidR="006D30AB" w:rsidRPr="006D30AB">
          <w:rPr>
            <w:rStyle w:val="Hyperlink"/>
            <w:rFonts w:ascii="Times New Roman" w:hAnsi="Times New Roman"/>
            <w:color w:val="auto"/>
            <w:sz w:val="18"/>
            <w:szCs w:val="18"/>
            <w:u w:val="none"/>
          </w:rPr>
          <w:t>www.cdes.gov.br</w:t>
        </w:r>
      </w:hyperlink>
      <w:r w:rsidR="006D30AB" w:rsidRPr="006D30AB">
        <w:rPr>
          <w:rFonts w:ascii="Times New Roman" w:hAnsi="Times New Roman"/>
          <w:sz w:val="18"/>
          <w:szCs w:val="18"/>
        </w:rPr>
        <w:t>)</w:t>
      </w:r>
      <w:r w:rsidR="006D30AB">
        <w:rPr>
          <w:rFonts w:ascii="Times New Roman" w:hAnsi="Times New Roman"/>
          <w:sz w:val="18"/>
          <w:szCs w:val="18"/>
        </w:rPr>
        <w:t xml:space="preserve"> e pesquisas na internet.</w:t>
      </w:r>
    </w:p>
    <w:p w:rsidR="00084B4B" w:rsidRDefault="00582426" w:rsidP="00582426">
      <w:pPr>
        <w:spacing w:after="0" w:line="360" w:lineRule="auto"/>
        <w:ind w:firstLine="708"/>
        <w:jc w:val="both"/>
        <w:rPr>
          <w:rFonts w:ascii="Times New Roman" w:hAnsi="Times New Roman"/>
          <w:sz w:val="24"/>
          <w:szCs w:val="24"/>
        </w:rPr>
      </w:pPr>
      <w:r>
        <w:rPr>
          <w:rFonts w:ascii="Times New Roman" w:hAnsi="Times New Roman"/>
          <w:sz w:val="24"/>
          <w:szCs w:val="24"/>
        </w:rPr>
        <w:t xml:space="preserve">Por outro lado, a pesquisa não encontrou vínculo aparente ou orgânico de alguns conselheiros-empresários com entidades da sociedade civil empresarial ou mesmo de cunho propriamente mercantil-filantrópico </w:t>
      </w:r>
      <w:r>
        <w:rPr>
          <w:rFonts w:ascii="Times New Roman" w:hAnsi="Times New Roman"/>
          <w:i/>
          <w:sz w:val="24"/>
          <w:szCs w:val="24"/>
        </w:rPr>
        <w:t>nem no momento de suas passagens no CDES nem no período tratado pela pesquisa</w:t>
      </w:r>
      <w:r>
        <w:rPr>
          <w:rFonts w:ascii="Times New Roman" w:hAnsi="Times New Roman"/>
          <w:sz w:val="24"/>
          <w:szCs w:val="24"/>
        </w:rPr>
        <w:t>. Foram sete os empresários que não se credenciavam como “representantes da sociedade civil” no CDES: Alain Belda (Alcoa), Pedro Jereissati (Grupo Jereissati, Telemar, Iguatemi Shopping), Mauricio Botelho (Embraer), Murilo de Aragão (Arko Advice Pesquisas), Nelson Silveira (Grupo Enguia Power), Renato Conill (Grupo Süd Metal) e Walter Torre Jr. (Grupo WTorre Engenharia).</w:t>
      </w:r>
    </w:p>
    <w:p w:rsidR="00582426" w:rsidRDefault="00116130" w:rsidP="00582426">
      <w:pPr>
        <w:spacing w:after="0" w:line="360" w:lineRule="auto"/>
        <w:ind w:firstLine="708"/>
        <w:jc w:val="both"/>
        <w:rPr>
          <w:rFonts w:ascii="Times New Roman" w:hAnsi="Times New Roman"/>
          <w:sz w:val="24"/>
          <w:szCs w:val="24"/>
        </w:rPr>
      </w:pPr>
      <w:r>
        <w:rPr>
          <w:rFonts w:ascii="Times New Roman" w:hAnsi="Times New Roman"/>
          <w:sz w:val="24"/>
          <w:szCs w:val="24"/>
        </w:rPr>
        <w:t>Is</w:t>
      </w:r>
      <w:r w:rsidR="00084B4B">
        <w:rPr>
          <w:rFonts w:ascii="Times New Roman" w:hAnsi="Times New Roman"/>
          <w:sz w:val="24"/>
          <w:szCs w:val="24"/>
        </w:rPr>
        <w:t>s</w:t>
      </w:r>
      <w:r>
        <w:rPr>
          <w:rFonts w:ascii="Times New Roman" w:hAnsi="Times New Roman"/>
          <w:sz w:val="24"/>
          <w:szCs w:val="24"/>
        </w:rPr>
        <w:t xml:space="preserve">o significava que o CDES abrigava </w:t>
      </w:r>
      <w:r w:rsidR="00084B4B">
        <w:rPr>
          <w:rFonts w:ascii="Times New Roman" w:hAnsi="Times New Roman"/>
          <w:sz w:val="24"/>
          <w:szCs w:val="24"/>
        </w:rPr>
        <w:t xml:space="preserve">não apenas destacados </w:t>
      </w:r>
      <w:r>
        <w:rPr>
          <w:rFonts w:ascii="Times New Roman" w:hAnsi="Times New Roman"/>
          <w:sz w:val="24"/>
          <w:szCs w:val="24"/>
        </w:rPr>
        <w:t xml:space="preserve">empresários “líderes da sociedade civil” (i.e., intelectuais orgânicos dos aparelhos privados de hegemonia empresariais), mas também requeria aproximação de alguns considerados importantes </w:t>
      </w:r>
      <w:r w:rsidR="00084B4B">
        <w:rPr>
          <w:rFonts w:ascii="Times New Roman" w:hAnsi="Times New Roman"/>
          <w:sz w:val="24"/>
          <w:szCs w:val="24"/>
        </w:rPr>
        <w:t xml:space="preserve">tanto </w:t>
      </w:r>
      <w:r>
        <w:rPr>
          <w:rFonts w:ascii="Times New Roman" w:hAnsi="Times New Roman"/>
          <w:sz w:val="24"/>
          <w:szCs w:val="24"/>
        </w:rPr>
        <w:t>pelo destaque econômico que seus grupos econômicos carreavam na definição da estratégica d</w:t>
      </w:r>
      <w:r w:rsidR="00084B4B">
        <w:rPr>
          <w:rFonts w:ascii="Times New Roman" w:hAnsi="Times New Roman"/>
          <w:sz w:val="24"/>
          <w:szCs w:val="24"/>
        </w:rPr>
        <w:t>o modelo de</w:t>
      </w:r>
      <w:r>
        <w:rPr>
          <w:rFonts w:ascii="Times New Roman" w:hAnsi="Times New Roman"/>
          <w:sz w:val="24"/>
          <w:szCs w:val="24"/>
        </w:rPr>
        <w:t xml:space="preserve"> crescimento </w:t>
      </w:r>
      <w:r w:rsidR="00084B4B">
        <w:rPr>
          <w:rFonts w:ascii="Times New Roman" w:hAnsi="Times New Roman"/>
          <w:sz w:val="24"/>
          <w:szCs w:val="24"/>
        </w:rPr>
        <w:t xml:space="preserve">adotado, quanto pela disposição de </w:t>
      </w:r>
      <w:r>
        <w:rPr>
          <w:rFonts w:ascii="Times New Roman" w:hAnsi="Times New Roman"/>
          <w:sz w:val="24"/>
          <w:szCs w:val="24"/>
        </w:rPr>
        <w:t>participar da “concertação” com os demais segmentos nele representados.</w:t>
      </w:r>
    </w:p>
    <w:p w:rsidR="00582426" w:rsidRDefault="00582426" w:rsidP="00582426">
      <w:pPr>
        <w:spacing w:before="240" w:after="0" w:line="360" w:lineRule="auto"/>
        <w:ind w:firstLine="708"/>
        <w:jc w:val="both"/>
        <w:rPr>
          <w:rFonts w:ascii="Times New Roman" w:hAnsi="Times New Roman"/>
          <w:b/>
          <w:sz w:val="24"/>
          <w:szCs w:val="24"/>
        </w:rPr>
      </w:pPr>
      <w:r>
        <w:rPr>
          <w:rFonts w:ascii="Times New Roman" w:hAnsi="Times New Roman"/>
          <w:b/>
          <w:sz w:val="24"/>
          <w:szCs w:val="24"/>
        </w:rPr>
        <w:t>2.3.</w:t>
      </w:r>
      <w:r w:rsidR="00302757">
        <w:rPr>
          <w:rFonts w:ascii="Times New Roman" w:hAnsi="Times New Roman"/>
          <w:b/>
          <w:sz w:val="24"/>
          <w:szCs w:val="24"/>
        </w:rPr>
        <w:t>3</w:t>
      </w:r>
      <w:r>
        <w:rPr>
          <w:rFonts w:ascii="Times New Roman" w:hAnsi="Times New Roman"/>
          <w:b/>
          <w:sz w:val="24"/>
          <w:szCs w:val="24"/>
        </w:rPr>
        <w:t xml:space="preserve"> - Setores da fração industrial </w:t>
      </w:r>
      <w:r w:rsidR="00302757">
        <w:rPr>
          <w:rFonts w:ascii="Times New Roman" w:hAnsi="Times New Roman"/>
          <w:b/>
          <w:sz w:val="24"/>
          <w:szCs w:val="24"/>
        </w:rPr>
        <w:t xml:space="preserve">(produtora de valor) </w:t>
      </w:r>
    </w:p>
    <w:p w:rsidR="003B572B" w:rsidRPr="000C7CF7" w:rsidRDefault="00457CF5" w:rsidP="00965085">
      <w:pPr>
        <w:spacing w:before="240" w:after="0" w:line="360" w:lineRule="auto"/>
        <w:jc w:val="both"/>
        <w:rPr>
          <w:rFonts w:ascii="Times New Roman" w:hAnsi="Times New Roman"/>
          <w:sz w:val="24"/>
          <w:szCs w:val="24"/>
        </w:rPr>
      </w:pPr>
      <w:r>
        <w:rPr>
          <w:rFonts w:ascii="Times New Roman" w:hAnsi="Times New Roman"/>
          <w:sz w:val="24"/>
          <w:szCs w:val="24"/>
        </w:rPr>
        <w:tab/>
      </w:r>
      <w:r w:rsidRPr="000C7CF7">
        <w:rPr>
          <w:rFonts w:ascii="Times New Roman" w:hAnsi="Times New Roman"/>
          <w:sz w:val="24"/>
          <w:szCs w:val="24"/>
        </w:rPr>
        <w:t xml:space="preserve">Através deste </w:t>
      </w:r>
      <w:r w:rsidR="006D30AB">
        <w:rPr>
          <w:rFonts w:ascii="Times New Roman" w:hAnsi="Times New Roman"/>
          <w:sz w:val="24"/>
          <w:szCs w:val="24"/>
        </w:rPr>
        <w:t>i</w:t>
      </w:r>
      <w:r w:rsidRPr="000C7CF7">
        <w:rPr>
          <w:rFonts w:ascii="Times New Roman" w:hAnsi="Times New Roman"/>
          <w:sz w:val="24"/>
          <w:szCs w:val="24"/>
        </w:rPr>
        <w:t xml:space="preserve">tem, vamos demonstrar que os entrecruzamentos de capitais da fração industrial, entendida no seu sentido marxiano, isto é, como atividades de </w:t>
      </w:r>
      <w:r w:rsidR="002654ED" w:rsidRPr="000C7CF7">
        <w:rPr>
          <w:rFonts w:ascii="Times New Roman" w:hAnsi="Times New Roman"/>
          <w:sz w:val="24"/>
          <w:szCs w:val="24"/>
        </w:rPr>
        <w:t>produção de valor, e não como</w:t>
      </w:r>
      <w:r w:rsidRPr="000C7CF7">
        <w:rPr>
          <w:rFonts w:ascii="Times New Roman" w:hAnsi="Times New Roman"/>
          <w:sz w:val="24"/>
          <w:szCs w:val="24"/>
        </w:rPr>
        <w:t xml:space="preserve"> atividade </w:t>
      </w:r>
      <w:r w:rsidR="002654ED" w:rsidRPr="000C7CF7">
        <w:rPr>
          <w:rFonts w:ascii="Times New Roman" w:hAnsi="Times New Roman"/>
          <w:sz w:val="24"/>
          <w:szCs w:val="24"/>
        </w:rPr>
        <w:t>principal de cada fração do capital</w:t>
      </w:r>
      <w:r w:rsidRPr="000C7CF7">
        <w:rPr>
          <w:rFonts w:ascii="Times New Roman" w:hAnsi="Times New Roman"/>
          <w:sz w:val="24"/>
          <w:szCs w:val="24"/>
        </w:rPr>
        <w:t xml:space="preserve">, </w:t>
      </w:r>
      <w:r w:rsidR="002654ED" w:rsidRPr="000C7CF7">
        <w:rPr>
          <w:rFonts w:ascii="Times New Roman" w:hAnsi="Times New Roman"/>
          <w:sz w:val="24"/>
          <w:szCs w:val="24"/>
        </w:rPr>
        <w:t xml:space="preserve">tornam-se cruciais para </w:t>
      </w:r>
      <w:r w:rsidRPr="000C7CF7">
        <w:rPr>
          <w:rFonts w:ascii="Times New Roman" w:hAnsi="Times New Roman"/>
          <w:sz w:val="24"/>
          <w:szCs w:val="24"/>
        </w:rPr>
        <w:t xml:space="preserve">o </w:t>
      </w:r>
      <w:r w:rsidR="002654ED" w:rsidRPr="000C7CF7">
        <w:rPr>
          <w:rFonts w:ascii="Times New Roman" w:hAnsi="Times New Roman"/>
          <w:sz w:val="24"/>
          <w:szCs w:val="24"/>
        </w:rPr>
        <w:t>entendimento da dinâmica real da economia capitalista monopólica. De fato, com tal procedimento, torna</w:t>
      </w:r>
      <w:r w:rsidR="000C7CF7" w:rsidRPr="000C7CF7">
        <w:rPr>
          <w:rFonts w:ascii="Times New Roman" w:hAnsi="Times New Roman"/>
          <w:sz w:val="24"/>
          <w:szCs w:val="24"/>
        </w:rPr>
        <w:t>m</w:t>
      </w:r>
      <w:r w:rsidR="002654ED" w:rsidRPr="000C7CF7">
        <w:rPr>
          <w:rFonts w:ascii="Times New Roman" w:hAnsi="Times New Roman"/>
          <w:sz w:val="24"/>
          <w:szCs w:val="24"/>
        </w:rPr>
        <w:t xml:space="preserve">-se </w:t>
      </w:r>
      <w:r w:rsidR="000C7CF7" w:rsidRPr="000C7CF7">
        <w:rPr>
          <w:rFonts w:ascii="Times New Roman" w:hAnsi="Times New Roman"/>
          <w:sz w:val="24"/>
          <w:szCs w:val="24"/>
        </w:rPr>
        <w:t>visíveis</w:t>
      </w:r>
      <w:r w:rsidR="002654ED" w:rsidRPr="000C7CF7">
        <w:rPr>
          <w:rFonts w:ascii="Times New Roman" w:hAnsi="Times New Roman"/>
          <w:sz w:val="24"/>
          <w:szCs w:val="24"/>
        </w:rPr>
        <w:t xml:space="preserve"> as capilarizações e entrecruzamentos dos capitais do </w:t>
      </w:r>
      <w:r w:rsidRPr="000C7CF7">
        <w:rPr>
          <w:rFonts w:ascii="Times New Roman" w:hAnsi="Times New Roman"/>
          <w:sz w:val="24"/>
          <w:szCs w:val="24"/>
        </w:rPr>
        <w:t>empresariado</w:t>
      </w:r>
      <w:r w:rsidR="002654ED" w:rsidRPr="000C7CF7">
        <w:rPr>
          <w:rFonts w:ascii="Times New Roman" w:hAnsi="Times New Roman"/>
          <w:sz w:val="24"/>
          <w:szCs w:val="24"/>
        </w:rPr>
        <w:t xml:space="preserve"> industrial</w:t>
      </w:r>
      <w:r w:rsidRPr="000C7CF7">
        <w:rPr>
          <w:rFonts w:ascii="Times New Roman" w:hAnsi="Times New Roman"/>
          <w:sz w:val="24"/>
          <w:szCs w:val="24"/>
        </w:rPr>
        <w:t xml:space="preserve"> instalado no CDES </w:t>
      </w:r>
      <w:r w:rsidR="002654ED" w:rsidRPr="000C7CF7">
        <w:rPr>
          <w:rFonts w:ascii="Times New Roman" w:hAnsi="Times New Roman"/>
          <w:sz w:val="24"/>
          <w:szCs w:val="24"/>
        </w:rPr>
        <w:t xml:space="preserve">e como, por esta via, expressa a real dimensão do capital </w:t>
      </w:r>
      <w:r w:rsidR="00D958AC" w:rsidRPr="000C7CF7">
        <w:rPr>
          <w:rFonts w:ascii="Times New Roman" w:hAnsi="Times New Roman"/>
          <w:sz w:val="24"/>
          <w:szCs w:val="24"/>
        </w:rPr>
        <w:t>produtor/</w:t>
      </w:r>
      <w:r w:rsidR="002654ED" w:rsidRPr="000C7CF7">
        <w:rPr>
          <w:rFonts w:ascii="Times New Roman" w:hAnsi="Times New Roman"/>
          <w:sz w:val="24"/>
          <w:szCs w:val="24"/>
        </w:rPr>
        <w:t xml:space="preserve">extrator de valor ali representado. </w:t>
      </w:r>
      <w:r w:rsidR="007D28C1">
        <w:rPr>
          <w:rFonts w:ascii="Times New Roman" w:hAnsi="Times New Roman"/>
          <w:sz w:val="24"/>
          <w:szCs w:val="24"/>
        </w:rPr>
        <w:t>Neste subitem</w:t>
      </w:r>
      <w:r w:rsidR="00A47AE6" w:rsidRPr="000C7CF7">
        <w:rPr>
          <w:rFonts w:ascii="Times New Roman" w:hAnsi="Times New Roman"/>
          <w:sz w:val="24"/>
          <w:szCs w:val="24"/>
        </w:rPr>
        <w:t xml:space="preserve">, fração não se resume a setor, pois ultrapassa a manifestação da atividade econômica </w:t>
      </w:r>
      <w:r w:rsidR="00926B51">
        <w:rPr>
          <w:rFonts w:ascii="Times New Roman" w:hAnsi="Times New Roman"/>
          <w:sz w:val="24"/>
          <w:szCs w:val="24"/>
        </w:rPr>
        <w:t xml:space="preserve">setorial </w:t>
      </w:r>
      <w:r w:rsidR="00A47AE6" w:rsidRPr="000C7CF7">
        <w:rPr>
          <w:rFonts w:ascii="Times New Roman" w:hAnsi="Times New Roman"/>
          <w:sz w:val="24"/>
          <w:szCs w:val="24"/>
        </w:rPr>
        <w:t xml:space="preserve">direta e imediata </w:t>
      </w:r>
      <w:r w:rsidR="00707A11" w:rsidRPr="000C7CF7">
        <w:rPr>
          <w:rFonts w:ascii="Times New Roman" w:hAnsi="Times New Roman"/>
          <w:sz w:val="24"/>
          <w:szCs w:val="24"/>
        </w:rPr>
        <w:t>e, por conseguinte, envolve tensões e contradições intraburguesas desprezadas ou não possíveis de ser percebidas na primeira apreensão.</w:t>
      </w:r>
    </w:p>
    <w:p w:rsidR="00582426" w:rsidRPr="00340412" w:rsidRDefault="00582426" w:rsidP="00582426">
      <w:pPr>
        <w:spacing w:line="360" w:lineRule="auto"/>
        <w:ind w:firstLine="708"/>
        <w:jc w:val="both"/>
        <w:rPr>
          <w:rFonts w:ascii="Times New Roman" w:hAnsi="Times New Roman"/>
          <w:sz w:val="24"/>
          <w:szCs w:val="24"/>
        </w:rPr>
      </w:pPr>
      <w:r w:rsidRPr="00340412">
        <w:rPr>
          <w:rFonts w:ascii="Times New Roman" w:hAnsi="Times New Roman"/>
          <w:sz w:val="24"/>
          <w:szCs w:val="24"/>
        </w:rPr>
        <w:t xml:space="preserve">Quais setores da </w:t>
      </w:r>
      <w:r w:rsidRPr="0008603D">
        <w:rPr>
          <w:rFonts w:ascii="Times New Roman" w:hAnsi="Times New Roman"/>
          <w:i/>
          <w:sz w:val="24"/>
          <w:szCs w:val="24"/>
        </w:rPr>
        <w:t>fração industrial</w:t>
      </w:r>
      <w:r w:rsidRPr="00340412">
        <w:rPr>
          <w:rFonts w:ascii="Times New Roman" w:hAnsi="Times New Roman"/>
          <w:sz w:val="24"/>
          <w:szCs w:val="24"/>
        </w:rPr>
        <w:t xml:space="preserve"> marcaram mais presença no CDES? A partir de dados coletados nos sites dos próprios grupos econômicos e firmas, somados às informações da base de dados que consta no </w:t>
      </w:r>
      <w:r w:rsidRPr="00340412">
        <w:rPr>
          <w:rFonts w:ascii="Times New Roman" w:hAnsi="Times New Roman"/>
          <w:i/>
          <w:sz w:val="24"/>
          <w:szCs w:val="24"/>
        </w:rPr>
        <w:t>site</w:t>
      </w:r>
      <w:r w:rsidRPr="00340412">
        <w:rPr>
          <w:rFonts w:ascii="Times New Roman" w:hAnsi="Times New Roman"/>
          <w:sz w:val="24"/>
          <w:szCs w:val="24"/>
        </w:rPr>
        <w:t xml:space="preserve"> Econoinfo e em revistas es</w:t>
      </w:r>
      <w:r>
        <w:rPr>
          <w:rFonts w:ascii="Times New Roman" w:hAnsi="Times New Roman"/>
          <w:sz w:val="24"/>
          <w:szCs w:val="24"/>
        </w:rPr>
        <w:t>pecializadas</w:t>
      </w:r>
      <w:r w:rsidR="007D28C1">
        <w:rPr>
          <w:rFonts w:ascii="Times New Roman" w:hAnsi="Times New Roman"/>
          <w:sz w:val="24"/>
          <w:szCs w:val="24"/>
        </w:rPr>
        <w:t xml:space="preserve"> (Revista </w:t>
      </w:r>
      <w:r w:rsidR="007D55FD">
        <w:rPr>
          <w:rFonts w:ascii="Times New Roman" w:hAnsi="Times New Roman"/>
          <w:sz w:val="24"/>
          <w:szCs w:val="24"/>
        </w:rPr>
        <w:t>Balanço Anual da Gazeta Mercantil e Revista Valor Grandes Grupos)</w:t>
      </w:r>
      <w:r>
        <w:rPr>
          <w:rFonts w:ascii="Times New Roman" w:hAnsi="Times New Roman"/>
          <w:sz w:val="24"/>
          <w:szCs w:val="24"/>
        </w:rPr>
        <w:t>, verificamos que 17</w:t>
      </w:r>
      <w:r w:rsidRPr="00340412">
        <w:rPr>
          <w:rFonts w:ascii="Times New Roman" w:hAnsi="Times New Roman"/>
          <w:sz w:val="24"/>
          <w:szCs w:val="24"/>
        </w:rPr>
        <w:t xml:space="preserve"> conselheiros-empresários se vinculam a grupos econômicos e firmas da voltadas para atividade de </w:t>
      </w:r>
      <w:r w:rsidRPr="004600E8">
        <w:rPr>
          <w:rFonts w:ascii="Times New Roman" w:hAnsi="Times New Roman"/>
          <w:i/>
          <w:sz w:val="24"/>
          <w:szCs w:val="24"/>
        </w:rPr>
        <w:t>con</w:t>
      </w:r>
      <w:r w:rsidRPr="00340412">
        <w:rPr>
          <w:rFonts w:ascii="Times New Roman" w:hAnsi="Times New Roman"/>
          <w:i/>
          <w:sz w:val="24"/>
          <w:szCs w:val="24"/>
        </w:rPr>
        <w:t>strução e infraestrutura</w:t>
      </w:r>
      <w:r w:rsidRPr="00340412">
        <w:rPr>
          <w:rFonts w:ascii="Times New Roman" w:hAnsi="Times New Roman"/>
          <w:sz w:val="24"/>
          <w:szCs w:val="24"/>
        </w:rPr>
        <w:t xml:space="preserve">, seguidos por 9 conselheiros-empresários que se dedicam ao setor de </w:t>
      </w:r>
      <w:r w:rsidRPr="00340412">
        <w:rPr>
          <w:rFonts w:ascii="Times New Roman" w:hAnsi="Times New Roman"/>
          <w:i/>
          <w:sz w:val="24"/>
          <w:szCs w:val="24"/>
        </w:rPr>
        <w:t>metalurgia e siderurgia</w:t>
      </w:r>
      <w:r>
        <w:rPr>
          <w:rFonts w:ascii="Times New Roman" w:hAnsi="Times New Roman"/>
          <w:sz w:val="24"/>
          <w:szCs w:val="24"/>
        </w:rPr>
        <w:t>, 8</w:t>
      </w:r>
      <w:r w:rsidRPr="00340412">
        <w:rPr>
          <w:rFonts w:ascii="Times New Roman" w:hAnsi="Times New Roman"/>
          <w:sz w:val="24"/>
          <w:szCs w:val="24"/>
        </w:rPr>
        <w:t xml:space="preserve"> pertencem à </w:t>
      </w:r>
      <w:r w:rsidRPr="003F2324">
        <w:rPr>
          <w:rFonts w:ascii="Times New Roman" w:hAnsi="Times New Roman"/>
          <w:i/>
          <w:sz w:val="24"/>
          <w:szCs w:val="24"/>
        </w:rPr>
        <w:t>indústr</w:t>
      </w:r>
      <w:r w:rsidRPr="00340412">
        <w:rPr>
          <w:rFonts w:ascii="Times New Roman" w:hAnsi="Times New Roman"/>
          <w:i/>
          <w:sz w:val="24"/>
          <w:szCs w:val="24"/>
        </w:rPr>
        <w:t xml:space="preserve">ia extrativista </w:t>
      </w:r>
      <w:r w:rsidRPr="00845FB2">
        <w:rPr>
          <w:rFonts w:ascii="Times New Roman" w:hAnsi="Times New Roman"/>
          <w:sz w:val="24"/>
          <w:szCs w:val="24"/>
        </w:rPr>
        <w:t>(mineração, petróleo e gás natural),</w:t>
      </w:r>
      <w:r w:rsidR="001B61D0">
        <w:rPr>
          <w:rFonts w:ascii="Times New Roman" w:hAnsi="Times New Roman"/>
          <w:sz w:val="24"/>
          <w:szCs w:val="24"/>
        </w:rPr>
        <w:t>8</w:t>
      </w:r>
      <w:r>
        <w:rPr>
          <w:rFonts w:ascii="Times New Roman" w:hAnsi="Times New Roman"/>
          <w:sz w:val="24"/>
          <w:szCs w:val="24"/>
        </w:rPr>
        <w:t xml:space="preserve"> na fabricação de </w:t>
      </w:r>
      <w:r w:rsidRPr="003B3116">
        <w:rPr>
          <w:rFonts w:ascii="Times New Roman" w:hAnsi="Times New Roman"/>
          <w:i/>
          <w:sz w:val="24"/>
          <w:szCs w:val="24"/>
        </w:rPr>
        <w:t>derivados de petróleo</w:t>
      </w:r>
      <w:r>
        <w:rPr>
          <w:rFonts w:ascii="Times New Roman" w:hAnsi="Times New Roman"/>
          <w:sz w:val="24"/>
          <w:szCs w:val="24"/>
        </w:rPr>
        <w:t xml:space="preserve"> e, principalmente, de </w:t>
      </w:r>
      <w:r w:rsidRPr="003B3116">
        <w:rPr>
          <w:rFonts w:ascii="Times New Roman" w:hAnsi="Times New Roman"/>
          <w:i/>
          <w:sz w:val="24"/>
          <w:szCs w:val="24"/>
        </w:rPr>
        <w:t>biocombustível</w:t>
      </w:r>
      <w:r>
        <w:rPr>
          <w:rFonts w:ascii="Times New Roman" w:hAnsi="Times New Roman"/>
          <w:sz w:val="24"/>
          <w:szCs w:val="24"/>
        </w:rPr>
        <w:t xml:space="preserve"> (leia-se, usineiros), 8</w:t>
      </w:r>
      <w:r w:rsidRPr="00340412">
        <w:rPr>
          <w:rFonts w:ascii="Times New Roman" w:hAnsi="Times New Roman"/>
          <w:sz w:val="24"/>
          <w:szCs w:val="24"/>
        </w:rPr>
        <w:t xml:space="preserve"> na fabricação de </w:t>
      </w:r>
      <w:r w:rsidRPr="00340412">
        <w:rPr>
          <w:rFonts w:ascii="Times New Roman" w:hAnsi="Times New Roman"/>
          <w:i/>
          <w:sz w:val="24"/>
          <w:szCs w:val="24"/>
        </w:rPr>
        <w:t xml:space="preserve">veículos e autopeças, </w:t>
      </w:r>
      <w:r>
        <w:rPr>
          <w:rFonts w:ascii="Times New Roman" w:hAnsi="Times New Roman"/>
          <w:sz w:val="24"/>
          <w:szCs w:val="24"/>
        </w:rPr>
        <w:t>6</w:t>
      </w:r>
      <w:r w:rsidRPr="00340412">
        <w:rPr>
          <w:rFonts w:ascii="Times New Roman" w:hAnsi="Times New Roman"/>
          <w:sz w:val="24"/>
          <w:szCs w:val="24"/>
        </w:rPr>
        <w:t xml:space="preserve"> na de </w:t>
      </w:r>
      <w:r w:rsidRPr="00340412">
        <w:rPr>
          <w:rFonts w:ascii="Times New Roman" w:hAnsi="Times New Roman"/>
          <w:i/>
          <w:sz w:val="24"/>
          <w:szCs w:val="24"/>
        </w:rPr>
        <w:t>equipamentos de informática, produtos eletrônicos e ópticos</w:t>
      </w:r>
      <w:r>
        <w:rPr>
          <w:rFonts w:ascii="Times New Roman" w:hAnsi="Times New Roman"/>
          <w:sz w:val="24"/>
          <w:szCs w:val="24"/>
        </w:rPr>
        <w:t>, 6</w:t>
      </w:r>
      <w:r w:rsidRPr="00340412">
        <w:rPr>
          <w:rFonts w:ascii="Times New Roman" w:hAnsi="Times New Roman"/>
          <w:sz w:val="24"/>
          <w:szCs w:val="24"/>
        </w:rPr>
        <w:t xml:space="preserve"> na de </w:t>
      </w:r>
      <w:r w:rsidRPr="00340412">
        <w:rPr>
          <w:rFonts w:ascii="Times New Roman" w:hAnsi="Times New Roman"/>
          <w:i/>
          <w:sz w:val="24"/>
          <w:szCs w:val="24"/>
        </w:rPr>
        <w:t>produtos alimentícios</w:t>
      </w:r>
      <w:r w:rsidRPr="00340412">
        <w:rPr>
          <w:rFonts w:ascii="Times New Roman" w:hAnsi="Times New Roman"/>
          <w:sz w:val="24"/>
          <w:szCs w:val="24"/>
        </w:rPr>
        <w:t>,</w:t>
      </w:r>
      <w:r w:rsidR="001B61D0">
        <w:rPr>
          <w:rFonts w:ascii="Times New Roman" w:hAnsi="Times New Roman"/>
          <w:sz w:val="24"/>
          <w:szCs w:val="24"/>
        </w:rPr>
        <w:t>3</w:t>
      </w:r>
      <w:r w:rsidRPr="00340412">
        <w:rPr>
          <w:rFonts w:ascii="Times New Roman" w:hAnsi="Times New Roman"/>
          <w:sz w:val="24"/>
          <w:szCs w:val="24"/>
        </w:rPr>
        <w:t xml:space="preserve"> na de </w:t>
      </w:r>
      <w:r w:rsidRPr="00340412">
        <w:rPr>
          <w:rFonts w:ascii="Times New Roman" w:hAnsi="Times New Roman"/>
          <w:i/>
          <w:sz w:val="24"/>
          <w:szCs w:val="24"/>
        </w:rPr>
        <w:t>produtos químicos e farmacêuticos</w:t>
      </w:r>
      <w:r>
        <w:rPr>
          <w:rFonts w:ascii="Times New Roman" w:hAnsi="Times New Roman"/>
          <w:sz w:val="24"/>
          <w:szCs w:val="24"/>
        </w:rPr>
        <w:t xml:space="preserve">, 4 na de </w:t>
      </w:r>
      <w:r>
        <w:rPr>
          <w:rFonts w:ascii="Times New Roman" w:hAnsi="Times New Roman"/>
          <w:i/>
          <w:sz w:val="24"/>
          <w:szCs w:val="24"/>
        </w:rPr>
        <w:t>máquinas e equipamentos,</w:t>
      </w:r>
      <w:r>
        <w:rPr>
          <w:rFonts w:ascii="Times New Roman" w:hAnsi="Times New Roman"/>
          <w:sz w:val="24"/>
          <w:szCs w:val="24"/>
        </w:rPr>
        <w:t xml:space="preserve"> 5</w:t>
      </w:r>
      <w:r w:rsidRPr="00340412">
        <w:rPr>
          <w:rFonts w:ascii="Times New Roman" w:hAnsi="Times New Roman"/>
          <w:sz w:val="24"/>
          <w:szCs w:val="24"/>
        </w:rPr>
        <w:t xml:space="preserve"> na de </w:t>
      </w:r>
      <w:r w:rsidRPr="00340412">
        <w:rPr>
          <w:rFonts w:ascii="Times New Roman" w:hAnsi="Times New Roman"/>
          <w:i/>
          <w:sz w:val="24"/>
          <w:szCs w:val="24"/>
        </w:rPr>
        <w:t>artigos para vestuário</w:t>
      </w:r>
      <w:r>
        <w:rPr>
          <w:rFonts w:ascii="Times New Roman" w:hAnsi="Times New Roman"/>
          <w:i/>
          <w:sz w:val="24"/>
          <w:szCs w:val="24"/>
        </w:rPr>
        <w:t>,</w:t>
      </w:r>
      <w:r w:rsidRPr="00340412">
        <w:rPr>
          <w:rFonts w:ascii="Times New Roman" w:hAnsi="Times New Roman"/>
          <w:i/>
          <w:sz w:val="24"/>
          <w:szCs w:val="24"/>
        </w:rPr>
        <w:t xml:space="preserve"> têxteis</w:t>
      </w:r>
      <w:r>
        <w:rPr>
          <w:rFonts w:ascii="Times New Roman" w:hAnsi="Times New Roman"/>
          <w:i/>
          <w:sz w:val="24"/>
          <w:szCs w:val="24"/>
        </w:rPr>
        <w:t xml:space="preserve">e </w:t>
      </w:r>
      <w:r w:rsidRPr="0008603D">
        <w:rPr>
          <w:rFonts w:ascii="Times New Roman" w:hAnsi="Times New Roman"/>
          <w:i/>
          <w:sz w:val="24"/>
          <w:szCs w:val="24"/>
        </w:rPr>
        <w:t>couro</w:t>
      </w:r>
      <w:r>
        <w:rPr>
          <w:rFonts w:ascii="Times New Roman" w:hAnsi="Times New Roman"/>
          <w:i/>
          <w:sz w:val="24"/>
          <w:szCs w:val="24"/>
        </w:rPr>
        <w:t>,</w:t>
      </w:r>
      <w:r w:rsidRPr="00340412">
        <w:rPr>
          <w:rFonts w:ascii="Times New Roman" w:hAnsi="Times New Roman"/>
          <w:sz w:val="24"/>
          <w:szCs w:val="24"/>
        </w:rPr>
        <w:t xml:space="preserve">3 na de </w:t>
      </w:r>
      <w:r w:rsidRPr="00340412">
        <w:rPr>
          <w:rFonts w:ascii="Times New Roman" w:hAnsi="Times New Roman"/>
          <w:i/>
          <w:sz w:val="24"/>
          <w:szCs w:val="24"/>
        </w:rPr>
        <w:t>papel e celulose</w:t>
      </w:r>
      <w:r>
        <w:rPr>
          <w:rFonts w:ascii="Times New Roman" w:hAnsi="Times New Roman"/>
          <w:sz w:val="24"/>
          <w:szCs w:val="24"/>
        </w:rPr>
        <w:t xml:space="preserve"> e 2 na </w:t>
      </w:r>
      <w:r w:rsidRPr="003F2324">
        <w:rPr>
          <w:rFonts w:ascii="Times New Roman" w:hAnsi="Times New Roman"/>
          <w:i/>
          <w:sz w:val="24"/>
          <w:szCs w:val="24"/>
        </w:rPr>
        <w:t>fabricação de aeronaves</w:t>
      </w:r>
      <w:r>
        <w:rPr>
          <w:rFonts w:ascii="Times New Roman" w:hAnsi="Times New Roman"/>
          <w:sz w:val="24"/>
          <w:szCs w:val="24"/>
        </w:rPr>
        <w:t xml:space="preserve"> (Embraer)</w:t>
      </w:r>
      <w:r w:rsidRPr="00340412">
        <w:rPr>
          <w:rFonts w:ascii="Times New Roman" w:hAnsi="Times New Roman"/>
          <w:sz w:val="24"/>
          <w:szCs w:val="24"/>
        </w:rPr>
        <w:t xml:space="preserve">. </w:t>
      </w:r>
      <w:r>
        <w:rPr>
          <w:rFonts w:ascii="Times New Roman" w:hAnsi="Times New Roman"/>
          <w:sz w:val="24"/>
          <w:szCs w:val="24"/>
        </w:rPr>
        <w:t xml:space="preserve">Por fim, encontramos 1 conselheiro para atividade industrial de </w:t>
      </w:r>
      <w:r w:rsidRPr="003F2324">
        <w:rPr>
          <w:rFonts w:ascii="Times New Roman" w:hAnsi="Times New Roman"/>
          <w:i/>
          <w:sz w:val="24"/>
          <w:szCs w:val="24"/>
        </w:rPr>
        <w:t>impressões, fabricação de artefatos de concreto e de brinquedos e jogos</w:t>
      </w:r>
      <w:r w:rsidR="001B61D0">
        <w:rPr>
          <w:rFonts w:ascii="Times New Roman" w:hAnsi="Times New Roman"/>
          <w:sz w:val="24"/>
          <w:szCs w:val="24"/>
        </w:rPr>
        <w:t xml:space="preserve"> e 5 na produção de </w:t>
      </w:r>
      <w:r w:rsidR="001B61D0" w:rsidRPr="001B61D0">
        <w:rPr>
          <w:rFonts w:ascii="Times New Roman" w:hAnsi="Times New Roman"/>
          <w:i/>
          <w:sz w:val="24"/>
          <w:szCs w:val="24"/>
        </w:rPr>
        <w:t>energia elétrica</w:t>
      </w:r>
      <w:r w:rsidR="001B61D0">
        <w:rPr>
          <w:rFonts w:ascii="Times New Roman" w:hAnsi="Times New Roman"/>
          <w:sz w:val="24"/>
          <w:szCs w:val="24"/>
        </w:rPr>
        <w:t xml:space="preserve">. </w:t>
      </w:r>
    </w:p>
    <w:p w:rsidR="00582426" w:rsidRDefault="00582426" w:rsidP="003E659F">
      <w:pPr>
        <w:ind w:left="708" w:hanging="708"/>
        <w:jc w:val="center"/>
        <w:rPr>
          <w:rFonts w:ascii="Times New Roman" w:hAnsi="Times New Roman"/>
          <w:b/>
          <w:sz w:val="24"/>
          <w:szCs w:val="24"/>
        </w:rPr>
      </w:pPr>
      <w:r w:rsidRPr="00795302">
        <w:rPr>
          <w:rFonts w:ascii="Times New Roman" w:hAnsi="Times New Roman"/>
          <w:b/>
          <w:sz w:val="24"/>
          <w:szCs w:val="24"/>
        </w:rPr>
        <w:t xml:space="preserve">Quadro </w:t>
      </w:r>
      <w:r>
        <w:rPr>
          <w:rFonts w:ascii="Times New Roman" w:hAnsi="Times New Roman"/>
          <w:b/>
          <w:sz w:val="24"/>
          <w:szCs w:val="24"/>
        </w:rPr>
        <w:t xml:space="preserve">2.7 - </w:t>
      </w:r>
      <w:r w:rsidRPr="00795302">
        <w:rPr>
          <w:rFonts w:ascii="Times New Roman" w:hAnsi="Times New Roman"/>
          <w:b/>
          <w:sz w:val="24"/>
          <w:szCs w:val="24"/>
        </w:rPr>
        <w:t>Distribuição dos Conselheiros-Empresários por Atividades Econôm</w:t>
      </w:r>
      <w:r>
        <w:rPr>
          <w:rFonts w:ascii="Times New Roman" w:hAnsi="Times New Roman"/>
          <w:b/>
          <w:sz w:val="24"/>
          <w:szCs w:val="24"/>
        </w:rPr>
        <w:t>icas de seus Grupos Econômicos,</w:t>
      </w:r>
      <w:r w:rsidRPr="00795302">
        <w:rPr>
          <w:rFonts w:ascii="Times New Roman" w:hAnsi="Times New Roman"/>
          <w:b/>
          <w:sz w:val="24"/>
          <w:szCs w:val="24"/>
        </w:rPr>
        <w:t xml:space="preserve"> Firmas </w:t>
      </w:r>
      <w:r>
        <w:rPr>
          <w:rFonts w:ascii="Times New Roman" w:hAnsi="Times New Roman"/>
          <w:b/>
          <w:sz w:val="24"/>
          <w:szCs w:val="24"/>
        </w:rPr>
        <w:t xml:space="preserve">e Entidades Associativas </w:t>
      </w:r>
      <w:r w:rsidRPr="00795302">
        <w:rPr>
          <w:rFonts w:ascii="Times New Roman" w:hAnsi="Times New Roman"/>
          <w:b/>
          <w:sz w:val="24"/>
          <w:szCs w:val="24"/>
        </w:rPr>
        <w:t>(2003-2010)</w:t>
      </w:r>
    </w:p>
    <w:tbl>
      <w:tblPr>
        <w:tblW w:w="4876"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087"/>
        <w:gridCol w:w="2797"/>
        <w:gridCol w:w="4722"/>
        <w:gridCol w:w="451"/>
      </w:tblGrid>
      <w:tr w:rsidR="00582426" w:rsidRPr="008211FD" w:rsidTr="00CB3F9D">
        <w:tc>
          <w:tcPr>
            <w:tcW w:w="600" w:type="pct"/>
            <w:tcBorders>
              <w:top w:val="single" w:sz="8" w:space="0" w:color="4F81BD"/>
              <w:left w:val="single" w:sz="8" w:space="0" w:color="4F81BD"/>
              <w:bottom w:val="single" w:sz="18" w:space="0" w:color="4F81BD"/>
              <w:right w:val="single" w:sz="8" w:space="0" w:color="4F81BD"/>
            </w:tcBorders>
          </w:tcPr>
          <w:p w:rsidR="00582426" w:rsidRPr="008211FD" w:rsidRDefault="00582426" w:rsidP="008211FD">
            <w:pPr>
              <w:spacing w:after="0" w:line="240" w:lineRule="auto"/>
              <w:rPr>
                <w:rFonts w:ascii="Times New Roman" w:eastAsia="Times New Roman" w:hAnsi="Times New Roman"/>
                <w:b/>
                <w:bCs/>
                <w:sz w:val="18"/>
                <w:szCs w:val="18"/>
              </w:rPr>
            </w:pPr>
            <w:r w:rsidRPr="008211FD">
              <w:rPr>
                <w:rFonts w:ascii="Times New Roman" w:eastAsia="Times New Roman" w:hAnsi="Times New Roman"/>
                <w:b/>
                <w:bCs/>
                <w:sz w:val="18"/>
                <w:szCs w:val="18"/>
              </w:rPr>
              <w:t>Cód. CNAE</w:t>
            </w:r>
          </w:p>
        </w:tc>
        <w:tc>
          <w:tcPr>
            <w:tcW w:w="1544" w:type="pct"/>
            <w:tcBorders>
              <w:top w:val="single" w:sz="8" w:space="0" w:color="4F81BD"/>
              <w:left w:val="single" w:sz="8" w:space="0" w:color="4F81BD"/>
              <w:bottom w:val="single" w:sz="18" w:space="0" w:color="4F81BD"/>
              <w:right w:val="single" w:sz="8" w:space="0" w:color="4F81BD"/>
            </w:tcBorders>
          </w:tcPr>
          <w:p w:rsidR="00582426" w:rsidRPr="008211FD" w:rsidRDefault="00582426" w:rsidP="008211FD">
            <w:pPr>
              <w:spacing w:after="0" w:line="240" w:lineRule="auto"/>
              <w:rPr>
                <w:rFonts w:ascii="Times New Roman" w:eastAsia="Times New Roman" w:hAnsi="Times New Roman"/>
                <w:b/>
                <w:bCs/>
                <w:sz w:val="18"/>
                <w:szCs w:val="18"/>
              </w:rPr>
            </w:pPr>
            <w:r w:rsidRPr="008211FD">
              <w:rPr>
                <w:rFonts w:ascii="Times New Roman" w:eastAsia="Times New Roman" w:hAnsi="Times New Roman"/>
                <w:b/>
                <w:bCs/>
                <w:sz w:val="18"/>
                <w:szCs w:val="18"/>
              </w:rPr>
              <w:t>Divisão e Agregação por Atividade Econômica</w:t>
            </w:r>
          </w:p>
        </w:tc>
        <w:tc>
          <w:tcPr>
            <w:tcW w:w="2607" w:type="pct"/>
            <w:tcBorders>
              <w:top w:val="single" w:sz="8" w:space="0" w:color="4F81BD"/>
              <w:left w:val="single" w:sz="8" w:space="0" w:color="4F81BD"/>
              <w:bottom w:val="single" w:sz="18" w:space="0" w:color="4F81BD"/>
              <w:right w:val="single" w:sz="8" w:space="0" w:color="4F81BD"/>
            </w:tcBorders>
          </w:tcPr>
          <w:p w:rsidR="00582426" w:rsidRPr="008211FD" w:rsidRDefault="00582426" w:rsidP="008211FD">
            <w:pPr>
              <w:pStyle w:val="DecimalAligned"/>
              <w:tabs>
                <w:tab w:val="clear" w:pos="360"/>
              </w:tabs>
              <w:spacing w:after="0" w:line="240" w:lineRule="auto"/>
              <w:rPr>
                <w:rFonts w:ascii="Times New Roman" w:hAnsi="Times New Roman"/>
                <w:b/>
                <w:bCs/>
                <w:sz w:val="18"/>
                <w:szCs w:val="18"/>
              </w:rPr>
            </w:pPr>
            <w:r w:rsidRPr="008211FD">
              <w:rPr>
                <w:rFonts w:ascii="Times New Roman" w:hAnsi="Times New Roman"/>
                <w:b/>
                <w:bCs/>
                <w:sz w:val="18"/>
                <w:szCs w:val="18"/>
              </w:rPr>
              <w:t>Conselheiros-Empresários</w:t>
            </w:r>
          </w:p>
        </w:tc>
        <w:tc>
          <w:tcPr>
            <w:tcW w:w="249" w:type="pct"/>
            <w:tcBorders>
              <w:top w:val="single" w:sz="8" w:space="0" w:color="4F81BD"/>
              <w:left w:val="single" w:sz="8" w:space="0" w:color="4F81BD"/>
              <w:bottom w:val="single" w:sz="18" w:space="0" w:color="4F81BD"/>
              <w:right w:val="single" w:sz="8" w:space="0" w:color="4F81BD"/>
            </w:tcBorders>
          </w:tcPr>
          <w:p w:rsidR="00582426" w:rsidRPr="008211FD" w:rsidRDefault="00582426" w:rsidP="008211FD">
            <w:pPr>
              <w:pStyle w:val="DecimalAligned"/>
              <w:tabs>
                <w:tab w:val="clear" w:pos="360"/>
              </w:tabs>
              <w:spacing w:after="0" w:line="240" w:lineRule="auto"/>
              <w:jc w:val="center"/>
              <w:rPr>
                <w:rFonts w:ascii="Times New Roman" w:hAnsi="Times New Roman"/>
                <w:b/>
                <w:bCs/>
                <w:sz w:val="18"/>
                <w:szCs w:val="18"/>
              </w:rPr>
            </w:pPr>
            <w:r w:rsidRPr="008211FD">
              <w:rPr>
                <w:rFonts w:ascii="Times New Roman" w:hAnsi="Times New Roman"/>
                <w:b/>
                <w:bCs/>
                <w:sz w:val="18"/>
                <w:szCs w:val="18"/>
              </w:rPr>
              <w:t>T</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01 – Seção A</w:t>
            </w:r>
          </w:p>
        </w:tc>
        <w:tc>
          <w:tcPr>
            <w:tcW w:w="1544"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NormalWeb"/>
              <w:tabs>
                <w:tab w:val="left" w:pos="3154"/>
              </w:tabs>
              <w:spacing w:before="0" w:beforeAutospacing="0" w:after="0" w:afterAutospacing="0"/>
              <w:rPr>
                <w:sz w:val="16"/>
                <w:szCs w:val="16"/>
              </w:rPr>
            </w:pPr>
            <w:r w:rsidRPr="008211FD">
              <w:rPr>
                <w:sz w:val="16"/>
                <w:szCs w:val="16"/>
              </w:rPr>
              <w:t>Agricultura, Pecuária e Serviços relacionados (Agroindústria)</w:t>
            </w:r>
          </w:p>
        </w:tc>
        <w:tc>
          <w:tcPr>
            <w:tcW w:w="260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DecimalAligned"/>
              <w:tabs>
                <w:tab w:val="clear" w:pos="360"/>
                <w:tab w:val="left" w:pos="1361"/>
              </w:tabs>
              <w:spacing w:after="0" w:line="240" w:lineRule="auto"/>
              <w:rPr>
                <w:rFonts w:ascii="Times New Roman" w:hAnsi="Times New Roman"/>
                <w:sz w:val="16"/>
                <w:szCs w:val="16"/>
              </w:rPr>
            </w:pPr>
            <w:r w:rsidRPr="008211FD">
              <w:rPr>
                <w:rFonts w:ascii="Times New Roman" w:hAnsi="Times New Roman"/>
                <w:sz w:val="16"/>
                <w:szCs w:val="16"/>
              </w:rPr>
              <w:t>José Bumlai, Márcio Freitas, Rozani Holler, Pedro Terue</w:t>
            </w:r>
            <w:r w:rsidR="00910072">
              <w:rPr>
                <w:rFonts w:ascii="Times New Roman" w:hAnsi="Times New Roman"/>
                <w:sz w:val="16"/>
                <w:szCs w:val="16"/>
              </w:rPr>
              <w:t>l, Marcos Jank.</w:t>
            </w:r>
          </w:p>
        </w:tc>
        <w:tc>
          <w:tcPr>
            <w:tcW w:w="249"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910072" w:rsidP="008211FD">
            <w:pPr>
              <w:pStyle w:val="DecimalAligned"/>
              <w:tabs>
                <w:tab w:val="clear" w:pos="360"/>
                <w:tab w:val="left" w:pos="1361"/>
              </w:tabs>
              <w:spacing w:after="0" w:line="240" w:lineRule="auto"/>
              <w:jc w:val="center"/>
              <w:rPr>
                <w:rFonts w:ascii="Times New Roman" w:hAnsi="Times New Roman"/>
                <w:sz w:val="16"/>
                <w:szCs w:val="16"/>
              </w:rPr>
            </w:pPr>
            <w:r>
              <w:rPr>
                <w:rFonts w:ascii="Times New Roman" w:hAnsi="Times New Roman"/>
                <w:sz w:val="16"/>
                <w:szCs w:val="16"/>
              </w:rPr>
              <w:t>5</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rPr>
                <w:b/>
                <w:bCs/>
                <w:sz w:val="16"/>
                <w:szCs w:val="16"/>
              </w:rPr>
            </w:pPr>
            <w:r w:rsidRPr="008211FD">
              <w:rPr>
                <w:b/>
                <w:bCs/>
                <w:sz w:val="16"/>
                <w:szCs w:val="16"/>
              </w:rPr>
              <w:t>5-8 – Seção B</w:t>
            </w:r>
          </w:p>
        </w:tc>
        <w:tc>
          <w:tcPr>
            <w:tcW w:w="1544"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rPr>
                <w:rFonts w:ascii="Times New Roman" w:hAnsi="Times New Roman"/>
                <w:color w:val="000000"/>
                <w:sz w:val="16"/>
                <w:szCs w:val="16"/>
              </w:rPr>
            </w:pPr>
            <w:r w:rsidRPr="008211FD">
              <w:rPr>
                <w:rFonts w:ascii="Times New Roman" w:hAnsi="Times New Roman"/>
                <w:color w:val="000000"/>
                <w:sz w:val="16"/>
                <w:szCs w:val="16"/>
              </w:rPr>
              <w:t>Indústria extrativista (Mineração, Petróleo e Gás Natural)</w:t>
            </w:r>
          </w:p>
        </w:tc>
        <w:tc>
          <w:tcPr>
            <w:tcW w:w="260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Alain Belda, Eduardo Vieira, Fernando Salles, José Mizael,  Waldemar Verdi Jr., Roger Agnelli, Paulo Godoy, Marcelo Odebrecht.</w:t>
            </w:r>
          </w:p>
        </w:tc>
        <w:tc>
          <w:tcPr>
            <w:tcW w:w="249"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8</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10/11 – SEÇÃO C</w:t>
            </w:r>
          </w:p>
        </w:tc>
        <w:tc>
          <w:tcPr>
            <w:tcW w:w="1544"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hAnsi="Times New Roman"/>
                <w:color w:val="000000"/>
                <w:sz w:val="16"/>
                <w:szCs w:val="16"/>
              </w:rPr>
            </w:pPr>
            <w:r w:rsidRPr="008211FD">
              <w:rPr>
                <w:rFonts w:ascii="Times New Roman" w:hAnsi="Times New Roman"/>
                <w:color w:val="000000"/>
                <w:sz w:val="16"/>
                <w:szCs w:val="16"/>
              </w:rPr>
              <w:t>Fabricação de produtos alimentícios e bebidas</w:t>
            </w:r>
          </w:p>
        </w:tc>
        <w:tc>
          <w:tcPr>
            <w:tcW w:w="260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DecimalAligned"/>
              <w:tabs>
                <w:tab w:val="clear" w:pos="360"/>
              </w:tabs>
              <w:spacing w:after="0" w:line="240" w:lineRule="auto"/>
              <w:rPr>
                <w:rFonts w:ascii="Times New Roman" w:hAnsi="Times New Roman"/>
                <w:sz w:val="16"/>
                <w:szCs w:val="16"/>
              </w:rPr>
            </w:pPr>
            <w:r w:rsidRPr="008211FD">
              <w:rPr>
                <w:rFonts w:ascii="Times New Roman" w:hAnsi="Times New Roman"/>
                <w:sz w:val="16"/>
                <w:szCs w:val="16"/>
              </w:rPr>
              <w:t>Amarílio Macêdo, José Cutrale Fº, Rodrigo Loures, Ivan Zurita, Mauricio Botelho, Lincoln Fernandes.</w:t>
            </w:r>
          </w:p>
        </w:tc>
        <w:tc>
          <w:tcPr>
            <w:tcW w:w="249"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6</w:t>
            </w:r>
          </w:p>
        </w:tc>
      </w:tr>
      <w:tr w:rsidR="00582426" w:rsidRPr="008211FD" w:rsidTr="00CB3F9D">
        <w:trPr>
          <w:trHeight w:val="46"/>
        </w:trPr>
        <w:tc>
          <w:tcPr>
            <w:tcW w:w="60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rPr>
                <w:b/>
                <w:bCs/>
                <w:sz w:val="16"/>
                <w:szCs w:val="16"/>
              </w:rPr>
            </w:pPr>
            <w:r w:rsidRPr="008211FD">
              <w:rPr>
                <w:b/>
                <w:bCs/>
                <w:sz w:val="16"/>
                <w:szCs w:val="16"/>
              </w:rPr>
              <w:t>13/14/15</w:t>
            </w:r>
          </w:p>
        </w:tc>
        <w:tc>
          <w:tcPr>
            <w:tcW w:w="1544"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DecimalAligned"/>
              <w:tabs>
                <w:tab w:val="clear" w:pos="360"/>
                <w:tab w:val="decimal" w:pos="0"/>
              </w:tabs>
              <w:spacing w:after="0" w:line="240" w:lineRule="auto"/>
              <w:rPr>
                <w:rFonts w:ascii="Times New Roman" w:hAnsi="Times New Roman"/>
                <w:color w:val="000000"/>
                <w:sz w:val="16"/>
                <w:szCs w:val="16"/>
              </w:rPr>
            </w:pPr>
            <w:r w:rsidRPr="008211FD">
              <w:rPr>
                <w:rFonts w:ascii="Times New Roman" w:hAnsi="Times New Roman"/>
                <w:color w:val="000000"/>
                <w:sz w:val="16"/>
                <w:szCs w:val="16"/>
              </w:rPr>
              <w:t>Confecção de artigos para vestuário e acessórios. Fabricação de têxteis. Couro.</w:t>
            </w:r>
          </w:p>
        </w:tc>
        <w:tc>
          <w:tcPr>
            <w:tcW w:w="260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Ivo Rosset, Benjamin Steinbruch, Paulo Skaf, José Bumlai, Sônia Souza.</w:t>
            </w:r>
          </w:p>
        </w:tc>
        <w:tc>
          <w:tcPr>
            <w:tcW w:w="249"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5</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17</w:t>
            </w:r>
          </w:p>
        </w:tc>
        <w:tc>
          <w:tcPr>
            <w:tcW w:w="1544"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hAnsi="Times New Roman"/>
                <w:color w:val="000000"/>
                <w:sz w:val="16"/>
                <w:szCs w:val="16"/>
              </w:rPr>
            </w:pPr>
            <w:r w:rsidRPr="008211FD">
              <w:rPr>
                <w:rFonts w:ascii="Times New Roman" w:hAnsi="Times New Roman"/>
                <w:color w:val="000000"/>
                <w:sz w:val="16"/>
                <w:szCs w:val="16"/>
              </w:rPr>
              <w:t>Fabricação papel e celulose/ embalagens</w:t>
            </w:r>
          </w:p>
        </w:tc>
        <w:tc>
          <w:tcPr>
            <w:tcW w:w="260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DecimalAligned"/>
              <w:tabs>
                <w:tab w:val="clear" w:pos="360"/>
                <w:tab w:val="decimal" w:pos="0"/>
              </w:tabs>
              <w:spacing w:after="0" w:line="240" w:lineRule="auto"/>
              <w:rPr>
                <w:rFonts w:ascii="Times New Roman" w:hAnsi="Times New Roman"/>
                <w:sz w:val="16"/>
                <w:szCs w:val="16"/>
              </w:rPr>
            </w:pPr>
            <w:r w:rsidRPr="008211FD">
              <w:rPr>
                <w:rFonts w:ascii="Times New Roman" w:hAnsi="Times New Roman"/>
                <w:sz w:val="16"/>
                <w:szCs w:val="16"/>
              </w:rPr>
              <w:t>Daniel Feffer, Horácio Piva, Sérgio Haberfeld.</w:t>
            </w:r>
          </w:p>
        </w:tc>
        <w:tc>
          <w:tcPr>
            <w:tcW w:w="249"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3</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rPr>
                <w:b/>
                <w:bCs/>
                <w:sz w:val="16"/>
                <w:szCs w:val="16"/>
              </w:rPr>
            </w:pPr>
            <w:r w:rsidRPr="008211FD">
              <w:rPr>
                <w:b/>
                <w:bCs/>
                <w:sz w:val="16"/>
                <w:szCs w:val="16"/>
              </w:rPr>
              <w:t>18</w:t>
            </w:r>
          </w:p>
        </w:tc>
        <w:tc>
          <w:tcPr>
            <w:tcW w:w="1544"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rPr>
                <w:sz w:val="16"/>
                <w:szCs w:val="16"/>
              </w:rPr>
            </w:pPr>
            <w:r w:rsidRPr="008211FD">
              <w:rPr>
                <w:sz w:val="16"/>
                <w:szCs w:val="16"/>
              </w:rPr>
              <w:t>Impressão</w:t>
            </w:r>
          </w:p>
        </w:tc>
        <w:tc>
          <w:tcPr>
            <w:tcW w:w="260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rPr>
                <w:sz w:val="16"/>
                <w:szCs w:val="16"/>
              </w:rPr>
            </w:pPr>
            <w:r w:rsidRPr="008211FD">
              <w:rPr>
                <w:sz w:val="16"/>
                <w:szCs w:val="16"/>
              </w:rPr>
              <w:t>José Conrado Azevedo Santos</w:t>
            </w:r>
          </w:p>
        </w:tc>
        <w:tc>
          <w:tcPr>
            <w:tcW w:w="249"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1</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NormalWeb"/>
              <w:spacing w:before="0" w:beforeAutospacing="0" w:after="0" w:afterAutospacing="0"/>
              <w:rPr>
                <w:b/>
                <w:bCs/>
                <w:sz w:val="16"/>
                <w:szCs w:val="16"/>
              </w:rPr>
            </w:pPr>
            <w:r w:rsidRPr="008211FD">
              <w:rPr>
                <w:b/>
                <w:bCs/>
                <w:sz w:val="16"/>
                <w:szCs w:val="16"/>
              </w:rPr>
              <w:t>19</w:t>
            </w:r>
          </w:p>
        </w:tc>
        <w:tc>
          <w:tcPr>
            <w:tcW w:w="1544"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NormalWeb"/>
              <w:spacing w:before="0" w:beforeAutospacing="0" w:after="0" w:afterAutospacing="0"/>
              <w:rPr>
                <w:sz w:val="16"/>
                <w:szCs w:val="16"/>
              </w:rPr>
            </w:pPr>
            <w:r w:rsidRPr="008211FD">
              <w:rPr>
                <w:sz w:val="16"/>
                <w:szCs w:val="16"/>
              </w:rPr>
              <w:t>Fabricação de Derivados de Petróleo e Biocombustível (Etanol)</w:t>
            </w:r>
          </w:p>
        </w:tc>
        <w:tc>
          <w:tcPr>
            <w:tcW w:w="260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NormalWeb"/>
              <w:spacing w:before="0" w:beforeAutospacing="0" w:after="0" w:afterAutospacing="0"/>
              <w:rPr>
                <w:sz w:val="16"/>
                <w:szCs w:val="16"/>
              </w:rPr>
            </w:pPr>
            <w:r w:rsidRPr="008211FD">
              <w:rPr>
                <w:sz w:val="16"/>
                <w:szCs w:val="16"/>
              </w:rPr>
              <w:t>Eduardo Vieira, Luiz Gomes, Maurílio Biagi, Marcos Jank, Carlos Farias, Luiz Aubert Neto, Marcelo Odebrecht, José Bumlai.</w:t>
            </w:r>
          </w:p>
        </w:tc>
        <w:tc>
          <w:tcPr>
            <w:tcW w:w="249"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8</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rPr>
                <w:b/>
                <w:bCs/>
                <w:sz w:val="16"/>
                <w:szCs w:val="16"/>
              </w:rPr>
            </w:pPr>
            <w:r w:rsidRPr="008211FD">
              <w:rPr>
                <w:b/>
                <w:bCs/>
                <w:sz w:val="16"/>
                <w:szCs w:val="16"/>
              </w:rPr>
              <w:t>20/21</w:t>
            </w:r>
          </w:p>
        </w:tc>
        <w:tc>
          <w:tcPr>
            <w:tcW w:w="1544"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 xml:space="preserve">Fabricação de produtos químicos e </w:t>
            </w:r>
            <w:r w:rsidRPr="008211FD">
              <w:rPr>
                <w:rFonts w:ascii="Times New Roman" w:hAnsi="Times New Roman"/>
                <w:color w:val="000000"/>
                <w:sz w:val="16"/>
                <w:szCs w:val="16"/>
              </w:rPr>
              <w:t>farmacêuticos</w:t>
            </w:r>
          </w:p>
        </w:tc>
        <w:tc>
          <w:tcPr>
            <w:tcW w:w="260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DecimalAligned"/>
              <w:tabs>
                <w:tab w:val="clear" w:pos="360"/>
              </w:tabs>
              <w:spacing w:after="0" w:line="240" w:lineRule="auto"/>
              <w:rPr>
                <w:rFonts w:ascii="Times New Roman" w:hAnsi="Times New Roman"/>
                <w:sz w:val="16"/>
                <w:szCs w:val="16"/>
              </w:rPr>
            </w:pPr>
            <w:r w:rsidRPr="008211FD">
              <w:rPr>
                <w:rFonts w:ascii="Times New Roman" w:hAnsi="Times New Roman"/>
                <w:sz w:val="16"/>
                <w:szCs w:val="16"/>
              </w:rPr>
              <w:t>Eduardo Vieira, Marcelo Odebrecht, Omilton Visconde Jr.</w:t>
            </w:r>
          </w:p>
        </w:tc>
        <w:tc>
          <w:tcPr>
            <w:tcW w:w="249"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jc w:val="center"/>
              <w:rPr>
                <w:sz w:val="16"/>
                <w:szCs w:val="16"/>
              </w:rPr>
            </w:pPr>
            <w:r w:rsidRPr="008211FD">
              <w:rPr>
                <w:sz w:val="16"/>
                <w:szCs w:val="16"/>
              </w:rPr>
              <w:t>3</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24/25</w:t>
            </w:r>
          </w:p>
        </w:tc>
        <w:tc>
          <w:tcPr>
            <w:tcW w:w="1544"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NormalWeb"/>
              <w:spacing w:before="0" w:beforeAutospacing="0" w:after="0" w:afterAutospacing="0"/>
              <w:rPr>
                <w:sz w:val="16"/>
                <w:szCs w:val="16"/>
              </w:rPr>
            </w:pPr>
            <w:r w:rsidRPr="008211FD">
              <w:rPr>
                <w:sz w:val="16"/>
                <w:szCs w:val="16"/>
              </w:rPr>
              <w:t>Metalurgia e Siderurgia; Fabricação de produtos de metal.</w:t>
            </w:r>
          </w:p>
        </w:tc>
        <w:tc>
          <w:tcPr>
            <w:tcW w:w="260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DecimalAligned"/>
              <w:tabs>
                <w:tab w:val="clear" w:pos="360"/>
                <w:tab w:val="left" w:pos="1361"/>
              </w:tabs>
              <w:spacing w:after="0" w:line="240" w:lineRule="auto"/>
              <w:rPr>
                <w:rFonts w:ascii="Times New Roman" w:hAnsi="Times New Roman"/>
                <w:sz w:val="16"/>
                <w:szCs w:val="16"/>
              </w:rPr>
            </w:pPr>
            <w:r w:rsidRPr="008211FD">
              <w:rPr>
                <w:rFonts w:ascii="Times New Roman" w:hAnsi="Times New Roman"/>
                <w:sz w:val="16"/>
                <w:szCs w:val="16"/>
              </w:rPr>
              <w:t>Benjamin Steinbruch, Fernando Salles, Jorge Gerdau, Rinaldo Soares, Robson Andrade, Roger Agnelli, Mauricio Botelho, Renato Conill, José Mizael.</w:t>
            </w:r>
          </w:p>
        </w:tc>
        <w:tc>
          <w:tcPr>
            <w:tcW w:w="249"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DecimalAligned"/>
              <w:tabs>
                <w:tab w:val="clear" w:pos="360"/>
              </w:tabs>
              <w:spacing w:after="0" w:line="240" w:lineRule="auto"/>
              <w:jc w:val="center"/>
              <w:rPr>
                <w:rFonts w:ascii="Times New Roman" w:hAnsi="Times New Roman"/>
                <w:sz w:val="16"/>
                <w:szCs w:val="16"/>
              </w:rPr>
            </w:pPr>
            <w:r w:rsidRPr="008211FD">
              <w:rPr>
                <w:rFonts w:ascii="Times New Roman" w:hAnsi="Times New Roman"/>
                <w:sz w:val="16"/>
                <w:szCs w:val="16"/>
              </w:rPr>
              <w:t>9</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rPr>
                <w:b/>
                <w:bCs/>
                <w:sz w:val="16"/>
                <w:szCs w:val="16"/>
              </w:rPr>
            </w:pPr>
            <w:r w:rsidRPr="008211FD">
              <w:rPr>
                <w:b/>
                <w:bCs/>
                <w:sz w:val="16"/>
                <w:szCs w:val="16"/>
              </w:rPr>
              <w:t>26/27</w:t>
            </w:r>
          </w:p>
        </w:tc>
        <w:tc>
          <w:tcPr>
            <w:tcW w:w="1544"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100" w:afterAutospacing="1" w:line="240" w:lineRule="auto"/>
              <w:rPr>
                <w:rFonts w:ascii="Times New Roman" w:hAnsi="Times New Roman"/>
                <w:sz w:val="16"/>
                <w:szCs w:val="16"/>
              </w:rPr>
            </w:pPr>
            <w:r w:rsidRPr="008211FD">
              <w:rPr>
                <w:rFonts w:ascii="Times New Roman" w:hAnsi="Times New Roman"/>
                <w:sz w:val="16"/>
                <w:szCs w:val="16"/>
              </w:rPr>
              <w:t>Fabricação de equipamentos de informática, produtos eletrônicos e ópticos; Fabricação de aparelhos e materiais elétricos.</w:t>
            </w:r>
          </w:p>
        </w:tc>
        <w:tc>
          <w:tcPr>
            <w:tcW w:w="260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Eugênio Staub, José Marques, Paulo Velinho, Nelson Silveira, Adilson Primo, Olavo Machado Jr.</w:t>
            </w:r>
          </w:p>
        </w:tc>
        <w:tc>
          <w:tcPr>
            <w:tcW w:w="249"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center"/>
              <w:rPr>
                <w:rFonts w:ascii="Times New Roman" w:hAnsi="Times New Roman"/>
                <w:sz w:val="16"/>
                <w:szCs w:val="16"/>
                <w:lang w:val="pt-PT"/>
              </w:rPr>
            </w:pPr>
            <w:r w:rsidRPr="008211FD">
              <w:rPr>
                <w:rFonts w:ascii="Times New Roman" w:hAnsi="Times New Roman"/>
                <w:sz w:val="16"/>
                <w:szCs w:val="16"/>
                <w:lang w:val="pt-PT"/>
              </w:rPr>
              <w:t>6</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28</w:t>
            </w:r>
          </w:p>
        </w:tc>
        <w:tc>
          <w:tcPr>
            <w:tcW w:w="1544"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100" w:afterAutospacing="1" w:line="240" w:lineRule="auto"/>
              <w:rPr>
                <w:rFonts w:ascii="Times New Roman" w:hAnsi="Times New Roman"/>
                <w:sz w:val="16"/>
                <w:szCs w:val="16"/>
              </w:rPr>
            </w:pPr>
            <w:r w:rsidRPr="008211FD">
              <w:rPr>
                <w:rFonts w:ascii="Times New Roman" w:hAnsi="Times New Roman"/>
                <w:sz w:val="16"/>
                <w:szCs w:val="16"/>
              </w:rPr>
              <w:t>Fabricação de máquinas e equipamentos</w:t>
            </w:r>
          </w:p>
        </w:tc>
        <w:tc>
          <w:tcPr>
            <w:tcW w:w="260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Commarcadores"/>
              <w:tabs>
                <w:tab w:val="clear" w:pos="360"/>
              </w:tabs>
              <w:ind w:left="0" w:firstLine="0"/>
              <w:rPr>
                <w:sz w:val="16"/>
                <w:szCs w:val="16"/>
              </w:rPr>
            </w:pPr>
            <w:r w:rsidRPr="008211FD">
              <w:rPr>
                <w:sz w:val="16"/>
                <w:szCs w:val="16"/>
              </w:rPr>
              <w:t>Luiz Leite, Maurilio Biagi Fº, Luiz Aubert Neto, Adilson Primo.</w:t>
            </w:r>
          </w:p>
        </w:tc>
        <w:tc>
          <w:tcPr>
            <w:tcW w:w="249"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DecimalAligned"/>
              <w:tabs>
                <w:tab w:val="clear" w:pos="360"/>
                <w:tab w:val="decimal" w:pos="0"/>
              </w:tabs>
              <w:spacing w:after="0" w:line="240" w:lineRule="auto"/>
              <w:jc w:val="center"/>
              <w:rPr>
                <w:rFonts w:ascii="Times New Roman" w:hAnsi="Times New Roman"/>
                <w:sz w:val="16"/>
                <w:szCs w:val="16"/>
              </w:rPr>
            </w:pPr>
            <w:r w:rsidRPr="008211FD">
              <w:rPr>
                <w:rFonts w:ascii="Times New Roman" w:hAnsi="Times New Roman"/>
                <w:sz w:val="16"/>
                <w:szCs w:val="16"/>
              </w:rPr>
              <w:t>4</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29/294</w:t>
            </w:r>
          </w:p>
        </w:tc>
        <w:tc>
          <w:tcPr>
            <w:tcW w:w="1544"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rPr>
                <w:rFonts w:ascii="Times New Roman" w:hAnsi="Times New Roman"/>
                <w:color w:val="000000"/>
                <w:sz w:val="16"/>
                <w:szCs w:val="16"/>
              </w:rPr>
            </w:pPr>
            <w:r w:rsidRPr="008211FD">
              <w:rPr>
                <w:rFonts w:ascii="Times New Roman" w:hAnsi="Times New Roman"/>
                <w:color w:val="000000"/>
                <w:sz w:val="16"/>
                <w:szCs w:val="16"/>
              </w:rPr>
              <w:t>Fabricação de veículos e autopeças</w:t>
            </w:r>
          </w:p>
        </w:tc>
        <w:tc>
          <w:tcPr>
            <w:tcW w:w="260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DecimalAligned"/>
              <w:tabs>
                <w:tab w:val="clear" w:pos="360"/>
                <w:tab w:val="decimal" w:pos="0"/>
              </w:tabs>
              <w:spacing w:after="0" w:line="240" w:lineRule="auto"/>
              <w:rPr>
                <w:rFonts w:ascii="Times New Roman" w:hAnsi="Times New Roman"/>
                <w:sz w:val="16"/>
                <w:szCs w:val="16"/>
              </w:rPr>
            </w:pPr>
            <w:r w:rsidRPr="008211FD">
              <w:rPr>
                <w:rFonts w:ascii="Times New Roman" w:hAnsi="Times New Roman"/>
                <w:sz w:val="16"/>
                <w:szCs w:val="16"/>
              </w:rPr>
              <w:t>Mauro Knijniki, Miguel Jorge Fº, Ricardo Carvalho, Rogelio Golfarb, Paulo Tigre, Cledorvino Belini, Renato Conill, Jackson Schneider.</w:t>
            </w:r>
          </w:p>
        </w:tc>
        <w:tc>
          <w:tcPr>
            <w:tcW w:w="249"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8</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NormalWeb"/>
              <w:spacing w:before="0" w:beforeAutospacing="0" w:after="0" w:afterAutospacing="0"/>
              <w:rPr>
                <w:b/>
                <w:bCs/>
                <w:sz w:val="16"/>
                <w:szCs w:val="16"/>
              </w:rPr>
            </w:pPr>
            <w:r w:rsidRPr="008211FD">
              <w:rPr>
                <w:b/>
                <w:bCs/>
                <w:sz w:val="16"/>
                <w:szCs w:val="16"/>
              </w:rPr>
              <w:t>304</w:t>
            </w:r>
          </w:p>
        </w:tc>
        <w:tc>
          <w:tcPr>
            <w:tcW w:w="1544"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100" w:afterAutospacing="1" w:line="240" w:lineRule="auto"/>
              <w:rPr>
                <w:rFonts w:ascii="Times New Roman" w:hAnsi="Times New Roman"/>
                <w:color w:val="000000"/>
                <w:sz w:val="16"/>
                <w:szCs w:val="16"/>
              </w:rPr>
            </w:pPr>
            <w:r w:rsidRPr="008211FD">
              <w:rPr>
                <w:rFonts w:ascii="Times New Roman" w:hAnsi="Times New Roman"/>
                <w:color w:val="000000"/>
                <w:sz w:val="16"/>
                <w:szCs w:val="16"/>
              </w:rPr>
              <w:t>Fabricação de aeronaves</w:t>
            </w:r>
          </w:p>
        </w:tc>
        <w:tc>
          <w:tcPr>
            <w:tcW w:w="260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Jackson Schneider, Maurício Botelho.</w:t>
            </w:r>
          </w:p>
        </w:tc>
        <w:tc>
          <w:tcPr>
            <w:tcW w:w="249"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2</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rPr>
                <w:b/>
                <w:bCs/>
                <w:sz w:val="16"/>
                <w:szCs w:val="16"/>
              </w:rPr>
            </w:pPr>
            <w:r w:rsidRPr="008211FD">
              <w:rPr>
                <w:b/>
                <w:bCs/>
                <w:sz w:val="16"/>
                <w:szCs w:val="16"/>
              </w:rPr>
              <w:t>324</w:t>
            </w:r>
          </w:p>
        </w:tc>
        <w:tc>
          <w:tcPr>
            <w:tcW w:w="1544"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rPr>
                <w:rFonts w:ascii="Times New Roman" w:hAnsi="Times New Roman"/>
                <w:color w:val="000000"/>
                <w:sz w:val="16"/>
                <w:szCs w:val="16"/>
              </w:rPr>
            </w:pPr>
            <w:r w:rsidRPr="008211FD">
              <w:rPr>
                <w:rFonts w:ascii="Times New Roman" w:hAnsi="Times New Roman"/>
                <w:color w:val="000000"/>
                <w:sz w:val="16"/>
                <w:szCs w:val="16"/>
              </w:rPr>
              <w:t>Fabricação de brinquedos e jogos</w:t>
            </w:r>
          </w:p>
        </w:tc>
        <w:tc>
          <w:tcPr>
            <w:tcW w:w="260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Oded Grajew.</w:t>
            </w:r>
          </w:p>
        </w:tc>
        <w:tc>
          <w:tcPr>
            <w:tcW w:w="249"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1</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NormalWeb"/>
              <w:spacing w:before="0" w:beforeAutospacing="0" w:after="0" w:afterAutospacing="0"/>
              <w:rPr>
                <w:b/>
                <w:bCs/>
                <w:sz w:val="16"/>
                <w:szCs w:val="16"/>
              </w:rPr>
            </w:pPr>
            <w:r w:rsidRPr="008211FD">
              <w:rPr>
                <w:b/>
                <w:bCs/>
                <w:sz w:val="16"/>
                <w:szCs w:val="16"/>
              </w:rPr>
              <w:t>35 – Seção D</w:t>
            </w:r>
          </w:p>
        </w:tc>
        <w:tc>
          <w:tcPr>
            <w:tcW w:w="1544"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hAnsi="Times New Roman"/>
                <w:color w:val="000000"/>
                <w:sz w:val="16"/>
                <w:szCs w:val="16"/>
              </w:rPr>
            </w:pPr>
            <w:r w:rsidRPr="008211FD">
              <w:rPr>
                <w:rFonts w:ascii="Times New Roman" w:hAnsi="Times New Roman"/>
                <w:color w:val="000000"/>
                <w:sz w:val="16"/>
                <w:szCs w:val="16"/>
              </w:rPr>
              <w:t>Energia Elétrica</w:t>
            </w:r>
          </w:p>
        </w:tc>
        <w:tc>
          <w:tcPr>
            <w:tcW w:w="260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Robson Andrade, Roger Agnelli, Paulo Godoy, Nelson Silveira,  Luiz Abreu</w:t>
            </w:r>
          </w:p>
        </w:tc>
        <w:tc>
          <w:tcPr>
            <w:tcW w:w="249"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5</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rPr>
                <w:b/>
                <w:bCs/>
                <w:sz w:val="16"/>
                <w:szCs w:val="16"/>
              </w:rPr>
            </w:pPr>
            <w:r w:rsidRPr="008211FD">
              <w:rPr>
                <w:b/>
                <w:bCs/>
                <w:sz w:val="16"/>
                <w:szCs w:val="16"/>
              </w:rPr>
              <w:t>41/42 – Seção F</w:t>
            </w:r>
          </w:p>
        </w:tc>
        <w:tc>
          <w:tcPr>
            <w:tcW w:w="1544"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rPr>
                <w:sz w:val="16"/>
                <w:szCs w:val="16"/>
              </w:rPr>
            </w:pPr>
            <w:r w:rsidRPr="008211FD">
              <w:rPr>
                <w:sz w:val="16"/>
                <w:szCs w:val="16"/>
              </w:rPr>
              <w:t>Construção e Infraestrutura</w:t>
            </w:r>
          </w:p>
        </w:tc>
        <w:tc>
          <w:tcPr>
            <w:tcW w:w="260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rPr>
                <w:sz w:val="16"/>
                <w:szCs w:val="16"/>
              </w:rPr>
            </w:pPr>
            <w:r w:rsidRPr="008211FD">
              <w:rPr>
                <w:sz w:val="16"/>
                <w:szCs w:val="16"/>
              </w:rPr>
              <w:t>José Marques, Luftala Bitar, Mauro Knijniki, Paulo Simão, Pedro Jereissati, Waldemar Verdi Jr, Carlos Jereissati, Paulo Godoy, Lincoln Fernandes, Vicente Matos, Carlos Farias, Adilson Primo, Walter Torre Jr., Olavo Machado Jr. Marcelo Odebrecht, Maurílio Biagi e Fernando Ferreira.</w:t>
            </w:r>
          </w:p>
        </w:tc>
        <w:tc>
          <w:tcPr>
            <w:tcW w:w="249"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17</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eastAsia="Times New Roman" w:hAnsi="Times New Roman"/>
                <w:b/>
                <w:bCs/>
                <w:sz w:val="16"/>
                <w:szCs w:val="16"/>
              </w:rPr>
            </w:pPr>
            <w:r w:rsidRPr="008211FD">
              <w:rPr>
                <w:rFonts w:ascii="Times New Roman" w:eastAsia="Times New Roman" w:hAnsi="Times New Roman"/>
                <w:b/>
                <w:bCs/>
                <w:sz w:val="16"/>
                <w:szCs w:val="16"/>
              </w:rPr>
              <w:t>45/46/47 – Seção G</w:t>
            </w:r>
          </w:p>
        </w:tc>
        <w:tc>
          <w:tcPr>
            <w:tcW w:w="1544"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100" w:afterAutospacing="1" w:line="240" w:lineRule="auto"/>
              <w:rPr>
                <w:rFonts w:ascii="Times New Roman" w:hAnsi="Times New Roman"/>
                <w:sz w:val="16"/>
                <w:szCs w:val="16"/>
              </w:rPr>
            </w:pPr>
            <w:r w:rsidRPr="008211FD">
              <w:rPr>
                <w:rFonts w:ascii="Times New Roman" w:hAnsi="Times New Roman"/>
                <w:sz w:val="16"/>
                <w:szCs w:val="16"/>
              </w:rPr>
              <w:t>Comércio (veículos, varejista e atacadista)</w:t>
            </w:r>
          </w:p>
        </w:tc>
        <w:tc>
          <w:tcPr>
            <w:tcW w:w="260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DecimalAligned"/>
              <w:tabs>
                <w:tab w:val="clear" w:pos="360"/>
              </w:tabs>
              <w:spacing w:after="0" w:line="240" w:lineRule="auto"/>
              <w:rPr>
                <w:rFonts w:ascii="Times New Roman" w:hAnsi="Times New Roman"/>
                <w:sz w:val="16"/>
                <w:szCs w:val="16"/>
              </w:rPr>
            </w:pPr>
            <w:r w:rsidRPr="008211FD">
              <w:rPr>
                <w:rFonts w:ascii="Times New Roman" w:hAnsi="Times New Roman"/>
                <w:sz w:val="16"/>
                <w:szCs w:val="16"/>
              </w:rPr>
              <w:t>Abílio Diniz, Cosette Alves, Eduardo Vieira, José Carvalho, Luiz Leite, Waldemar Verdi Jr., Alair Martins, Humberto Mota, Luiza Trajano,  Cláudio Conz, Sérgio Reze, Renato Conill.</w:t>
            </w:r>
          </w:p>
        </w:tc>
        <w:tc>
          <w:tcPr>
            <w:tcW w:w="249"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12</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rPr>
                <w:b/>
                <w:bCs/>
                <w:sz w:val="16"/>
                <w:szCs w:val="16"/>
              </w:rPr>
            </w:pPr>
            <w:r w:rsidRPr="008211FD">
              <w:rPr>
                <w:b/>
                <w:bCs/>
                <w:sz w:val="16"/>
                <w:szCs w:val="16"/>
              </w:rPr>
              <w:t>61 – Seção J</w:t>
            </w:r>
          </w:p>
        </w:tc>
        <w:tc>
          <w:tcPr>
            <w:tcW w:w="1544"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100" w:afterAutospacing="1" w:line="240" w:lineRule="auto"/>
              <w:rPr>
                <w:rFonts w:ascii="Times New Roman" w:hAnsi="Times New Roman"/>
                <w:sz w:val="16"/>
                <w:szCs w:val="16"/>
              </w:rPr>
            </w:pPr>
            <w:r w:rsidRPr="008211FD">
              <w:rPr>
                <w:rFonts w:ascii="Times New Roman" w:hAnsi="Times New Roman"/>
                <w:sz w:val="16"/>
                <w:szCs w:val="16"/>
              </w:rPr>
              <w:t>Telecomunicações</w:t>
            </w:r>
          </w:p>
        </w:tc>
        <w:tc>
          <w:tcPr>
            <w:tcW w:w="260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Fernando Ferreira, Pedro Jereissati, Carlos Jereissati, Antonio Silva.</w:t>
            </w:r>
          </w:p>
        </w:tc>
        <w:tc>
          <w:tcPr>
            <w:tcW w:w="249"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jc w:val="center"/>
              <w:rPr>
                <w:sz w:val="16"/>
                <w:szCs w:val="16"/>
              </w:rPr>
            </w:pPr>
            <w:r w:rsidRPr="008211FD">
              <w:rPr>
                <w:sz w:val="16"/>
                <w:szCs w:val="16"/>
              </w:rPr>
              <w:t>4</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NormalWeb"/>
              <w:spacing w:before="0" w:beforeAutospacing="0" w:after="0" w:afterAutospacing="0"/>
              <w:rPr>
                <w:b/>
                <w:bCs/>
                <w:sz w:val="16"/>
                <w:szCs w:val="16"/>
              </w:rPr>
            </w:pPr>
            <w:r w:rsidRPr="008211FD">
              <w:rPr>
                <w:b/>
                <w:bCs/>
                <w:sz w:val="16"/>
                <w:szCs w:val="16"/>
              </w:rPr>
              <w:t>64 – Seção K</w:t>
            </w:r>
          </w:p>
        </w:tc>
        <w:tc>
          <w:tcPr>
            <w:tcW w:w="1544"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100" w:afterAutospacing="1" w:line="240" w:lineRule="auto"/>
              <w:rPr>
                <w:rFonts w:ascii="Times New Roman" w:hAnsi="Times New Roman"/>
                <w:sz w:val="16"/>
                <w:szCs w:val="16"/>
              </w:rPr>
            </w:pPr>
            <w:r w:rsidRPr="008211FD">
              <w:rPr>
                <w:rFonts w:ascii="Times New Roman" w:hAnsi="Times New Roman"/>
                <w:sz w:val="16"/>
                <w:szCs w:val="16"/>
              </w:rPr>
              <w:t>Atividades Financeiras, de Seguros e serviços relacionados</w:t>
            </w:r>
          </w:p>
        </w:tc>
        <w:tc>
          <w:tcPr>
            <w:tcW w:w="260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 xml:space="preserve">Benjamin Steinbruch, Daniel Feffer, Eduardo Vieira, Fábio Barbosa, Fernando Salles, Fernando Ferreira, Gabriel Ferreira, Gustavo Garat, Jorge Gerdau, Márcio Cypriano, Márcio Freitas, Miguel Jorge Fº., Milu Villela, Raymundo Magliano, </w:t>
            </w:r>
            <w:r w:rsidR="00910072">
              <w:rPr>
                <w:rFonts w:ascii="Times New Roman" w:hAnsi="Times New Roman"/>
                <w:sz w:val="16"/>
                <w:szCs w:val="16"/>
              </w:rPr>
              <w:t xml:space="preserve">Antoninho Trevisan, </w:t>
            </w:r>
            <w:r w:rsidRPr="008211FD">
              <w:rPr>
                <w:rFonts w:ascii="Times New Roman" w:hAnsi="Times New Roman"/>
                <w:sz w:val="16"/>
                <w:szCs w:val="16"/>
              </w:rPr>
              <w:t>Roberto Setúbal, Roger Agnelli, Viviane Senna, Waldemar Verdi Jr, Rogelio Golfarb, João Campos, Alair Martins, Maurício Botelho, Luiz Abreu, Cledorvino Belini, Marcelo Giufrida.</w:t>
            </w:r>
          </w:p>
        </w:tc>
        <w:tc>
          <w:tcPr>
            <w:tcW w:w="249"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910072">
            <w:pPr>
              <w:pStyle w:val="NormalWeb"/>
              <w:spacing w:before="0" w:beforeAutospacing="0" w:after="0" w:afterAutospacing="0"/>
              <w:jc w:val="center"/>
              <w:rPr>
                <w:sz w:val="16"/>
                <w:szCs w:val="16"/>
              </w:rPr>
            </w:pPr>
            <w:r w:rsidRPr="008211FD">
              <w:rPr>
                <w:sz w:val="16"/>
                <w:szCs w:val="16"/>
              </w:rPr>
              <w:t>2</w:t>
            </w:r>
            <w:r w:rsidR="00910072">
              <w:rPr>
                <w:sz w:val="16"/>
                <w:szCs w:val="16"/>
              </w:rPr>
              <w:t>6</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rPr>
                <w:b/>
                <w:bCs/>
                <w:sz w:val="16"/>
                <w:szCs w:val="16"/>
              </w:rPr>
            </w:pPr>
            <w:r w:rsidRPr="008211FD">
              <w:rPr>
                <w:b/>
                <w:bCs/>
                <w:sz w:val="16"/>
                <w:szCs w:val="16"/>
              </w:rPr>
              <w:t>70 – Seção M</w:t>
            </w:r>
          </w:p>
        </w:tc>
        <w:tc>
          <w:tcPr>
            <w:tcW w:w="1544"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100" w:afterAutospacing="1" w:line="240" w:lineRule="auto"/>
              <w:rPr>
                <w:rFonts w:ascii="Times New Roman" w:hAnsi="Times New Roman"/>
                <w:color w:val="000000"/>
                <w:sz w:val="16"/>
                <w:szCs w:val="16"/>
              </w:rPr>
            </w:pPr>
            <w:r w:rsidRPr="008211FD">
              <w:rPr>
                <w:rFonts w:ascii="Times New Roman" w:hAnsi="Times New Roman"/>
                <w:color w:val="000000"/>
                <w:sz w:val="16"/>
                <w:szCs w:val="16"/>
              </w:rPr>
              <w:t>Consultoria em gestão empresarial</w:t>
            </w:r>
          </w:p>
        </w:tc>
        <w:tc>
          <w:tcPr>
            <w:tcW w:w="2607"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spacing w:after="0" w:line="240" w:lineRule="auto"/>
              <w:rPr>
                <w:rFonts w:ascii="Times New Roman" w:hAnsi="Times New Roman"/>
                <w:sz w:val="16"/>
                <w:szCs w:val="16"/>
                <w:lang w:val="pt-PT"/>
              </w:rPr>
            </w:pPr>
            <w:r w:rsidRPr="008211FD">
              <w:rPr>
                <w:rFonts w:ascii="Times New Roman" w:hAnsi="Times New Roman"/>
                <w:sz w:val="16"/>
                <w:szCs w:val="16"/>
              </w:rPr>
              <w:t xml:space="preserve">Antoninho Trevisan, José Mizael, Luiz Gomes, Mauro Knijniki, Paulo Velinho, </w:t>
            </w:r>
            <w:r w:rsidRPr="008211FD">
              <w:rPr>
                <w:rFonts w:ascii="Times New Roman" w:hAnsi="Times New Roman"/>
                <w:sz w:val="16"/>
                <w:szCs w:val="16"/>
                <w:lang w:val="pt-PT"/>
              </w:rPr>
              <w:t xml:space="preserve">Mauricio Botelho, Murilo Aragão, Antonio Gil, Fernando Alves. </w:t>
            </w:r>
          </w:p>
        </w:tc>
        <w:tc>
          <w:tcPr>
            <w:tcW w:w="249" w:type="pct"/>
            <w:tcBorders>
              <w:top w:val="single" w:sz="8" w:space="0" w:color="4F81BD"/>
              <w:left w:val="single" w:sz="8" w:space="0" w:color="4F81BD"/>
              <w:bottom w:val="single" w:sz="8" w:space="0" w:color="4F81BD"/>
              <w:right w:val="single" w:sz="8" w:space="0" w:color="4F81BD"/>
            </w:tcBorders>
          </w:tcPr>
          <w:p w:rsidR="00582426" w:rsidRPr="008211FD" w:rsidRDefault="00582426" w:rsidP="008211FD">
            <w:pPr>
              <w:pStyle w:val="NormalWeb"/>
              <w:spacing w:before="0" w:beforeAutospacing="0" w:after="0" w:afterAutospacing="0"/>
              <w:jc w:val="center"/>
              <w:rPr>
                <w:sz w:val="16"/>
                <w:szCs w:val="16"/>
              </w:rPr>
            </w:pPr>
            <w:r w:rsidRPr="008211FD">
              <w:rPr>
                <w:sz w:val="16"/>
                <w:szCs w:val="16"/>
              </w:rPr>
              <w:t>9</w:t>
            </w:r>
          </w:p>
        </w:tc>
      </w:tr>
      <w:tr w:rsidR="00582426" w:rsidRPr="008211FD" w:rsidTr="00CB3F9D">
        <w:tc>
          <w:tcPr>
            <w:tcW w:w="600"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NormalWeb"/>
              <w:spacing w:before="0" w:beforeAutospacing="0" w:after="0" w:afterAutospacing="0"/>
              <w:rPr>
                <w:b/>
                <w:bCs/>
                <w:sz w:val="16"/>
                <w:szCs w:val="16"/>
              </w:rPr>
            </w:pPr>
            <w:r w:rsidRPr="008211FD">
              <w:rPr>
                <w:b/>
                <w:bCs/>
                <w:sz w:val="16"/>
                <w:szCs w:val="16"/>
              </w:rPr>
              <w:t>85 – Seção P</w:t>
            </w:r>
          </w:p>
        </w:tc>
        <w:tc>
          <w:tcPr>
            <w:tcW w:w="1544"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pStyle w:val="NormalWeb"/>
              <w:spacing w:before="0" w:beforeAutospacing="0"/>
              <w:rPr>
                <w:color w:val="000000"/>
                <w:sz w:val="16"/>
                <w:szCs w:val="16"/>
              </w:rPr>
            </w:pPr>
            <w:r w:rsidRPr="008211FD">
              <w:rPr>
                <w:color w:val="000000"/>
                <w:sz w:val="16"/>
                <w:szCs w:val="16"/>
              </w:rPr>
              <w:t>Educação/Ensino de Idiomas</w:t>
            </w:r>
          </w:p>
        </w:tc>
        <w:tc>
          <w:tcPr>
            <w:tcW w:w="2607"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Ricardo Young, Viviane Senna,  Antonio Neto</w:t>
            </w:r>
            <w:r w:rsidR="00910072">
              <w:rPr>
                <w:rFonts w:ascii="Times New Roman" w:hAnsi="Times New Roman"/>
                <w:sz w:val="16"/>
                <w:szCs w:val="16"/>
              </w:rPr>
              <w:t>, Antoninho Trevisan</w:t>
            </w:r>
            <w:r w:rsidRPr="008211FD">
              <w:rPr>
                <w:rFonts w:ascii="Times New Roman" w:hAnsi="Times New Roman"/>
                <w:sz w:val="16"/>
                <w:szCs w:val="16"/>
              </w:rPr>
              <w:t xml:space="preserve"> e  Maria Ferreira.</w:t>
            </w:r>
          </w:p>
        </w:tc>
        <w:tc>
          <w:tcPr>
            <w:tcW w:w="249" w:type="pct"/>
            <w:tcBorders>
              <w:top w:val="single" w:sz="8" w:space="0" w:color="4F81BD"/>
              <w:left w:val="single" w:sz="8" w:space="0" w:color="4F81BD"/>
              <w:bottom w:val="single" w:sz="8" w:space="0" w:color="4F81BD"/>
              <w:right w:val="single" w:sz="8" w:space="0" w:color="4F81BD"/>
            </w:tcBorders>
            <w:shd w:val="clear" w:color="auto" w:fill="D3DFEE"/>
          </w:tcPr>
          <w:p w:rsidR="00582426" w:rsidRPr="008211FD" w:rsidRDefault="00910072" w:rsidP="008211FD">
            <w:pPr>
              <w:spacing w:after="0" w:line="240" w:lineRule="auto"/>
              <w:jc w:val="center"/>
              <w:rPr>
                <w:rFonts w:ascii="Times New Roman" w:hAnsi="Times New Roman"/>
                <w:sz w:val="16"/>
                <w:szCs w:val="16"/>
              </w:rPr>
            </w:pPr>
            <w:r>
              <w:rPr>
                <w:rFonts w:ascii="Times New Roman" w:hAnsi="Times New Roman"/>
                <w:sz w:val="16"/>
                <w:szCs w:val="16"/>
              </w:rPr>
              <w:t>5</w:t>
            </w:r>
          </w:p>
        </w:tc>
      </w:tr>
    </w:tbl>
    <w:p w:rsidR="00CB3F9D" w:rsidRPr="006D30AB" w:rsidRDefault="00CB3F9D" w:rsidP="006D30AB">
      <w:pPr>
        <w:spacing w:after="0" w:line="240" w:lineRule="auto"/>
        <w:jc w:val="both"/>
      </w:pPr>
      <w:r>
        <w:rPr>
          <w:rFonts w:ascii="Times New Roman" w:hAnsi="Times New Roman"/>
          <w:b/>
          <w:sz w:val="18"/>
          <w:szCs w:val="18"/>
        </w:rPr>
        <w:t>Elaboração própria</w:t>
      </w:r>
      <w:r w:rsidR="006D30AB">
        <w:rPr>
          <w:rFonts w:ascii="Times New Roman" w:hAnsi="Times New Roman"/>
          <w:b/>
          <w:sz w:val="18"/>
          <w:szCs w:val="18"/>
        </w:rPr>
        <w:t xml:space="preserve">. Fontes: </w:t>
      </w:r>
      <w:r w:rsidR="006D30AB">
        <w:rPr>
          <w:rFonts w:ascii="Times New Roman" w:hAnsi="Times New Roman"/>
          <w:sz w:val="18"/>
          <w:szCs w:val="18"/>
        </w:rPr>
        <w:t>site do CDES, do CNAE, dos grupos econômicos e firmas que os empresários do Conselho se vinculavam e pesquisas na internet.</w:t>
      </w:r>
    </w:p>
    <w:p w:rsidR="00CB3F9D" w:rsidRDefault="00CB3F9D" w:rsidP="00582426">
      <w:pPr>
        <w:spacing w:after="0" w:line="360" w:lineRule="auto"/>
        <w:jc w:val="both"/>
      </w:pPr>
    </w:p>
    <w:p w:rsidR="00582426" w:rsidRDefault="00582426" w:rsidP="00CB3F9D">
      <w:pPr>
        <w:spacing w:after="0" w:line="360" w:lineRule="auto"/>
        <w:ind w:firstLine="708"/>
        <w:jc w:val="both"/>
        <w:rPr>
          <w:rFonts w:ascii="Times New Roman" w:hAnsi="Times New Roman"/>
          <w:sz w:val="24"/>
          <w:szCs w:val="24"/>
        </w:rPr>
      </w:pPr>
      <w:r>
        <w:rPr>
          <w:rFonts w:ascii="Times New Roman" w:hAnsi="Times New Roman"/>
          <w:sz w:val="24"/>
          <w:szCs w:val="24"/>
        </w:rPr>
        <w:t>O quadro acima segue a Classificação Nacional de Atividades Econômicas (CNAE) elaborada pelo IBGE.  Em nosso quadro, toda a Seção C contém as divisões econômicas de 10 a 32 (em destaque) que englobam toda a Indústria de Transformação. Nela encontramos 56 inserções de conselheiros-industriais. Computando os 4 conselheiros-empresários que atuavam na empresa agrícola (agronegócio – Seção A), os 8 que atuavam na in</w:t>
      </w:r>
      <w:r w:rsidR="0040010A">
        <w:rPr>
          <w:rFonts w:ascii="Times New Roman" w:hAnsi="Times New Roman"/>
          <w:sz w:val="24"/>
          <w:szCs w:val="24"/>
        </w:rPr>
        <w:t xml:space="preserve">dústria extrativista (Seção B) e </w:t>
      </w:r>
      <w:r>
        <w:rPr>
          <w:rFonts w:ascii="Times New Roman" w:hAnsi="Times New Roman"/>
          <w:sz w:val="24"/>
          <w:szCs w:val="24"/>
        </w:rPr>
        <w:t>os 5 que atuavam na indústria da energia elétricacomo partícipes de atividades industriais,</w:t>
      </w:r>
      <w:r w:rsidR="006D1316">
        <w:rPr>
          <w:rFonts w:ascii="Times New Roman" w:hAnsi="Times New Roman"/>
          <w:sz w:val="24"/>
          <w:szCs w:val="24"/>
        </w:rPr>
        <w:t xml:space="preserve"> isto é, que geram mais-valor, chegamo</w:t>
      </w:r>
      <w:r w:rsidR="0040010A">
        <w:rPr>
          <w:rFonts w:ascii="Times New Roman" w:hAnsi="Times New Roman"/>
          <w:sz w:val="24"/>
          <w:szCs w:val="24"/>
        </w:rPr>
        <w:t>s a 73</w:t>
      </w:r>
      <w:r>
        <w:rPr>
          <w:rFonts w:ascii="Times New Roman" w:hAnsi="Times New Roman"/>
          <w:sz w:val="24"/>
          <w:szCs w:val="24"/>
        </w:rPr>
        <w:t xml:space="preserve"> conselheiros. Apoiando-nos em Pedro Campos, consideramos o setor de construção e infraestrutura (Seção F) também como atividade industrial:</w:t>
      </w:r>
    </w:p>
    <w:p w:rsidR="00582426" w:rsidRPr="00BA101D" w:rsidRDefault="00582426" w:rsidP="00582426">
      <w:pPr>
        <w:spacing w:line="240" w:lineRule="auto"/>
        <w:ind w:left="2268"/>
        <w:jc w:val="both"/>
        <w:rPr>
          <w:rFonts w:ascii="Times New Roman" w:hAnsi="Times New Roman"/>
          <w:sz w:val="20"/>
          <w:szCs w:val="20"/>
        </w:rPr>
      </w:pPr>
      <w:r>
        <w:rPr>
          <w:rFonts w:ascii="Times New Roman" w:hAnsi="Times New Roman"/>
          <w:sz w:val="20"/>
          <w:szCs w:val="20"/>
        </w:rPr>
        <w:t>O ramos da construção civil analisado na tese corresponde, em nossa concepção, a um setor industrial da economia, produtor de valor e de mercadorias. No caso específico da construção pesada, trata-se de uma atividade exercida por empresas que produzem obras de grande envergadura, da chamada infraestrutura, como estradas, usinas de eletricidade e empreendimentos públicos em geral. Portanto, não entendemos que as empresas analisadas podem ser alocadas no chamado setor de serviços da economia, mas sim que seus funcionários e operários produzem valor e mais-valia.</w:t>
      </w:r>
      <w:r>
        <w:rPr>
          <w:rStyle w:val="Refdenotaderodap"/>
          <w:rFonts w:ascii="Times New Roman" w:hAnsi="Times New Roman"/>
          <w:sz w:val="20"/>
          <w:szCs w:val="20"/>
        </w:rPr>
        <w:footnoteReference w:id="220"/>
      </w:r>
    </w:p>
    <w:p w:rsidR="00582426" w:rsidRDefault="00582426" w:rsidP="00582426">
      <w:pPr>
        <w:pStyle w:val="NormalWeb"/>
        <w:spacing w:before="0" w:beforeAutospacing="0" w:after="0" w:afterAutospacing="0" w:line="360" w:lineRule="auto"/>
        <w:ind w:firstLine="708"/>
        <w:jc w:val="both"/>
      </w:pPr>
      <w:r>
        <w:t xml:space="preserve">Sendo assim, </w:t>
      </w:r>
      <w:r w:rsidRPr="00DD16A0">
        <w:t xml:space="preserve">totalizamos </w:t>
      </w:r>
      <w:r w:rsidR="0040010A" w:rsidRPr="00DD16A0">
        <w:t>90</w:t>
      </w:r>
      <w:r w:rsidRPr="00DD16A0">
        <w:t xml:space="preserve"> inserções de conselheiros em atividades </w:t>
      </w:r>
      <w:r w:rsidR="006D1316" w:rsidRPr="00DD16A0">
        <w:t>de extração de valor</w:t>
      </w:r>
      <w:r w:rsidRPr="00DD16A0">
        <w:t xml:space="preserve">, representando </w:t>
      </w:r>
      <w:r w:rsidR="00813A28">
        <w:t>62</w:t>
      </w:r>
      <w:r w:rsidR="00910072">
        <w:rPr>
          <w:i/>
        </w:rPr>
        <w:t>% das 147</w:t>
      </w:r>
      <w:r w:rsidRPr="00DD16A0">
        <w:rPr>
          <w:i/>
        </w:rPr>
        <w:t xml:space="preserve"> inserções</w:t>
      </w:r>
      <w:r>
        <w:t xml:space="preserve"> de todos os conselheiros-empresários nos mais diversos setores da economia. Nesta situação, estamos levando em consideração, cautelosamente, a atuação do grupo empresarial ou firma do conselheiro </w:t>
      </w:r>
      <w:r w:rsidRPr="000D7BC3">
        <w:rPr>
          <w:i/>
        </w:rPr>
        <w:t>em vários setores econômicos e não apenas em que ele é preponderante</w:t>
      </w:r>
      <w:r>
        <w:t xml:space="preserve">. Como as atividades econômicas foram muito mais especificadas, as possibilidades de classificações arbitrárias se reduzem de forma significativa. É preciso esclarecer também que o quadro acima revela não apenas inserções/participações dos conselheiros-empresários nos grupos econômicos e firmas, </w:t>
      </w:r>
      <w:r>
        <w:rPr>
          <w:i/>
        </w:rPr>
        <w:t>mas também situações em que aparecem vinculados a entidades ou associações corporativas de dado setor sem necessariamente estarem nele atuando na condição de proprietário</w:t>
      </w:r>
      <w:r>
        <w:t xml:space="preserve">. Vale lembrar que as </w:t>
      </w:r>
      <w:r w:rsidR="0040010A">
        <w:t>90</w:t>
      </w:r>
      <w:r>
        <w:t xml:space="preserve"> inserções são, na verdade, o </w:t>
      </w:r>
      <w:r w:rsidRPr="008A0F59">
        <w:rPr>
          <w:i/>
        </w:rPr>
        <w:t>acúmulo</w:t>
      </w:r>
      <w:r>
        <w:t xml:space="preserve"> (estoque) da presença empresarial durante todo o período (2003-2010) pesquisado e não o fluxo </w:t>
      </w:r>
      <w:r w:rsidR="007D55FD">
        <w:t xml:space="preserve">anual </w:t>
      </w:r>
      <w:r>
        <w:t>de entradas e saídas dos conselheiros por setor de atividade econômica.</w:t>
      </w:r>
    </w:p>
    <w:p w:rsidR="00582426" w:rsidRDefault="00582426" w:rsidP="00582426">
      <w:pPr>
        <w:pStyle w:val="NormalWeb"/>
        <w:spacing w:before="0" w:beforeAutospacing="0" w:after="0" w:afterAutospacing="0" w:line="360" w:lineRule="auto"/>
        <w:ind w:firstLine="708"/>
        <w:jc w:val="both"/>
      </w:pPr>
      <w:r>
        <w:t xml:space="preserve">Cabe também observar que tal procedimento altera significativamente o percentual dos grupos e firmas industriais, expostos no quadro 2.5, em relação àqueles que se filiavam ao capital comercial e de serviços, e </w:t>
      </w:r>
      <w:r w:rsidR="002D6473">
        <w:t>bancário</w:t>
      </w:r>
      <w:r w:rsidR="006D1316">
        <w:t xml:space="preserve">. Organizados por </w:t>
      </w:r>
      <w:r w:rsidR="006D1316" w:rsidRPr="006D1316">
        <w:rPr>
          <w:i/>
        </w:rPr>
        <w:t>atividade principal</w:t>
      </w:r>
      <w:r>
        <w:t xml:space="preserve">, grupos </w:t>
      </w:r>
      <w:r w:rsidR="00363AF1">
        <w:t xml:space="preserve">e firmas da fração industrial </w:t>
      </w:r>
      <w:r w:rsidR="00A47AE6">
        <w:t xml:space="preserve">(equivalente a fabril, neste sentido) </w:t>
      </w:r>
      <w:r>
        <w:t xml:space="preserve">correspondiam a 50% do total das demais frações. </w:t>
      </w:r>
      <w:r w:rsidR="00181258" w:rsidRPr="000C7CF7">
        <w:t xml:space="preserve">Com a conceitualização marxiana de capital industrial, </w:t>
      </w:r>
      <w:r w:rsidR="0040010A" w:rsidRPr="000C7CF7">
        <w:t>62</w:t>
      </w:r>
      <w:r w:rsidR="00181258" w:rsidRPr="000C7CF7">
        <w:t>% das participações das atividades dos conselheiros-empresários dedica</w:t>
      </w:r>
      <w:r w:rsidR="00A47AE6" w:rsidRPr="000C7CF7">
        <w:t>va</w:t>
      </w:r>
      <w:r w:rsidR="00181258" w:rsidRPr="000C7CF7">
        <w:t>-se à extração de mais-valor</w:t>
      </w:r>
      <w:r w:rsidR="0092012D" w:rsidRPr="000C7CF7">
        <w:t xml:space="preserve">, aproximando-se da dinâmica real de expansão dos investimentos intercapitalistas se comparados meramente à atividade principal dos grupos e firmas </w:t>
      </w:r>
      <w:r w:rsidR="00A47AE6" w:rsidRPr="000C7CF7">
        <w:t xml:space="preserve">em </w:t>
      </w:r>
      <w:r w:rsidR="0092012D" w:rsidRPr="000C7CF7">
        <w:t>que se dedicavam.</w:t>
      </w:r>
      <w:r w:rsidR="00181258">
        <w:t>O</w:t>
      </w:r>
      <w:r>
        <w:t xml:space="preserve">bservamos </w:t>
      </w:r>
      <w:r w:rsidR="00181258">
        <w:t xml:space="preserve">também que </w:t>
      </w:r>
      <w:r w:rsidR="00321AE4">
        <w:t>12</w:t>
      </w:r>
      <w:r>
        <w:t xml:space="preserve"> inserções de conselheiros em atividades propriamente comerciais (Seção G) </w:t>
      </w:r>
      <w:r w:rsidR="00457CF5" w:rsidRPr="00321AE4">
        <w:t>representando 8</w:t>
      </w:r>
      <w:r w:rsidRPr="00321AE4">
        <w:t>% do total</w:t>
      </w:r>
      <w:r w:rsidR="00910072">
        <w:t>e de 18</w:t>
      </w:r>
      <w:r w:rsidR="00321AE4">
        <w:t xml:space="preserve"> serviços(Seções J, M e P) representando 1</w:t>
      </w:r>
      <w:r w:rsidR="00910072">
        <w:t>2</w:t>
      </w:r>
      <w:r w:rsidR="00321AE4">
        <w:t xml:space="preserve">% do total. </w:t>
      </w:r>
      <w:r>
        <w:t xml:space="preserve">Por último, nas atividades </w:t>
      </w:r>
      <w:r w:rsidR="002D6473">
        <w:t xml:space="preserve">bancáriase financeiras não bancárias </w:t>
      </w:r>
      <w:r w:rsidR="00813A28">
        <w:t>(Seção K) agruparam 26</w:t>
      </w:r>
      <w:r>
        <w:t xml:space="preserve"> inserções, isto é, </w:t>
      </w:r>
      <w:r w:rsidRPr="00813A28">
        <w:t>1</w:t>
      </w:r>
      <w:r w:rsidR="00813A28" w:rsidRPr="00813A28">
        <w:t>8</w:t>
      </w:r>
      <w:r w:rsidRPr="00813A28">
        <w:t>% do total</w:t>
      </w:r>
      <w:r>
        <w:t>.</w:t>
      </w:r>
    </w:p>
    <w:p w:rsidR="000410BB" w:rsidRDefault="00582426" w:rsidP="00582426">
      <w:pPr>
        <w:spacing w:after="0" w:line="360" w:lineRule="auto"/>
        <w:jc w:val="both"/>
        <w:rPr>
          <w:rFonts w:ascii="Times New Roman" w:hAnsi="Times New Roman"/>
          <w:sz w:val="24"/>
          <w:szCs w:val="24"/>
        </w:rPr>
      </w:pPr>
      <w:r>
        <w:rPr>
          <w:rFonts w:ascii="Times New Roman" w:hAnsi="Times New Roman"/>
          <w:sz w:val="24"/>
          <w:szCs w:val="24"/>
        </w:rPr>
        <w:tab/>
        <w:t>O intuito de trazermo</w:t>
      </w:r>
      <w:r w:rsidR="007D55FD">
        <w:rPr>
          <w:rFonts w:ascii="Times New Roman" w:hAnsi="Times New Roman"/>
          <w:sz w:val="24"/>
          <w:szCs w:val="24"/>
        </w:rPr>
        <w:t>s as subdivisões das distintas atividades econômicas das frações</w:t>
      </w:r>
      <w:r>
        <w:rPr>
          <w:rFonts w:ascii="Times New Roman" w:hAnsi="Times New Roman"/>
          <w:sz w:val="24"/>
          <w:szCs w:val="24"/>
        </w:rPr>
        <w:t xml:space="preserve"> do </w:t>
      </w:r>
      <w:r w:rsidRPr="000C7CF7">
        <w:rPr>
          <w:rFonts w:ascii="Times New Roman" w:hAnsi="Times New Roman"/>
          <w:sz w:val="24"/>
          <w:szCs w:val="24"/>
        </w:rPr>
        <w:t xml:space="preserve">capital </w:t>
      </w:r>
      <w:r w:rsidR="00181258" w:rsidRPr="000C7CF7">
        <w:rPr>
          <w:rFonts w:ascii="Times New Roman" w:hAnsi="Times New Roman"/>
          <w:sz w:val="24"/>
          <w:szCs w:val="24"/>
        </w:rPr>
        <w:t>funcionante</w:t>
      </w:r>
      <w:r>
        <w:rPr>
          <w:rFonts w:ascii="Times New Roman" w:hAnsi="Times New Roman"/>
          <w:sz w:val="24"/>
          <w:szCs w:val="24"/>
        </w:rPr>
        <w:t>é o d</w:t>
      </w:r>
      <w:r w:rsidR="00A47AE6">
        <w:rPr>
          <w:rFonts w:ascii="Times New Roman" w:hAnsi="Times New Roman"/>
          <w:sz w:val="24"/>
          <w:szCs w:val="24"/>
        </w:rPr>
        <w:t>e evidenciarmos a sua extensão,</w:t>
      </w:r>
      <w:r>
        <w:rPr>
          <w:rFonts w:ascii="Times New Roman" w:hAnsi="Times New Roman"/>
          <w:sz w:val="24"/>
          <w:szCs w:val="24"/>
        </w:rPr>
        <w:t xml:space="preserve"> diversidade </w:t>
      </w:r>
      <w:r w:rsidR="00A47AE6">
        <w:rPr>
          <w:rFonts w:ascii="Times New Roman" w:hAnsi="Times New Roman"/>
          <w:sz w:val="24"/>
          <w:szCs w:val="24"/>
        </w:rPr>
        <w:t xml:space="preserve">e imbricação </w:t>
      </w:r>
      <w:r>
        <w:rPr>
          <w:rFonts w:ascii="Times New Roman" w:hAnsi="Times New Roman"/>
          <w:sz w:val="24"/>
          <w:szCs w:val="24"/>
        </w:rPr>
        <w:t>organizada no interior do Conselho, principalmente no que tange à fração industrial</w:t>
      </w:r>
      <w:r w:rsidR="00A47AE6">
        <w:rPr>
          <w:rFonts w:ascii="Times New Roman" w:hAnsi="Times New Roman"/>
          <w:sz w:val="24"/>
          <w:szCs w:val="24"/>
        </w:rPr>
        <w:t>, produtora de valor</w:t>
      </w:r>
      <w:r>
        <w:rPr>
          <w:rFonts w:ascii="Times New Roman" w:hAnsi="Times New Roman"/>
          <w:sz w:val="24"/>
          <w:szCs w:val="24"/>
        </w:rPr>
        <w:t>. Para se ter uma ideia, das 34 divisões setoriais da seção de Indústria de Transformação elencadas no CNAE, somente 5 não se fizeram representar no CDES.</w:t>
      </w:r>
      <w:r>
        <w:rPr>
          <w:rStyle w:val="Refdenotaderodap"/>
          <w:rFonts w:ascii="Times New Roman" w:hAnsi="Times New Roman"/>
          <w:sz w:val="24"/>
          <w:szCs w:val="24"/>
        </w:rPr>
        <w:footnoteReference w:id="221"/>
      </w:r>
      <w:r>
        <w:rPr>
          <w:rFonts w:ascii="Times New Roman" w:hAnsi="Times New Roman"/>
          <w:sz w:val="24"/>
          <w:szCs w:val="24"/>
        </w:rPr>
        <w:t xml:space="preserve"> Trata-se também, como veremos, de realçar alguns aspectos ligados diretamente à relação existente entre as frações e intrafrações das classes dominantes dispostas no Conselho e a política econôm</w:t>
      </w:r>
      <w:r w:rsidR="000410BB">
        <w:rPr>
          <w:rFonts w:ascii="Times New Roman" w:hAnsi="Times New Roman"/>
          <w:sz w:val="24"/>
          <w:szCs w:val="24"/>
        </w:rPr>
        <w:t>ica dos governos Lula da Silva.</w:t>
      </w:r>
    </w:p>
    <w:p w:rsidR="009D2FCA" w:rsidRDefault="009D2FCA" w:rsidP="009D2FCA">
      <w:pPr>
        <w:spacing w:after="0" w:line="360" w:lineRule="auto"/>
        <w:ind w:firstLine="708"/>
        <w:jc w:val="both"/>
        <w:rPr>
          <w:rFonts w:ascii="Times New Roman" w:hAnsi="Times New Roman"/>
          <w:sz w:val="24"/>
          <w:szCs w:val="24"/>
        </w:rPr>
      </w:pPr>
      <w:r>
        <w:rPr>
          <w:rFonts w:ascii="Times New Roman" w:hAnsi="Times New Roman"/>
          <w:sz w:val="24"/>
          <w:szCs w:val="24"/>
        </w:rPr>
        <w:t>A organização dos setores econômicos disposta no quadro 2.7, principalmente no que concerne a uma classificação da Indústria de Transformação, nos permite perceber as distinções da estrutura produtiva do país e o aprofundamento de tendências postas no cenário econômico brasileiro na primeira década do século XXI. Ela se torna importante instrumento metodológico de análise sobre as frações de classes dispostas no CDES, principalmente no que tange à fração industrial (produtora de valor) que, como vimos, nunca deixou de ser preponderante no Conselho durante todo o período pesquisado (2003-2010).</w:t>
      </w:r>
    </w:p>
    <w:p w:rsidR="0092012D" w:rsidRDefault="0092012D" w:rsidP="0092012D">
      <w:pPr>
        <w:spacing w:after="0" w:line="360" w:lineRule="auto"/>
        <w:jc w:val="both"/>
        <w:rPr>
          <w:rFonts w:ascii="Times New Roman" w:hAnsi="Times New Roman"/>
          <w:b/>
          <w:sz w:val="24"/>
          <w:szCs w:val="24"/>
        </w:rPr>
      </w:pPr>
    </w:p>
    <w:p w:rsidR="0092012D" w:rsidRPr="003F3EC6" w:rsidRDefault="00942240" w:rsidP="00823557">
      <w:pPr>
        <w:spacing w:after="0"/>
        <w:jc w:val="both"/>
        <w:rPr>
          <w:rFonts w:ascii="Times New Roman" w:hAnsi="Times New Roman"/>
          <w:b/>
          <w:sz w:val="24"/>
          <w:szCs w:val="24"/>
        </w:rPr>
      </w:pPr>
      <w:r w:rsidRPr="000410BB">
        <w:rPr>
          <w:rFonts w:ascii="Times New Roman" w:hAnsi="Times New Roman"/>
          <w:b/>
          <w:sz w:val="24"/>
          <w:szCs w:val="24"/>
        </w:rPr>
        <w:t>2</w:t>
      </w:r>
      <w:r w:rsidRPr="003F3EC6">
        <w:rPr>
          <w:rFonts w:ascii="Times New Roman" w:hAnsi="Times New Roman"/>
          <w:b/>
          <w:sz w:val="24"/>
          <w:szCs w:val="24"/>
        </w:rPr>
        <w:t xml:space="preserve">.3.3.1 - </w:t>
      </w:r>
      <w:r w:rsidR="00207C23" w:rsidRPr="003F3EC6">
        <w:rPr>
          <w:rFonts w:ascii="Times New Roman" w:hAnsi="Times New Roman"/>
          <w:b/>
          <w:sz w:val="24"/>
          <w:szCs w:val="24"/>
        </w:rPr>
        <w:t>A</w:t>
      </w:r>
      <w:r w:rsidR="00823557" w:rsidRPr="003F3EC6">
        <w:rPr>
          <w:rFonts w:ascii="Times New Roman" w:hAnsi="Times New Roman"/>
          <w:b/>
          <w:sz w:val="24"/>
          <w:szCs w:val="24"/>
        </w:rPr>
        <w:t xml:space="preserve"> fração produtora de valor, </w:t>
      </w:r>
      <w:r w:rsidR="0092012D" w:rsidRPr="003F3EC6">
        <w:rPr>
          <w:rFonts w:ascii="Times New Roman" w:hAnsi="Times New Roman"/>
          <w:b/>
          <w:sz w:val="24"/>
          <w:szCs w:val="24"/>
        </w:rPr>
        <w:t xml:space="preserve">commoditização </w:t>
      </w:r>
      <w:r w:rsidR="0040010A" w:rsidRPr="003F3EC6">
        <w:rPr>
          <w:rFonts w:ascii="Times New Roman" w:hAnsi="Times New Roman"/>
          <w:b/>
          <w:sz w:val="24"/>
          <w:szCs w:val="24"/>
        </w:rPr>
        <w:t xml:space="preserve">e </w:t>
      </w:r>
      <w:r w:rsidR="00207C23" w:rsidRPr="003F3EC6">
        <w:rPr>
          <w:rFonts w:ascii="Times New Roman" w:hAnsi="Times New Roman"/>
          <w:b/>
          <w:sz w:val="24"/>
          <w:szCs w:val="24"/>
        </w:rPr>
        <w:t>i</w:t>
      </w:r>
      <w:r w:rsidR="005457A1" w:rsidRPr="003F3EC6">
        <w:rPr>
          <w:rFonts w:ascii="Times New Roman" w:hAnsi="Times New Roman"/>
          <w:b/>
          <w:sz w:val="24"/>
          <w:szCs w:val="24"/>
        </w:rPr>
        <w:t>ntensificação tecnoló</w:t>
      </w:r>
      <w:r w:rsidR="0040010A" w:rsidRPr="003F3EC6">
        <w:rPr>
          <w:rFonts w:ascii="Times New Roman" w:hAnsi="Times New Roman"/>
          <w:b/>
          <w:sz w:val="24"/>
          <w:szCs w:val="24"/>
        </w:rPr>
        <w:t>gi</w:t>
      </w:r>
      <w:r w:rsidR="005457A1" w:rsidRPr="003F3EC6">
        <w:rPr>
          <w:rFonts w:ascii="Times New Roman" w:hAnsi="Times New Roman"/>
          <w:b/>
          <w:sz w:val="24"/>
          <w:szCs w:val="24"/>
        </w:rPr>
        <w:t>c</w:t>
      </w:r>
      <w:r w:rsidR="0040010A" w:rsidRPr="003F3EC6">
        <w:rPr>
          <w:rFonts w:ascii="Times New Roman" w:hAnsi="Times New Roman"/>
          <w:b/>
          <w:sz w:val="24"/>
          <w:szCs w:val="24"/>
        </w:rPr>
        <w:t>a</w:t>
      </w:r>
      <w:r w:rsidR="00F605D4" w:rsidRPr="003F3EC6">
        <w:rPr>
          <w:rFonts w:ascii="Times New Roman" w:hAnsi="Times New Roman"/>
          <w:b/>
          <w:sz w:val="24"/>
          <w:szCs w:val="24"/>
        </w:rPr>
        <w:t xml:space="preserve">. </w:t>
      </w:r>
    </w:p>
    <w:p w:rsidR="0092012D" w:rsidRPr="003F3EC6" w:rsidRDefault="0087182C" w:rsidP="00582426">
      <w:pPr>
        <w:spacing w:after="0" w:line="360" w:lineRule="auto"/>
        <w:jc w:val="both"/>
        <w:rPr>
          <w:rFonts w:ascii="Times New Roman" w:hAnsi="Times New Roman"/>
          <w:sz w:val="24"/>
          <w:szCs w:val="24"/>
        </w:rPr>
      </w:pPr>
      <w:r w:rsidRPr="003F3EC6">
        <w:rPr>
          <w:rFonts w:ascii="Times New Roman" w:hAnsi="Times New Roman"/>
          <w:sz w:val="24"/>
          <w:szCs w:val="24"/>
        </w:rPr>
        <w:tab/>
      </w:r>
    </w:p>
    <w:p w:rsidR="009D2FCA" w:rsidRPr="003F3EC6" w:rsidRDefault="00582426" w:rsidP="00582426">
      <w:pPr>
        <w:spacing w:after="0" w:line="360" w:lineRule="auto"/>
        <w:jc w:val="both"/>
        <w:rPr>
          <w:rFonts w:ascii="Times New Roman" w:hAnsi="Times New Roman"/>
          <w:sz w:val="24"/>
          <w:szCs w:val="24"/>
        </w:rPr>
      </w:pPr>
      <w:r w:rsidRPr="003F3EC6">
        <w:rPr>
          <w:rFonts w:ascii="Times New Roman" w:hAnsi="Times New Roman"/>
          <w:sz w:val="24"/>
          <w:szCs w:val="24"/>
        </w:rPr>
        <w:tab/>
      </w:r>
      <w:r w:rsidR="009B06C5" w:rsidRPr="003F3EC6">
        <w:rPr>
          <w:rFonts w:ascii="Times New Roman" w:hAnsi="Times New Roman"/>
          <w:sz w:val="24"/>
          <w:szCs w:val="24"/>
        </w:rPr>
        <w:t>D</w:t>
      </w:r>
      <w:r w:rsidR="0024458A" w:rsidRPr="003F3EC6">
        <w:rPr>
          <w:rFonts w:ascii="Times New Roman" w:hAnsi="Times New Roman"/>
          <w:sz w:val="24"/>
          <w:szCs w:val="24"/>
        </w:rPr>
        <w:t xml:space="preserve">epois da crise econômica de 2008, </w:t>
      </w:r>
      <w:r w:rsidR="009D2FCA" w:rsidRPr="003F3EC6">
        <w:rPr>
          <w:rFonts w:ascii="Times New Roman" w:hAnsi="Times New Roman"/>
          <w:sz w:val="24"/>
          <w:szCs w:val="24"/>
        </w:rPr>
        <w:t xml:space="preserve">principalmente a partir de sua relativa recuperação no ano de 2010, </w:t>
      </w:r>
      <w:r w:rsidR="0024458A" w:rsidRPr="003F3EC6">
        <w:rPr>
          <w:rFonts w:ascii="Times New Roman" w:hAnsi="Times New Roman"/>
          <w:sz w:val="24"/>
          <w:szCs w:val="24"/>
        </w:rPr>
        <w:t>se intensifica no Conselho um debate sobre o padrão produtivo instalado no Brasil</w:t>
      </w:r>
      <w:r w:rsidR="009D2FCA" w:rsidRPr="003F3EC6">
        <w:rPr>
          <w:rFonts w:ascii="Times New Roman" w:hAnsi="Times New Roman"/>
          <w:sz w:val="24"/>
          <w:szCs w:val="24"/>
        </w:rPr>
        <w:t>. Ministros e empresários a</w:t>
      </w:r>
      <w:r w:rsidR="0024458A" w:rsidRPr="003F3EC6">
        <w:rPr>
          <w:rFonts w:ascii="Times New Roman" w:hAnsi="Times New Roman"/>
          <w:sz w:val="24"/>
          <w:szCs w:val="24"/>
        </w:rPr>
        <w:t>ponta</w:t>
      </w:r>
      <w:r w:rsidR="009D2FCA" w:rsidRPr="003F3EC6">
        <w:rPr>
          <w:rFonts w:ascii="Times New Roman" w:hAnsi="Times New Roman"/>
          <w:sz w:val="24"/>
          <w:szCs w:val="24"/>
        </w:rPr>
        <w:t>vam nas reuniões plenárias</w:t>
      </w:r>
      <w:r w:rsidR="009D2FCA" w:rsidRPr="003F3EC6">
        <w:rPr>
          <w:rStyle w:val="Refdenotaderodap"/>
          <w:rFonts w:ascii="Times New Roman" w:hAnsi="Times New Roman"/>
          <w:sz w:val="24"/>
          <w:szCs w:val="24"/>
        </w:rPr>
        <w:footnoteReference w:id="222"/>
      </w:r>
      <w:r w:rsidR="009D2FCA" w:rsidRPr="003F3EC6">
        <w:rPr>
          <w:rFonts w:ascii="Times New Roman" w:hAnsi="Times New Roman"/>
          <w:sz w:val="24"/>
          <w:szCs w:val="24"/>
        </w:rPr>
        <w:t xml:space="preserve"> p</w:t>
      </w:r>
      <w:r w:rsidR="0024458A" w:rsidRPr="003F3EC6">
        <w:rPr>
          <w:rFonts w:ascii="Times New Roman" w:hAnsi="Times New Roman"/>
          <w:sz w:val="24"/>
          <w:szCs w:val="24"/>
        </w:rPr>
        <w:t xml:space="preserve">ara características da economia brasileira </w:t>
      </w:r>
      <w:r w:rsidR="009D2FCA" w:rsidRPr="003F3EC6">
        <w:rPr>
          <w:rFonts w:ascii="Times New Roman" w:hAnsi="Times New Roman"/>
          <w:sz w:val="24"/>
          <w:szCs w:val="24"/>
        </w:rPr>
        <w:t xml:space="preserve">responsáveis pelo ciclo de crescimento econômico experimentado principalmente no segundo governo Lula da Silva, como a commoditização </w:t>
      </w:r>
      <w:r w:rsidR="009B06C5" w:rsidRPr="003F3EC6">
        <w:rPr>
          <w:rFonts w:ascii="Times New Roman" w:hAnsi="Times New Roman"/>
          <w:sz w:val="24"/>
          <w:szCs w:val="24"/>
        </w:rPr>
        <w:t>da pauta exportadora do país</w:t>
      </w:r>
      <w:r w:rsidR="00026005" w:rsidRPr="003F3EC6">
        <w:rPr>
          <w:rFonts w:ascii="Times New Roman" w:hAnsi="Times New Roman"/>
          <w:sz w:val="24"/>
          <w:szCs w:val="24"/>
        </w:rPr>
        <w:t>, mas que era sust</w:t>
      </w:r>
      <w:r w:rsidR="003F3EC6" w:rsidRPr="003F3EC6">
        <w:rPr>
          <w:rFonts w:ascii="Times New Roman" w:hAnsi="Times New Roman"/>
          <w:sz w:val="24"/>
          <w:szCs w:val="24"/>
        </w:rPr>
        <w:t>e</w:t>
      </w:r>
      <w:r w:rsidR="00026005" w:rsidRPr="003F3EC6">
        <w:rPr>
          <w:rFonts w:ascii="Times New Roman" w:hAnsi="Times New Roman"/>
          <w:sz w:val="24"/>
          <w:szCs w:val="24"/>
        </w:rPr>
        <w:t>ntad</w:t>
      </w:r>
      <w:r w:rsidR="008E6552" w:rsidRPr="003F3EC6">
        <w:rPr>
          <w:rFonts w:ascii="Times New Roman" w:hAnsi="Times New Roman"/>
          <w:sz w:val="24"/>
          <w:szCs w:val="24"/>
        </w:rPr>
        <w:t>a</w:t>
      </w:r>
      <w:r w:rsidR="00026005" w:rsidRPr="003F3EC6">
        <w:rPr>
          <w:rFonts w:ascii="Times New Roman" w:hAnsi="Times New Roman"/>
          <w:sz w:val="24"/>
          <w:szCs w:val="24"/>
        </w:rPr>
        <w:t xml:space="preserve"> por empresas</w:t>
      </w:r>
      <w:r w:rsidR="007E1580" w:rsidRPr="003F3EC6">
        <w:rPr>
          <w:rFonts w:ascii="Times New Roman" w:hAnsi="Times New Roman"/>
          <w:sz w:val="24"/>
          <w:szCs w:val="24"/>
        </w:rPr>
        <w:t>de</w:t>
      </w:r>
      <w:r w:rsidR="009D2FCA" w:rsidRPr="003F3EC6">
        <w:rPr>
          <w:rFonts w:ascii="Times New Roman" w:hAnsi="Times New Roman"/>
          <w:sz w:val="24"/>
          <w:szCs w:val="24"/>
        </w:rPr>
        <w:t xml:space="preserve"> baix</w:t>
      </w:r>
      <w:r w:rsidR="007E1580" w:rsidRPr="003F3EC6">
        <w:rPr>
          <w:rFonts w:ascii="Times New Roman" w:hAnsi="Times New Roman"/>
          <w:sz w:val="24"/>
          <w:szCs w:val="24"/>
        </w:rPr>
        <w:t>aintensidade tecnológica.</w:t>
      </w:r>
      <w:r w:rsidR="00E61118" w:rsidRPr="003F3EC6">
        <w:rPr>
          <w:rFonts w:ascii="Times New Roman" w:hAnsi="Times New Roman"/>
          <w:sz w:val="24"/>
          <w:szCs w:val="24"/>
        </w:rPr>
        <w:t xml:space="preserve"> Este debate vinha</w:t>
      </w:r>
      <w:r w:rsidR="009D2FCA" w:rsidRPr="003F3EC6">
        <w:rPr>
          <w:rFonts w:ascii="Times New Roman" w:hAnsi="Times New Roman"/>
          <w:sz w:val="24"/>
          <w:szCs w:val="24"/>
        </w:rPr>
        <w:t xml:space="preserve"> acompanhado da necessidade de “qualificação” técnica e tecnológica da mão d</w:t>
      </w:r>
      <w:r w:rsidR="008E6552" w:rsidRPr="003F3EC6">
        <w:rPr>
          <w:rFonts w:ascii="Times New Roman" w:hAnsi="Times New Roman"/>
          <w:sz w:val="24"/>
          <w:szCs w:val="24"/>
        </w:rPr>
        <w:t>e obra, mas não trataremos</w:t>
      </w:r>
      <w:r w:rsidR="009B06C5" w:rsidRPr="003F3EC6">
        <w:rPr>
          <w:rFonts w:ascii="Times New Roman" w:hAnsi="Times New Roman"/>
          <w:sz w:val="24"/>
          <w:szCs w:val="24"/>
        </w:rPr>
        <w:t xml:space="preserve"> como essa importante e extensa pauta foi trabalhada no interior do Conselho</w:t>
      </w:r>
      <w:r w:rsidR="003F3EC6" w:rsidRPr="003F3EC6">
        <w:rPr>
          <w:rFonts w:ascii="Times New Roman" w:hAnsi="Times New Roman"/>
          <w:sz w:val="24"/>
          <w:szCs w:val="24"/>
        </w:rPr>
        <w:t>. A</w:t>
      </w:r>
      <w:r w:rsidR="001A3AE2" w:rsidRPr="003F3EC6">
        <w:rPr>
          <w:rFonts w:ascii="Times New Roman" w:hAnsi="Times New Roman"/>
          <w:sz w:val="24"/>
          <w:szCs w:val="24"/>
        </w:rPr>
        <w:t xml:space="preserve">penas para anotar, </w:t>
      </w:r>
      <w:r w:rsidR="009B06C5" w:rsidRPr="003F3EC6">
        <w:rPr>
          <w:rFonts w:ascii="Times New Roman" w:hAnsi="Times New Roman"/>
          <w:sz w:val="24"/>
          <w:szCs w:val="24"/>
        </w:rPr>
        <w:t xml:space="preserve">era lugar-comum </w:t>
      </w:r>
      <w:r w:rsidR="008E6552" w:rsidRPr="003F3EC6">
        <w:rPr>
          <w:rFonts w:ascii="Times New Roman" w:hAnsi="Times New Roman"/>
          <w:sz w:val="24"/>
          <w:szCs w:val="24"/>
        </w:rPr>
        <w:t>a defesa de que a elevação da</w:t>
      </w:r>
      <w:r w:rsidR="009B06C5" w:rsidRPr="003F3EC6">
        <w:rPr>
          <w:rFonts w:ascii="Times New Roman" w:hAnsi="Times New Roman"/>
          <w:sz w:val="24"/>
          <w:szCs w:val="24"/>
        </w:rPr>
        <w:t xml:space="preserve"> produtividade das empresas por meio de políticas e incentivos de inovação tecnológica deveria vir acompanhada de uma “preparação adequada” da força de trabalho do país.</w:t>
      </w:r>
    </w:p>
    <w:p w:rsidR="008344C8" w:rsidRPr="003F3EC6" w:rsidRDefault="009D2FCA" w:rsidP="00582426">
      <w:pPr>
        <w:spacing w:line="360" w:lineRule="auto"/>
        <w:jc w:val="both"/>
        <w:rPr>
          <w:rFonts w:ascii="Times New Roman" w:hAnsi="Times New Roman"/>
          <w:sz w:val="24"/>
          <w:szCs w:val="24"/>
        </w:rPr>
      </w:pPr>
      <w:r w:rsidRPr="003F3EC6">
        <w:rPr>
          <w:rFonts w:ascii="Times New Roman" w:hAnsi="Times New Roman"/>
          <w:sz w:val="24"/>
          <w:szCs w:val="24"/>
        </w:rPr>
        <w:tab/>
        <w:t xml:space="preserve">O debate sobre a commoditização da pauta exportadora </w:t>
      </w:r>
      <w:r w:rsidR="00026005" w:rsidRPr="003F3EC6">
        <w:rPr>
          <w:rFonts w:ascii="Times New Roman" w:hAnsi="Times New Roman"/>
          <w:sz w:val="24"/>
          <w:szCs w:val="24"/>
        </w:rPr>
        <w:t xml:space="preserve">e </w:t>
      </w:r>
      <w:r w:rsidR="007E1580" w:rsidRPr="003F3EC6">
        <w:rPr>
          <w:rFonts w:ascii="Times New Roman" w:hAnsi="Times New Roman"/>
          <w:sz w:val="24"/>
          <w:szCs w:val="24"/>
        </w:rPr>
        <w:t>a necessidade de</w:t>
      </w:r>
      <w:r w:rsidR="00026005" w:rsidRPr="003F3EC6">
        <w:rPr>
          <w:rFonts w:ascii="Times New Roman" w:hAnsi="Times New Roman"/>
          <w:sz w:val="24"/>
          <w:szCs w:val="24"/>
        </w:rPr>
        <w:t xml:space="preserve"> aumento da produtividade por meio de políticas de incentivos à inovação tecnológica</w:t>
      </w:r>
      <w:r w:rsidR="007E1580" w:rsidRPr="003F3EC6">
        <w:rPr>
          <w:rFonts w:ascii="Times New Roman" w:hAnsi="Times New Roman"/>
          <w:sz w:val="24"/>
          <w:szCs w:val="24"/>
        </w:rPr>
        <w:t xml:space="preserve"> das empresas (exportadoras ou não)</w:t>
      </w:r>
      <w:r w:rsidR="00026005" w:rsidRPr="003F3EC6">
        <w:rPr>
          <w:rFonts w:ascii="Times New Roman" w:hAnsi="Times New Roman"/>
          <w:sz w:val="24"/>
          <w:szCs w:val="24"/>
        </w:rPr>
        <w:t xml:space="preserve"> era</w:t>
      </w:r>
      <w:r w:rsidR="007D55FD">
        <w:rPr>
          <w:rFonts w:ascii="Times New Roman" w:hAnsi="Times New Roman"/>
          <w:sz w:val="24"/>
          <w:szCs w:val="24"/>
        </w:rPr>
        <w:t>m</w:t>
      </w:r>
      <w:r w:rsidR="00026005" w:rsidRPr="003F3EC6">
        <w:rPr>
          <w:rFonts w:ascii="Times New Roman" w:hAnsi="Times New Roman"/>
          <w:sz w:val="24"/>
          <w:szCs w:val="24"/>
        </w:rPr>
        <w:t xml:space="preserve"> trazido</w:t>
      </w:r>
      <w:r w:rsidR="007D55FD">
        <w:rPr>
          <w:rFonts w:ascii="Times New Roman" w:hAnsi="Times New Roman"/>
          <w:sz w:val="24"/>
          <w:szCs w:val="24"/>
        </w:rPr>
        <w:t>s</w:t>
      </w:r>
      <w:r w:rsidR="00026005" w:rsidRPr="003F3EC6">
        <w:rPr>
          <w:rFonts w:ascii="Times New Roman" w:hAnsi="Times New Roman"/>
          <w:sz w:val="24"/>
          <w:szCs w:val="24"/>
        </w:rPr>
        <w:t xml:space="preserve">, </w:t>
      </w:r>
      <w:r w:rsidRPr="003F3EC6">
        <w:rPr>
          <w:rFonts w:ascii="Times New Roman" w:hAnsi="Times New Roman"/>
          <w:sz w:val="24"/>
          <w:szCs w:val="24"/>
        </w:rPr>
        <w:t>no Conselho</w:t>
      </w:r>
      <w:r w:rsidR="00026005" w:rsidRPr="003F3EC6">
        <w:rPr>
          <w:rFonts w:ascii="Times New Roman" w:hAnsi="Times New Roman"/>
          <w:sz w:val="24"/>
          <w:szCs w:val="24"/>
        </w:rPr>
        <w:t>,</w:t>
      </w:r>
      <w:r w:rsidRPr="003F3EC6">
        <w:rPr>
          <w:rFonts w:ascii="Times New Roman" w:hAnsi="Times New Roman"/>
          <w:sz w:val="24"/>
          <w:szCs w:val="24"/>
        </w:rPr>
        <w:t xml:space="preserve"> substancialmente </w:t>
      </w:r>
      <w:r w:rsidR="009B06C5" w:rsidRPr="003F3EC6">
        <w:rPr>
          <w:rFonts w:ascii="Times New Roman" w:hAnsi="Times New Roman"/>
          <w:sz w:val="24"/>
          <w:szCs w:val="24"/>
        </w:rPr>
        <w:t>pelos empresários</w:t>
      </w:r>
      <w:r w:rsidR="00A333FB" w:rsidRPr="003F3EC6">
        <w:rPr>
          <w:rFonts w:ascii="Times New Roman" w:hAnsi="Times New Roman"/>
          <w:sz w:val="24"/>
          <w:szCs w:val="24"/>
        </w:rPr>
        <w:t xml:space="preserve"> e pass</w:t>
      </w:r>
      <w:r w:rsidR="007D55FD">
        <w:rPr>
          <w:rFonts w:ascii="Times New Roman" w:hAnsi="Times New Roman"/>
          <w:sz w:val="24"/>
          <w:szCs w:val="24"/>
        </w:rPr>
        <w:t>aram</w:t>
      </w:r>
      <w:r w:rsidR="00A333FB" w:rsidRPr="003F3EC6">
        <w:rPr>
          <w:rFonts w:ascii="Times New Roman" w:hAnsi="Times New Roman"/>
          <w:sz w:val="24"/>
          <w:szCs w:val="24"/>
        </w:rPr>
        <w:t xml:space="preserve"> a compor a Agenda para um Novo Ciclo de Desenvolvimento (ANC), </w:t>
      </w:r>
      <w:r w:rsidR="001A3AE2" w:rsidRPr="003F3EC6">
        <w:rPr>
          <w:rFonts w:ascii="Times New Roman" w:hAnsi="Times New Roman"/>
          <w:sz w:val="24"/>
          <w:szCs w:val="24"/>
        </w:rPr>
        <w:t>produzida</w:t>
      </w:r>
      <w:r w:rsidR="00A333FB" w:rsidRPr="003F3EC6">
        <w:rPr>
          <w:rFonts w:ascii="Times New Roman" w:hAnsi="Times New Roman"/>
          <w:sz w:val="24"/>
          <w:szCs w:val="24"/>
        </w:rPr>
        <w:t xml:space="preserve"> durante o ano de 2010 pelos conselheiros. </w:t>
      </w:r>
      <w:r w:rsidR="00026005" w:rsidRPr="003F3EC6">
        <w:rPr>
          <w:rFonts w:ascii="Times New Roman" w:hAnsi="Times New Roman"/>
          <w:sz w:val="24"/>
          <w:szCs w:val="24"/>
        </w:rPr>
        <w:t>Designado de</w:t>
      </w:r>
      <w:r w:rsidR="00A333FB" w:rsidRPr="003F3EC6">
        <w:rPr>
          <w:rFonts w:ascii="Times New Roman" w:hAnsi="Times New Roman"/>
          <w:sz w:val="24"/>
          <w:szCs w:val="24"/>
        </w:rPr>
        <w:t xml:space="preserve"> “padrão de produção para o novo ciclo de desenvolvimento”, </w:t>
      </w:r>
      <w:r w:rsidR="00026005" w:rsidRPr="003F3EC6">
        <w:rPr>
          <w:rFonts w:ascii="Times New Roman" w:hAnsi="Times New Roman"/>
          <w:sz w:val="24"/>
          <w:szCs w:val="24"/>
        </w:rPr>
        <w:t xml:space="preserve">o item na ANC asseverava que </w:t>
      </w:r>
    </w:p>
    <w:p w:rsidR="00A333FB" w:rsidRPr="003F3EC6" w:rsidRDefault="00A333FB" w:rsidP="001A3AE2">
      <w:pPr>
        <w:spacing w:line="240" w:lineRule="auto"/>
        <w:ind w:left="2268"/>
        <w:jc w:val="both"/>
        <w:rPr>
          <w:rFonts w:ascii="Times New Roman" w:hAnsi="Times New Roman"/>
          <w:sz w:val="20"/>
          <w:szCs w:val="20"/>
        </w:rPr>
      </w:pPr>
      <w:r w:rsidRPr="003F3EC6">
        <w:rPr>
          <w:rFonts w:ascii="Times New Roman" w:hAnsi="Times New Roman"/>
          <w:sz w:val="20"/>
          <w:szCs w:val="20"/>
        </w:rPr>
        <w:t>Para o Brasil, um país dota</w:t>
      </w:r>
      <w:r w:rsidR="001A3AE2" w:rsidRPr="003F3EC6">
        <w:rPr>
          <w:rFonts w:ascii="Times New Roman" w:hAnsi="Times New Roman"/>
          <w:sz w:val="20"/>
          <w:szCs w:val="20"/>
        </w:rPr>
        <w:t>d</w:t>
      </w:r>
      <w:r w:rsidRPr="003F3EC6">
        <w:rPr>
          <w:rFonts w:ascii="Times New Roman" w:hAnsi="Times New Roman"/>
          <w:sz w:val="20"/>
          <w:szCs w:val="20"/>
        </w:rPr>
        <w:t xml:space="preserve">o de recursos naturais e que busca se inserir de forma mais ativa nas trocas internacionais, o debate sobre o padrão de produção é estratégico. </w:t>
      </w:r>
      <w:r w:rsidRPr="003F3EC6">
        <w:rPr>
          <w:rFonts w:ascii="Times New Roman" w:hAnsi="Times New Roman"/>
          <w:b/>
          <w:sz w:val="20"/>
          <w:szCs w:val="20"/>
        </w:rPr>
        <w:t xml:space="preserve">Formou-se um consenso entre os membros do CDES que o País deve aproveitar ao máximo as vantagens em </w:t>
      </w:r>
      <w:r w:rsidRPr="003F3EC6">
        <w:rPr>
          <w:rFonts w:ascii="Times New Roman" w:hAnsi="Times New Roman"/>
          <w:b/>
          <w:i/>
          <w:sz w:val="20"/>
          <w:szCs w:val="20"/>
        </w:rPr>
        <w:t xml:space="preserve">commodities </w:t>
      </w:r>
      <w:r w:rsidRPr="003F3EC6">
        <w:rPr>
          <w:rFonts w:ascii="Times New Roman" w:hAnsi="Times New Roman"/>
          <w:b/>
          <w:sz w:val="20"/>
          <w:szCs w:val="20"/>
        </w:rPr>
        <w:t>e as possibilidades do pré-sal, mas também buscar novas opções, agregando valor aos bens primários e estimulando a indústria</w:t>
      </w:r>
      <w:r w:rsidRPr="003F3EC6">
        <w:rPr>
          <w:rFonts w:ascii="Times New Roman" w:hAnsi="Times New Roman"/>
          <w:sz w:val="20"/>
          <w:szCs w:val="20"/>
        </w:rPr>
        <w:t xml:space="preserve">, tanto a que se volta para o mercado interno quanto a que se destina ao comércio exterior. </w:t>
      </w:r>
      <w:r w:rsidRPr="003F3EC6">
        <w:rPr>
          <w:rFonts w:ascii="Times New Roman" w:hAnsi="Times New Roman"/>
          <w:b/>
          <w:sz w:val="20"/>
          <w:szCs w:val="20"/>
        </w:rPr>
        <w:t>A oportunidade de transformar setores intensivos em recursos naturais em áreas de médio e alto conteúdo tecnológico</w:t>
      </w:r>
      <w:r w:rsidRPr="003F3EC6">
        <w:rPr>
          <w:rFonts w:ascii="Times New Roman" w:hAnsi="Times New Roman"/>
          <w:sz w:val="20"/>
          <w:szCs w:val="20"/>
        </w:rPr>
        <w:t xml:space="preserve"> como agronegócio/indústria, siderurgia, in</w:t>
      </w:r>
      <w:r w:rsidR="001A3AE2" w:rsidRPr="003F3EC6">
        <w:rPr>
          <w:rFonts w:ascii="Times New Roman" w:hAnsi="Times New Roman"/>
          <w:sz w:val="20"/>
          <w:szCs w:val="20"/>
        </w:rPr>
        <w:t xml:space="preserve">dústria petroquímica, bioenergia, dentre outros </w:t>
      </w:r>
      <w:r w:rsidR="001A3AE2" w:rsidRPr="003F3EC6">
        <w:rPr>
          <w:rFonts w:ascii="Times New Roman" w:hAnsi="Times New Roman"/>
          <w:b/>
          <w:sz w:val="20"/>
          <w:szCs w:val="20"/>
        </w:rPr>
        <w:t>é complementar e não substituta aos setores industrial e de serviços</w:t>
      </w:r>
      <w:r w:rsidR="001A3AE2" w:rsidRPr="003F3EC6">
        <w:rPr>
          <w:rFonts w:ascii="Times New Roman" w:hAnsi="Times New Roman"/>
          <w:sz w:val="20"/>
          <w:szCs w:val="20"/>
        </w:rPr>
        <w:t>.</w:t>
      </w:r>
      <w:r w:rsidR="001A3AE2" w:rsidRPr="003F3EC6">
        <w:rPr>
          <w:rStyle w:val="Refdenotaderodap"/>
          <w:rFonts w:ascii="Times New Roman" w:hAnsi="Times New Roman"/>
          <w:sz w:val="20"/>
          <w:szCs w:val="20"/>
        </w:rPr>
        <w:footnoteReference w:id="223"/>
      </w:r>
    </w:p>
    <w:p w:rsidR="00022E35" w:rsidRPr="003F3EC6" w:rsidRDefault="001A3AE2" w:rsidP="00582426">
      <w:pPr>
        <w:spacing w:after="0" w:line="360" w:lineRule="auto"/>
        <w:jc w:val="both"/>
        <w:rPr>
          <w:rFonts w:ascii="Times New Roman" w:hAnsi="Times New Roman"/>
          <w:sz w:val="24"/>
          <w:szCs w:val="24"/>
        </w:rPr>
      </w:pPr>
      <w:r w:rsidRPr="003F3EC6">
        <w:rPr>
          <w:rFonts w:ascii="Times New Roman" w:hAnsi="Times New Roman"/>
          <w:sz w:val="24"/>
          <w:szCs w:val="24"/>
        </w:rPr>
        <w:tab/>
      </w:r>
      <w:r w:rsidR="008D3EE0" w:rsidRPr="003F3EC6">
        <w:rPr>
          <w:rFonts w:ascii="Times New Roman" w:hAnsi="Times New Roman"/>
          <w:sz w:val="24"/>
          <w:szCs w:val="24"/>
        </w:rPr>
        <w:t>Essas preocupações</w:t>
      </w:r>
      <w:r w:rsidR="0065432B" w:rsidRPr="003F3EC6">
        <w:rPr>
          <w:rFonts w:ascii="Times New Roman" w:hAnsi="Times New Roman"/>
          <w:sz w:val="24"/>
          <w:szCs w:val="24"/>
        </w:rPr>
        <w:t>,</w:t>
      </w:r>
      <w:r w:rsidR="008D3EE0" w:rsidRPr="003F3EC6">
        <w:rPr>
          <w:rFonts w:ascii="Times New Roman" w:hAnsi="Times New Roman"/>
          <w:sz w:val="24"/>
          <w:szCs w:val="24"/>
        </w:rPr>
        <w:t xml:space="preserve"> surgidas nas plenárias e documentos do Conselho, endossadas por ministros como Miguel João Jorge (MDIC), Guido Mantega (Fazen</w:t>
      </w:r>
      <w:r w:rsidR="007D55FD">
        <w:rPr>
          <w:rFonts w:ascii="Times New Roman" w:hAnsi="Times New Roman"/>
          <w:sz w:val="24"/>
          <w:szCs w:val="24"/>
        </w:rPr>
        <w:t xml:space="preserve">da) e Luciano Coutinho (BNDES) se referiam à </w:t>
      </w:r>
      <w:r w:rsidR="0065432B" w:rsidRPr="003F3EC6">
        <w:rPr>
          <w:rFonts w:ascii="Times New Roman" w:hAnsi="Times New Roman"/>
          <w:sz w:val="24"/>
          <w:szCs w:val="24"/>
        </w:rPr>
        <w:t xml:space="preserve">mudança do padrão produtivo, considerada necessária para o ingresso </w:t>
      </w:r>
      <w:r w:rsidR="007D55FD">
        <w:rPr>
          <w:rFonts w:ascii="Times New Roman" w:hAnsi="Times New Roman"/>
          <w:sz w:val="24"/>
          <w:szCs w:val="24"/>
        </w:rPr>
        <w:t xml:space="preserve">do país </w:t>
      </w:r>
      <w:r w:rsidR="0065432B" w:rsidRPr="003F3EC6">
        <w:rPr>
          <w:rFonts w:ascii="Times New Roman" w:hAnsi="Times New Roman"/>
          <w:sz w:val="24"/>
          <w:szCs w:val="24"/>
        </w:rPr>
        <w:t>no “novo ciclo de desenvolvimento”</w:t>
      </w:r>
      <w:r w:rsidR="004047F3" w:rsidRPr="003F3EC6">
        <w:rPr>
          <w:rFonts w:ascii="Times New Roman" w:hAnsi="Times New Roman"/>
          <w:sz w:val="24"/>
          <w:szCs w:val="24"/>
        </w:rPr>
        <w:t xml:space="preserve"> e almejava, dentre outras aspirações, a promoção, o fortalecimento e a expansão da presença dos grupos econômicos brasileiros com cacife suficiente para competir no cenário internacional, principalmente na América do Sul.</w:t>
      </w:r>
    </w:p>
    <w:p w:rsidR="00022E35" w:rsidRPr="003F3EC6" w:rsidRDefault="00022E35" w:rsidP="00022E35">
      <w:pPr>
        <w:pStyle w:val="NormalWeb"/>
        <w:spacing w:before="0" w:beforeAutospacing="0" w:after="0" w:afterAutospacing="0" w:line="360" w:lineRule="auto"/>
        <w:ind w:firstLine="708"/>
        <w:jc w:val="both"/>
      </w:pPr>
      <w:r w:rsidRPr="003F3EC6">
        <w:t xml:space="preserve">O intrigrante, como mostraremos, era que as atividades industriais de que os conselheiros-empresários participavam eram majoritariamente voltadas à fabricação de produtos de baixa e baixa-média intensidade tecnológica, a maioria </w:t>
      </w:r>
      <w:r w:rsidRPr="003F3EC6">
        <w:rPr>
          <w:i/>
        </w:rPr>
        <w:t>commodities</w:t>
      </w:r>
      <w:r w:rsidRPr="003F3EC6">
        <w:t>, reproduzindo o traço marcante do padrão produtivo brasileiro e da evolução do comércio exterior na primeira década do século XXI: a crescente importância dos produtos primários e semielaborados na pauta de exportações, em detrimento claro e de forte tendência do movimento de queda da exportação de manufaturados, fenômeno identificado por alguns autores como “commoditização da pauta exportadora”.</w:t>
      </w:r>
    </w:p>
    <w:p w:rsidR="00BC6E51" w:rsidRDefault="00BC6E51" w:rsidP="00BC6E51">
      <w:pPr>
        <w:pStyle w:val="NormalWeb"/>
        <w:spacing w:before="0" w:beforeAutospacing="0" w:after="0" w:afterAutospacing="0" w:line="360" w:lineRule="auto"/>
        <w:ind w:firstLine="708"/>
        <w:jc w:val="both"/>
      </w:pPr>
      <w:r w:rsidRPr="00BD3BE6">
        <w:t xml:space="preserve">O termo </w:t>
      </w:r>
      <w:r w:rsidRPr="006D38F4">
        <w:rPr>
          <w:i/>
        </w:rPr>
        <w:t>commodities</w:t>
      </w:r>
      <w:r w:rsidRPr="00BD3BE6">
        <w:t>, a rigor, se refere a produtos intensivos em recursos naturais em estado bruto (primários) ou aqueles que sofrem pequeno grau de industrialização</w:t>
      </w:r>
      <w:r>
        <w:t xml:space="preserve"> (semimanufaturados)</w:t>
      </w:r>
      <w:r w:rsidRPr="00BD3BE6">
        <w:t>. Esta categoria de produtos envolve, portanto, produtos agrícolas (em bruto e/ou industrializados), minerais (em bruto e/ou industrializados) e energia. São produtos que se caracterizam pela produção padronizada e em grande quantidade, cujos preços são formados em bolsas de mer</w:t>
      </w:r>
      <w:r>
        <w:t>cadorias no país ou no exterior.</w:t>
      </w:r>
      <w:r>
        <w:rPr>
          <w:rStyle w:val="Refdenotaderodap"/>
        </w:rPr>
        <w:footnoteReference w:id="224"/>
      </w:r>
    </w:p>
    <w:p w:rsidR="00582426" w:rsidRDefault="00DE7DDD" w:rsidP="00DE7DDD">
      <w:pPr>
        <w:spacing w:after="0" w:line="360" w:lineRule="auto"/>
        <w:jc w:val="both"/>
        <w:rPr>
          <w:rFonts w:ascii="Times New Roman" w:hAnsi="Times New Roman"/>
          <w:sz w:val="24"/>
          <w:szCs w:val="24"/>
        </w:rPr>
      </w:pPr>
      <w:r>
        <w:rPr>
          <w:rFonts w:ascii="Times New Roman" w:hAnsi="Times New Roman"/>
          <w:color w:val="FF0000"/>
          <w:sz w:val="24"/>
          <w:szCs w:val="24"/>
        </w:rPr>
        <w:tab/>
      </w:r>
      <w:r w:rsidRPr="003F3EC6">
        <w:rPr>
          <w:rFonts w:ascii="Times New Roman" w:hAnsi="Times New Roman"/>
          <w:sz w:val="24"/>
          <w:szCs w:val="24"/>
        </w:rPr>
        <w:t>Para estudarmos os grupos e firm</w:t>
      </w:r>
      <w:r w:rsidR="007D55FD">
        <w:rPr>
          <w:rFonts w:ascii="Times New Roman" w:hAnsi="Times New Roman"/>
          <w:sz w:val="24"/>
          <w:szCs w:val="24"/>
        </w:rPr>
        <w:t xml:space="preserve">as representados no CDES </w:t>
      </w:r>
      <w:r w:rsidR="00DD16A0" w:rsidRPr="003F3EC6">
        <w:rPr>
          <w:rFonts w:ascii="Times New Roman" w:hAnsi="Times New Roman"/>
          <w:sz w:val="24"/>
          <w:szCs w:val="24"/>
        </w:rPr>
        <w:t xml:space="preserve">que, dentre suas atividades, </w:t>
      </w:r>
      <w:r w:rsidR="007D55FD">
        <w:rPr>
          <w:rFonts w:ascii="Times New Roman" w:hAnsi="Times New Roman"/>
          <w:sz w:val="24"/>
          <w:szCs w:val="24"/>
        </w:rPr>
        <w:t>se envolviam n</w:t>
      </w:r>
      <w:r w:rsidR="00DD16A0" w:rsidRPr="003F3EC6">
        <w:rPr>
          <w:rFonts w:ascii="Times New Roman" w:hAnsi="Times New Roman"/>
          <w:sz w:val="24"/>
          <w:szCs w:val="24"/>
        </w:rPr>
        <w:t xml:space="preserve">a produção e exportação de </w:t>
      </w:r>
      <w:r w:rsidR="00DD16A0" w:rsidRPr="003F3EC6">
        <w:rPr>
          <w:rFonts w:ascii="Times New Roman" w:hAnsi="Times New Roman"/>
          <w:i/>
          <w:sz w:val="24"/>
          <w:szCs w:val="24"/>
        </w:rPr>
        <w:t>commodities</w:t>
      </w:r>
      <w:r w:rsidR="007D55FD">
        <w:rPr>
          <w:rFonts w:ascii="Times New Roman" w:hAnsi="Times New Roman"/>
          <w:i/>
          <w:sz w:val="24"/>
          <w:szCs w:val="24"/>
        </w:rPr>
        <w:t>,</w:t>
      </w:r>
      <w:r w:rsidR="00DD16A0" w:rsidRPr="003F3EC6">
        <w:rPr>
          <w:rFonts w:ascii="Times New Roman" w:hAnsi="Times New Roman"/>
          <w:sz w:val="24"/>
          <w:szCs w:val="24"/>
        </w:rPr>
        <w:t xml:space="preserve">utilizamos </w:t>
      </w:r>
      <w:r w:rsidR="00D836A1" w:rsidRPr="003F3EC6">
        <w:rPr>
          <w:rFonts w:ascii="Times New Roman" w:hAnsi="Times New Roman"/>
          <w:sz w:val="24"/>
          <w:szCs w:val="24"/>
        </w:rPr>
        <w:t>uma classificação que atenta para a evolução da estrutura produtiva</w:t>
      </w:r>
      <w:r w:rsidR="006446DD" w:rsidRPr="003F3EC6">
        <w:rPr>
          <w:rFonts w:ascii="Times New Roman" w:hAnsi="Times New Roman"/>
          <w:sz w:val="24"/>
          <w:szCs w:val="24"/>
        </w:rPr>
        <w:t xml:space="preserve"> do país e, ao mesmo tempo, </w:t>
      </w:r>
      <w:r w:rsidR="00EC3A70" w:rsidRPr="003F3EC6">
        <w:rPr>
          <w:rFonts w:ascii="Times New Roman" w:hAnsi="Times New Roman"/>
          <w:sz w:val="24"/>
          <w:szCs w:val="24"/>
        </w:rPr>
        <w:t xml:space="preserve">põe em paralelo </w:t>
      </w:r>
      <w:r w:rsidR="006446DD" w:rsidRPr="003F3EC6">
        <w:rPr>
          <w:rFonts w:ascii="Times New Roman" w:hAnsi="Times New Roman"/>
          <w:sz w:val="24"/>
          <w:szCs w:val="24"/>
        </w:rPr>
        <w:t>os setores industriais</w:t>
      </w:r>
      <w:r w:rsidR="00EC3A70" w:rsidRPr="003F3EC6">
        <w:rPr>
          <w:rFonts w:ascii="Times New Roman" w:hAnsi="Times New Roman"/>
          <w:sz w:val="24"/>
          <w:szCs w:val="24"/>
        </w:rPr>
        <w:t>, comerciais, de serviços e bancários</w:t>
      </w:r>
      <w:r w:rsidR="006446DD" w:rsidRPr="003F3EC6">
        <w:rPr>
          <w:rFonts w:ascii="Times New Roman" w:hAnsi="Times New Roman"/>
          <w:sz w:val="24"/>
          <w:szCs w:val="24"/>
        </w:rPr>
        <w:t xml:space="preserve"> apresentados no quadro 2.7,  do CNAE. Essa</w:t>
      </w:r>
      <w:r w:rsidR="00582426">
        <w:rPr>
          <w:rFonts w:ascii="Times New Roman" w:hAnsi="Times New Roman"/>
          <w:sz w:val="24"/>
          <w:szCs w:val="24"/>
        </w:rPr>
        <w:t>classificação</w:t>
      </w:r>
      <w:r w:rsidR="00EC3A70">
        <w:rPr>
          <w:rFonts w:ascii="Times New Roman" w:hAnsi="Times New Roman"/>
          <w:sz w:val="24"/>
          <w:szCs w:val="24"/>
        </w:rPr>
        <w:t xml:space="preserve"> (quadro 2.8)</w:t>
      </w:r>
      <w:r w:rsidR="00582426">
        <w:rPr>
          <w:rFonts w:ascii="Times New Roman" w:hAnsi="Times New Roman"/>
          <w:sz w:val="24"/>
          <w:szCs w:val="24"/>
        </w:rPr>
        <w:t xml:space="preserve"> se inspira </w:t>
      </w:r>
      <w:r w:rsidR="006446DD">
        <w:rPr>
          <w:rFonts w:ascii="Times New Roman" w:hAnsi="Times New Roman"/>
          <w:sz w:val="24"/>
          <w:szCs w:val="24"/>
        </w:rPr>
        <w:t xml:space="preserve">nos trabalhos de </w:t>
      </w:r>
      <w:r w:rsidR="00582426">
        <w:rPr>
          <w:rFonts w:ascii="Times New Roman" w:hAnsi="Times New Roman"/>
          <w:sz w:val="24"/>
          <w:szCs w:val="24"/>
        </w:rPr>
        <w:t>Eduardo Pinto</w:t>
      </w:r>
      <w:r w:rsidR="00582426">
        <w:rPr>
          <w:rStyle w:val="Refdenotaderodap"/>
          <w:rFonts w:ascii="Times New Roman" w:hAnsi="Times New Roman"/>
          <w:sz w:val="24"/>
          <w:szCs w:val="24"/>
        </w:rPr>
        <w:footnoteReference w:id="225"/>
      </w:r>
      <w:r w:rsidR="00582426">
        <w:rPr>
          <w:rFonts w:ascii="Times New Roman" w:hAnsi="Times New Roman"/>
          <w:sz w:val="24"/>
          <w:szCs w:val="24"/>
        </w:rPr>
        <w:t xml:space="preserve"> e David Kupfer</w:t>
      </w:r>
      <w:r w:rsidR="00DD16A0">
        <w:rPr>
          <w:rFonts w:ascii="Times New Roman" w:hAnsi="Times New Roman"/>
          <w:sz w:val="24"/>
          <w:szCs w:val="24"/>
        </w:rPr>
        <w:t>.</w:t>
      </w:r>
      <w:r w:rsidR="00582426">
        <w:rPr>
          <w:rStyle w:val="Refdenotaderodap"/>
          <w:rFonts w:ascii="Times New Roman" w:hAnsi="Times New Roman"/>
          <w:sz w:val="24"/>
          <w:szCs w:val="24"/>
        </w:rPr>
        <w:footnoteReference w:id="226"/>
      </w:r>
      <w:r w:rsidR="00EC3A70">
        <w:rPr>
          <w:rFonts w:ascii="Times New Roman" w:hAnsi="Times New Roman"/>
          <w:sz w:val="24"/>
          <w:szCs w:val="24"/>
        </w:rPr>
        <w:t>Ela</w:t>
      </w:r>
      <w:r w:rsidR="00DD16A0">
        <w:rPr>
          <w:rFonts w:ascii="Times New Roman" w:hAnsi="Times New Roman"/>
          <w:sz w:val="24"/>
          <w:szCs w:val="24"/>
        </w:rPr>
        <w:t xml:space="preserve"> sofreu </w:t>
      </w:r>
      <w:r w:rsidR="00D836A1">
        <w:rPr>
          <w:rFonts w:ascii="Times New Roman" w:hAnsi="Times New Roman"/>
          <w:sz w:val="24"/>
          <w:szCs w:val="24"/>
        </w:rPr>
        <w:t xml:space="preserve">significativas </w:t>
      </w:r>
      <w:r w:rsidR="00582426">
        <w:rPr>
          <w:rFonts w:ascii="Times New Roman" w:hAnsi="Times New Roman"/>
          <w:sz w:val="24"/>
          <w:szCs w:val="24"/>
        </w:rPr>
        <w:t>adaptações minhas</w:t>
      </w:r>
      <w:r w:rsidR="00D836A1">
        <w:rPr>
          <w:rFonts w:ascii="Times New Roman" w:hAnsi="Times New Roman"/>
          <w:sz w:val="24"/>
          <w:szCs w:val="24"/>
        </w:rPr>
        <w:t>,</w:t>
      </w:r>
      <w:r w:rsidR="00582426">
        <w:rPr>
          <w:rFonts w:ascii="Times New Roman" w:hAnsi="Times New Roman"/>
          <w:sz w:val="24"/>
          <w:szCs w:val="24"/>
        </w:rPr>
        <w:t xml:space="preserve"> guiadas pelo próprio perfil da composição empresarial do Conselho</w:t>
      </w:r>
      <w:r w:rsidR="00D836A1">
        <w:rPr>
          <w:rFonts w:ascii="Times New Roman" w:hAnsi="Times New Roman"/>
          <w:sz w:val="24"/>
          <w:szCs w:val="24"/>
        </w:rPr>
        <w:t xml:space="preserve"> e</w:t>
      </w:r>
      <w:r w:rsidR="00582426">
        <w:rPr>
          <w:rFonts w:ascii="Times New Roman" w:hAnsi="Times New Roman"/>
          <w:sz w:val="24"/>
          <w:szCs w:val="24"/>
        </w:rPr>
        <w:t xml:space="preserve"> balizadas em informações do Boletim da Indústria e Comércio Exterior.</w:t>
      </w:r>
      <w:r w:rsidR="007D55FD">
        <w:rPr>
          <w:rStyle w:val="Refdenotaderodap"/>
          <w:rFonts w:ascii="Times New Roman" w:hAnsi="Times New Roman"/>
          <w:sz w:val="24"/>
          <w:szCs w:val="24"/>
        </w:rPr>
        <w:footnoteReference w:id="227"/>
      </w:r>
      <w:r w:rsidR="00582426">
        <w:rPr>
          <w:rFonts w:ascii="Times New Roman" w:hAnsi="Times New Roman"/>
          <w:sz w:val="24"/>
          <w:szCs w:val="24"/>
        </w:rPr>
        <w:t xml:space="preserve"> Ainda que seja fruto de numerosos trabalhos – principalmente entre os economistas -, não há de forma alguma consenso na classificação que se segue, tampouco quanto alguns (importantes) produtos/gêneros pertencente a cada setor. </w:t>
      </w:r>
    </w:p>
    <w:p w:rsidR="00582426" w:rsidRPr="003F3EC6" w:rsidRDefault="00582426" w:rsidP="00582426">
      <w:pPr>
        <w:spacing w:line="360" w:lineRule="auto"/>
        <w:ind w:firstLine="708"/>
        <w:jc w:val="both"/>
        <w:rPr>
          <w:rFonts w:ascii="Times New Roman" w:hAnsi="Times New Roman"/>
          <w:sz w:val="24"/>
          <w:szCs w:val="24"/>
        </w:rPr>
      </w:pPr>
      <w:r>
        <w:rPr>
          <w:rFonts w:ascii="Times New Roman" w:hAnsi="Times New Roman"/>
          <w:sz w:val="24"/>
          <w:szCs w:val="24"/>
        </w:rPr>
        <w:t xml:space="preserve">Os setores de atividade foram estruturados em três grandes classes: Indústria (I), Serviços e Comércio (SC) e Setor </w:t>
      </w:r>
      <w:r w:rsidR="00962402">
        <w:rPr>
          <w:rFonts w:ascii="Times New Roman" w:hAnsi="Times New Roman"/>
          <w:sz w:val="24"/>
          <w:szCs w:val="24"/>
        </w:rPr>
        <w:t xml:space="preserve">Bancário </w:t>
      </w:r>
      <w:r w:rsidR="00207C23">
        <w:rPr>
          <w:rFonts w:ascii="Times New Roman" w:hAnsi="Times New Roman"/>
          <w:sz w:val="24"/>
          <w:szCs w:val="24"/>
        </w:rPr>
        <w:t xml:space="preserve">e Financeiro não Bancário </w:t>
      </w:r>
      <w:r>
        <w:rPr>
          <w:rFonts w:ascii="Times New Roman" w:hAnsi="Times New Roman"/>
          <w:sz w:val="24"/>
          <w:szCs w:val="24"/>
        </w:rPr>
        <w:t>(S</w:t>
      </w:r>
      <w:r w:rsidR="00962402">
        <w:rPr>
          <w:rFonts w:ascii="Times New Roman" w:hAnsi="Times New Roman"/>
          <w:sz w:val="24"/>
          <w:szCs w:val="24"/>
        </w:rPr>
        <w:t>B</w:t>
      </w:r>
      <w:r w:rsidR="00207C23">
        <w:rPr>
          <w:rFonts w:ascii="Times New Roman" w:hAnsi="Times New Roman"/>
          <w:sz w:val="24"/>
          <w:szCs w:val="24"/>
        </w:rPr>
        <w:t>F</w:t>
      </w:r>
      <w:r>
        <w:rPr>
          <w:rFonts w:ascii="Times New Roman" w:hAnsi="Times New Roman"/>
          <w:sz w:val="24"/>
          <w:szCs w:val="24"/>
        </w:rPr>
        <w:t>). A classe Indústria foi dividida em quatro subclasses (ou setores): Indústria de Commodities (IC), intensiva em capital e em recursos naturais; Indústria Difusora de Tecnologia (ID); Indústria da Construção Civil (ICC)</w:t>
      </w:r>
      <w:r>
        <w:rPr>
          <w:rStyle w:val="Refdenotaderodap"/>
          <w:rFonts w:ascii="Times New Roman" w:hAnsi="Times New Roman"/>
          <w:sz w:val="24"/>
          <w:szCs w:val="24"/>
        </w:rPr>
        <w:footnoteReference w:id="228"/>
      </w:r>
      <w:r>
        <w:rPr>
          <w:rFonts w:ascii="Times New Roman" w:hAnsi="Times New Roman"/>
          <w:sz w:val="24"/>
          <w:szCs w:val="24"/>
        </w:rPr>
        <w:t xml:space="preserve"> e Indústria Tradicional (IT). Na classe Serviços e Comércio (SC) aparecem serviços de infraestrutura (Telecomunicações), consultoria e educação, bem como atividades comerciais mais diversas. A classe Setor </w:t>
      </w:r>
      <w:r w:rsidR="00962402">
        <w:rPr>
          <w:rFonts w:ascii="Times New Roman" w:hAnsi="Times New Roman"/>
          <w:sz w:val="24"/>
          <w:szCs w:val="24"/>
        </w:rPr>
        <w:t xml:space="preserve">Bancário </w:t>
      </w:r>
      <w:r w:rsidR="007B4198">
        <w:rPr>
          <w:rFonts w:ascii="Times New Roman" w:hAnsi="Times New Roman"/>
          <w:sz w:val="24"/>
          <w:szCs w:val="24"/>
        </w:rPr>
        <w:t xml:space="preserve">e Financeiro não Bancário </w:t>
      </w:r>
      <w:r w:rsidR="00962402">
        <w:rPr>
          <w:rFonts w:ascii="Times New Roman" w:hAnsi="Times New Roman"/>
          <w:sz w:val="24"/>
          <w:szCs w:val="24"/>
        </w:rPr>
        <w:t>(SB</w:t>
      </w:r>
      <w:r w:rsidR="00207C23">
        <w:rPr>
          <w:rFonts w:ascii="Times New Roman" w:hAnsi="Times New Roman"/>
          <w:sz w:val="24"/>
          <w:szCs w:val="24"/>
        </w:rPr>
        <w:t>F</w:t>
      </w:r>
      <w:r>
        <w:rPr>
          <w:rFonts w:ascii="Times New Roman" w:hAnsi="Times New Roman"/>
          <w:sz w:val="24"/>
          <w:szCs w:val="24"/>
        </w:rPr>
        <w:t xml:space="preserve">) é composta por bancos, corretoras e seguradoras. </w:t>
      </w:r>
      <w:r w:rsidR="00EC3A70">
        <w:rPr>
          <w:rFonts w:ascii="Times New Roman" w:hAnsi="Times New Roman"/>
          <w:sz w:val="24"/>
          <w:szCs w:val="24"/>
        </w:rPr>
        <w:t>D</w:t>
      </w:r>
      <w:r>
        <w:rPr>
          <w:rFonts w:ascii="Times New Roman" w:hAnsi="Times New Roman"/>
          <w:sz w:val="24"/>
          <w:szCs w:val="24"/>
        </w:rPr>
        <w:t>o mesmo modo que no quadro 2.7, o total (T) se refere ao número de inserções ou participações dos conselheiros-empr</w:t>
      </w:r>
      <w:r w:rsidR="007016F0">
        <w:rPr>
          <w:rFonts w:ascii="Times New Roman" w:hAnsi="Times New Roman"/>
          <w:sz w:val="24"/>
          <w:szCs w:val="24"/>
        </w:rPr>
        <w:t>esários em cada setor</w:t>
      </w:r>
      <w:r w:rsidR="00EC490B">
        <w:rPr>
          <w:rFonts w:ascii="Times New Roman" w:hAnsi="Times New Roman"/>
          <w:sz w:val="24"/>
          <w:szCs w:val="24"/>
        </w:rPr>
        <w:t>,</w:t>
      </w:r>
      <w:r>
        <w:rPr>
          <w:rFonts w:ascii="Times New Roman" w:hAnsi="Times New Roman"/>
          <w:sz w:val="24"/>
          <w:szCs w:val="24"/>
        </w:rPr>
        <w:t xml:space="preserve">admitindo repetições em virtude da extensão e pluralidade de suas atividades empresariais. </w:t>
      </w:r>
      <w:r w:rsidR="00EC490B" w:rsidRPr="003F3EC6">
        <w:rPr>
          <w:rFonts w:ascii="Times New Roman" w:hAnsi="Times New Roman"/>
          <w:sz w:val="24"/>
          <w:szCs w:val="24"/>
        </w:rPr>
        <w:t>Em outras palavras, e</w:t>
      </w:r>
      <w:r w:rsidR="007016F0" w:rsidRPr="003F3EC6">
        <w:rPr>
          <w:rFonts w:ascii="Times New Roman" w:hAnsi="Times New Roman"/>
          <w:sz w:val="24"/>
          <w:szCs w:val="24"/>
        </w:rPr>
        <w:t xml:space="preserve">sse total </w:t>
      </w:r>
      <w:r w:rsidR="00EC490B" w:rsidRPr="003F3EC6">
        <w:rPr>
          <w:rFonts w:ascii="Times New Roman" w:hAnsi="Times New Roman"/>
          <w:sz w:val="24"/>
          <w:szCs w:val="24"/>
        </w:rPr>
        <w:t xml:space="preserve">deriva do somatório das participações dos conselheiros nos principais gêneros/atividades expostos entre parênteses na quarta coluna (Principais Generos/Atividades). </w:t>
      </w:r>
      <w:r w:rsidRPr="003F3EC6">
        <w:rPr>
          <w:rFonts w:ascii="Times New Roman" w:hAnsi="Times New Roman"/>
          <w:sz w:val="24"/>
          <w:szCs w:val="24"/>
        </w:rPr>
        <w:tab/>
      </w:r>
    </w:p>
    <w:p w:rsidR="00582426" w:rsidRPr="004B34A8" w:rsidRDefault="00582426" w:rsidP="00582426">
      <w:pPr>
        <w:jc w:val="center"/>
        <w:rPr>
          <w:rFonts w:ascii="Times New Roman" w:hAnsi="Times New Roman"/>
          <w:b/>
          <w:sz w:val="24"/>
          <w:szCs w:val="24"/>
        </w:rPr>
      </w:pPr>
      <w:r>
        <w:rPr>
          <w:rFonts w:ascii="Times New Roman" w:hAnsi="Times New Roman"/>
          <w:b/>
          <w:sz w:val="24"/>
          <w:szCs w:val="24"/>
        </w:rPr>
        <w:t>Quadro 2.8 – Classificação agregada dos setores econômicos representados no CDES e respectivos gêneros/atividades</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567"/>
        <w:gridCol w:w="2551"/>
        <w:gridCol w:w="3969"/>
        <w:gridCol w:w="425"/>
      </w:tblGrid>
      <w:tr w:rsidR="00582426" w:rsidRPr="008211FD" w:rsidTr="008211FD">
        <w:tc>
          <w:tcPr>
            <w:tcW w:w="993" w:type="dxa"/>
            <w:tcBorders>
              <w:top w:val="single" w:sz="12" w:space="0" w:color="auto"/>
              <w:left w:val="nil"/>
              <w:bottom w:val="single" w:sz="12" w:space="0" w:color="auto"/>
            </w:tcBorders>
          </w:tcPr>
          <w:p w:rsidR="00582426" w:rsidRPr="008211FD" w:rsidRDefault="00582426" w:rsidP="008211FD">
            <w:pPr>
              <w:spacing w:after="0" w:line="240" w:lineRule="auto"/>
              <w:rPr>
                <w:rFonts w:ascii="Times New Roman" w:hAnsi="Times New Roman"/>
                <w:b/>
                <w:sz w:val="16"/>
                <w:szCs w:val="16"/>
              </w:rPr>
            </w:pPr>
            <w:r w:rsidRPr="008211FD">
              <w:rPr>
                <w:rFonts w:ascii="Times New Roman" w:hAnsi="Times New Roman"/>
                <w:b/>
                <w:sz w:val="16"/>
                <w:szCs w:val="16"/>
              </w:rPr>
              <w:t>Geral</w:t>
            </w:r>
          </w:p>
        </w:tc>
        <w:tc>
          <w:tcPr>
            <w:tcW w:w="567" w:type="dxa"/>
            <w:tcBorders>
              <w:top w:val="single" w:sz="12" w:space="0" w:color="auto"/>
              <w:bottom w:val="single" w:sz="12" w:space="0" w:color="auto"/>
              <w:right w:val="nil"/>
            </w:tcBorders>
          </w:tcPr>
          <w:p w:rsidR="00582426" w:rsidRPr="008211FD" w:rsidRDefault="00582426" w:rsidP="008211FD">
            <w:pPr>
              <w:spacing w:after="0" w:line="240" w:lineRule="auto"/>
              <w:rPr>
                <w:rFonts w:ascii="Times New Roman" w:hAnsi="Times New Roman"/>
                <w:sz w:val="16"/>
                <w:szCs w:val="16"/>
              </w:rPr>
            </w:pPr>
          </w:p>
        </w:tc>
        <w:tc>
          <w:tcPr>
            <w:tcW w:w="2551" w:type="dxa"/>
            <w:tcBorders>
              <w:top w:val="single" w:sz="12" w:space="0" w:color="auto"/>
              <w:left w:val="nil"/>
              <w:bottom w:val="single" w:sz="12" w:space="0" w:color="auto"/>
            </w:tcBorders>
          </w:tcPr>
          <w:p w:rsidR="00582426" w:rsidRPr="008211FD" w:rsidRDefault="00582426" w:rsidP="008211FD">
            <w:pPr>
              <w:spacing w:after="0" w:line="240" w:lineRule="auto"/>
              <w:jc w:val="center"/>
              <w:rPr>
                <w:rFonts w:ascii="Times New Roman" w:hAnsi="Times New Roman"/>
                <w:b/>
                <w:sz w:val="16"/>
                <w:szCs w:val="16"/>
              </w:rPr>
            </w:pPr>
            <w:r w:rsidRPr="008211FD">
              <w:rPr>
                <w:rFonts w:ascii="Times New Roman" w:hAnsi="Times New Roman"/>
                <w:b/>
                <w:sz w:val="16"/>
                <w:szCs w:val="16"/>
              </w:rPr>
              <w:t>Setores</w:t>
            </w:r>
          </w:p>
        </w:tc>
        <w:tc>
          <w:tcPr>
            <w:tcW w:w="3969" w:type="dxa"/>
            <w:tcBorders>
              <w:top w:val="single" w:sz="12" w:space="0" w:color="auto"/>
              <w:bottom w:val="single" w:sz="12" w:space="0" w:color="auto"/>
            </w:tcBorders>
          </w:tcPr>
          <w:p w:rsidR="00582426" w:rsidRPr="008211FD" w:rsidRDefault="00582426" w:rsidP="008211FD">
            <w:pPr>
              <w:spacing w:after="0" w:line="240" w:lineRule="auto"/>
              <w:jc w:val="center"/>
              <w:rPr>
                <w:rFonts w:ascii="Times New Roman" w:hAnsi="Times New Roman"/>
                <w:b/>
                <w:sz w:val="16"/>
                <w:szCs w:val="16"/>
              </w:rPr>
            </w:pPr>
            <w:r w:rsidRPr="008211FD">
              <w:rPr>
                <w:rFonts w:ascii="Times New Roman" w:hAnsi="Times New Roman"/>
                <w:b/>
                <w:sz w:val="16"/>
                <w:szCs w:val="16"/>
              </w:rPr>
              <w:t>Principais Gêneros/Atividades</w:t>
            </w:r>
          </w:p>
        </w:tc>
        <w:tc>
          <w:tcPr>
            <w:tcW w:w="425" w:type="dxa"/>
            <w:tcBorders>
              <w:top w:val="single" w:sz="12" w:space="0" w:color="auto"/>
              <w:bottom w:val="single" w:sz="12" w:space="0" w:color="auto"/>
              <w:right w:val="nil"/>
            </w:tcBorders>
          </w:tcPr>
          <w:p w:rsidR="00582426" w:rsidRPr="008211FD" w:rsidRDefault="00582426" w:rsidP="008211FD">
            <w:pPr>
              <w:spacing w:after="0" w:line="240" w:lineRule="auto"/>
              <w:jc w:val="center"/>
              <w:rPr>
                <w:rFonts w:ascii="Times New Roman" w:hAnsi="Times New Roman"/>
                <w:b/>
                <w:sz w:val="16"/>
                <w:szCs w:val="16"/>
              </w:rPr>
            </w:pPr>
            <w:r w:rsidRPr="008211FD">
              <w:rPr>
                <w:rFonts w:ascii="Times New Roman" w:hAnsi="Times New Roman"/>
                <w:b/>
                <w:sz w:val="16"/>
                <w:szCs w:val="16"/>
              </w:rPr>
              <w:t>T</w:t>
            </w:r>
          </w:p>
        </w:tc>
      </w:tr>
      <w:tr w:rsidR="00582426" w:rsidRPr="008211FD" w:rsidTr="008211FD">
        <w:trPr>
          <w:trHeight w:val="33"/>
        </w:trPr>
        <w:tc>
          <w:tcPr>
            <w:tcW w:w="993" w:type="dxa"/>
            <w:vMerge w:val="restart"/>
            <w:tcBorders>
              <w:top w:val="nil"/>
              <w:left w:val="nil"/>
              <w:right w:val="single" w:sz="4" w:space="0" w:color="auto"/>
            </w:tcBorders>
          </w:tcPr>
          <w:p w:rsidR="00582426" w:rsidRPr="008211FD" w:rsidRDefault="00582426" w:rsidP="008211FD">
            <w:pPr>
              <w:spacing w:after="0" w:line="240" w:lineRule="auto"/>
              <w:rPr>
                <w:rFonts w:ascii="Times New Roman" w:hAnsi="Times New Roman"/>
                <w:sz w:val="16"/>
                <w:szCs w:val="16"/>
              </w:rPr>
            </w:pPr>
          </w:p>
          <w:p w:rsidR="00582426" w:rsidRPr="008211FD" w:rsidRDefault="00582426" w:rsidP="008211FD">
            <w:pPr>
              <w:spacing w:after="0" w:line="240" w:lineRule="auto"/>
              <w:rPr>
                <w:rFonts w:ascii="Times New Roman" w:hAnsi="Times New Roman"/>
                <w:sz w:val="16"/>
                <w:szCs w:val="16"/>
              </w:rPr>
            </w:pPr>
          </w:p>
          <w:p w:rsidR="00582426" w:rsidRPr="008211FD" w:rsidRDefault="00582426" w:rsidP="008211FD">
            <w:pPr>
              <w:spacing w:after="0" w:line="240" w:lineRule="auto"/>
              <w:rPr>
                <w:rFonts w:ascii="Times New Roman" w:hAnsi="Times New Roman"/>
                <w:sz w:val="16"/>
                <w:szCs w:val="16"/>
              </w:rPr>
            </w:pPr>
          </w:p>
          <w:p w:rsidR="00582426" w:rsidRPr="008211FD" w:rsidRDefault="00582426" w:rsidP="008211FD">
            <w:pPr>
              <w:spacing w:after="0" w:line="240" w:lineRule="auto"/>
              <w:rPr>
                <w:rFonts w:ascii="Times New Roman" w:hAnsi="Times New Roman"/>
                <w:sz w:val="16"/>
                <w:szCs w:val="16"/>
              </w:rPr>
            </w:pPr>
          </w:p>
          <w:p w:rsidR="00582426" w:rsidRPr="008211FD" w:rsidRDefault="00582426" w:rsidP="008211FD">
            <w:pPr>
              <w:spacing w:after="0" w:line="240" w:lineRule="auto"/>
              <w:rPr>
                <w:rFonts w:ascii="Times New Roman" w:hAnsi="Times New Roman"/>
                <w:sz w:val="16"/>
                <w:szCs w:val="16"/>
              </w:rPr>
            </w:pPr>
          </w:p>
          <w:p w:rsidR="00582426" w:rsidRPr="008211FD" w:rsidRDefault="00582426" w:rsidP="008211FD">
            <w:pPr>
              <w:spacing w:after="0" w:line="240" w:lineRule="auto"/>
              <w:rPr>
                <w:rFonts w:ascii="Times New Roman" w:hAnsi="Times New Roman"/>
                <w:sz w:val="16"/>
                <w:szCs w:val="16"/>
              </w:rPr>
            </w:pPr>
          </w:p>
          <w:p w:rsidR="00582426" w:rsidRPr="008211FD" w:rsidRDefault="00582426" w:rsidP="008211FD">
            <w:pPr>
              <w:spacing w:after="0" w:line="240" w:lineRule="auto"/>
              <w:rPr>
                <w:rFonts w:ascii="Times New Roman" w:hAnsi="Times New Roman"/>
                <w:sz w:val="16"/>
                <w:szCs w:val="16"/>
              </w:rPr>
            </w:pPr>
          </w:p>
          <w:p w:rsidR="00582426" w:rsidRPr="008211FD" w:rsidRDefault="00582426" w:rsidP="008211FD">
            <w:pPr>
              <w:spacing w:after="0" w:line="240" w:lineRule="auto"/>
              <w:rPr>
                <w:rFonts w:ascii="Times New Roman" w:hAnsi="Times New Roman"/>
                <w:sz w:val="16"/>
                <w:szCs w:val="16"/>
              </w:rPr>
            </w:pPr>
          </w:p>
          <w:p w:rsidR="00582426" w:rsidRPr="008211FD" w:rsidRDefault="00582426" w:rsidP="008211FD">
            <w:pPr>
              <w:spacing w:after="0" w:line="240" w:lineRule="auto"/>
              <w:rPr>
                <w:rFonts w:ascii="Times New Roman" w:hAnsi="Times New Roman"/>
                <w:sz w:val="16"/>
                <w:szCs w:val="16"/>
              </w:rPr>
            </w:pPr>
          </w:p>
          <w:p w:rsidR="00582426" w:rsidRPr="008211FD" w:rsidRDefault="00582426" w:rsidP="008211FD">
            <w:pPr>
              <w:spacing w:after="0" w:line="240" w:lineRule="auto"/>
              <w:rPr>
                <w:rFonts w:ascii="Times New Roman" w:hAnsi="Times New Roman"/>
                <w:sz w:val="16"/>
                <w:szCs w:val="16"/>
              </w:rPr>
            </w:pP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Setor não-</w:t>
            </w:r>
            <w:r w:rsidR="0092012D" w:rsidRPr="008211FD">
              <w:rPr>
                <w:rFonts w:ascii="Times New Roman" w:hAnsi="Times New Roman"/>
                <w:sz w:val="16"/>
                <w:szCs w:val="16"/>
              </w:rPr>
              <w:t>Bancário</w:t>
            </w:r>
          </w:p>
          <w:p w:rsidR="00582426" w:rsidRPr="008211FD" w:rsidRDefault="00582426" w:rsidP="008211FD">
            <w:pPr>
              <w:spacing w:after="0" w:line="240" w:lineRule="auto"/>
              <w:rPr>
                <w:rFonts w:ascii="Times New Roman" w:hAnsi="Times New Roman"/>
                <w:sz w:val="16"/>
                <w:szCs w:val="16"/>
              </w:rPr>
            </w:pPr>
          </w:p>
        </w:tc>
        <w:tc>
          <w:tcPr>
            <w:tcW w:w="567" w:type="dxa"/>
            <w:vMerge w:val="restart"/>
            <w:tcBorders>
              <w:left w:val="single" w:sz="4" w:space="0" w:color="auto"/>
            </w:tcBorders>
          </w:tcPr>
          <w:p w:rsidR="00582426" w:rsidRPr="008211FD" w:rsidRDefault="00582426" w:rsidP="008211FD">
            <w:pPr>
              <w:spacing w:after="0" w:line="240" w:lineRule="auto"/>
              <w:jc w:val="center"/>
              <w:rPr>
                <w:rFonts w:ascii="Times New Roman" w:hAnsi="Times New Roman"/>
                <w:sz w:val="16"/>
                <w:szCs w:val="16"/>
              </w:rPr>
            </w:pPr>
          </w:p>
          <w:p w:rsidR="00582426" w:rsidRPr="008211FD" w:rsidRDefault="00582426" w:rsidP="008211FD">
            <w:pPr>
              <w:spacing w:after="0" w:line="240" w:lineRule="auto"/>
              <w:jc w:val="center"/>
              <w:rPr>
                <w:rFonts w:ascii="Times New Roman" w:hAnsi="Times New Roman"/>
                <w:sz w:val="16"/>
                <w:szCs w:val="16"/>
              </w:rPr>
            </w:pPr>
          </w:p>
          <w:p w:rsidR="00582426" w:rsidRPr="008211FD" w:rsidRDefault="00582426" w:rsidP="008211FD">
            <w:pPr>
              <w:spacing w:after="0" w:line="240" w:lineRule="auto"/>
              <w:jc w:val="center"/>
              <w:rPr>
                <w:rFonts w:ascii="Times New Roman" w:hAnsi="Times New Roman"/>
                <w:sz w:val="16"/>
                <w:szCs w:val="16"/>
              </w:rPr>
            </w:pPr>
          </w:p>
          <w:p w:rsidR="00582426" w:rsidRPr="008211FD" w:rsidRDefault="00582426" w:rsidP="008211FD">
            <w:pPr>
              <w:spacing w:after="0" w:line="240" w:lineRule="auto"/>
              <w:jc w:val="center"/>
              <w:rPr>
                <w:rFonts w:ascii="Times New Roman" w:hAnsi="Times New Roman"/>
                <w:sz w:val="16"/>
                <w:szCs w:val="16"/>
              </w:rPr>
            </w:pPr>
          </w:p>
          <w:p w:rsidR="00582426" w:rsidRPr="008211FD" w:rsidRDefault="00582426" w:rsidP="008211FD">
            <w:pPr>
              <w:spacing w:after="0" w:line="240" w:lineRule="auto"/>
              <w:jc w:val="center"/>
              <w:rPr>
                <w:rFonts w:ascii="Times New Roman" w:hAnsi="Times New Roman"/>
                <w:sz w:val="16"/>
                <w:szCs w:val="16"/>
              </w:rPr>
            </w:pPr>
          </w:p>
          <w:p w:rsidR="00582426" w:rsidRPr="008211FD" w:rsidRDefault="00582426" w:rsidP="008211FD">
            <w:pPr>
              <w:spacing w:after="0" w:line="240" w:lineRule="auto"/>
              <w:jc w:val="center"/>
              <w:rPr>
                <w:rFonts w:ascii="Times New Roman" w:hAnsi="Times New Roman"/>
                <w:sz w:val="16"/>
                <w:szCs w:val="16"/>
              </w:rPr>
            </w:pPr>
          </w:p>
          <w:p w:rsidR="00582426" w:rsidRPr="008211FD" w:rsidRDefault="00582426" w:rsidP="008211FD">
            <w:pPr>
              <w:spacing w:after="0" w:line="240" w:lineRule="auto"/>
              <w:jc w:val="center"/>
              <w:rPr>
                <w:rFonts w:ascii="Times New Roman" w:hAnsi="Times New Roman"/>
                <w:sz w:val="16"/>
                <w:szCs w:val="16"/>
              </w:rPr>
            </w:pPr>
          </w:p>
          <w:p w:rsidR="00582426" w:rsidRPr="008211FD" w:rsidRDefault="00582426" w:rsidP="008211FD">
            <w:pPr>
              <w:spacing w:after="0" w:line="240" w:lineRule="auto"/>
              <w:ind w:left="-74"/>
              <w:jc w:val="center"/>
              <w:rPr>
                <w:rFonts w:ascii="Times New Roman" w:hAnsi="Times New Roman"/>
                <w:sz w:val="16"/>
                <w:szCs w:val="16"/>
              </w:rPr>
            </w:pPr>
          </w:p>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I</w:t>
            </w:r>
          </w:p>
        </w:tc>
        <w:tc>
          <w:tcPr>
            <w:tcW w:w="2551" w:type="dxa"/>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IC – Indústria de Commodities (intensiva em capital e em recursos naturais)</w:t>
            </w:r>
          </w:p>
        </w:tc>
        <w:tc>
          <w:tcPr>
            <w:tcW w:w="3969" w:type="dxa"/>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Metalurgia e Siderurgia (9)</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Mineração, Petróleo (Refino e Derivados) e Gás (9)</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Química e Petroquímica (2)</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Papel e celulose (3)</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Indústria de Energia Elétrica (5)</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Agronegócio: Pecuária (2), Agricultura (2), Cana / Açúcar / Etanol (7), Suco de laranja</w:t>
            </w:r>
            <w:r w:rsidRPr="008211FD">
              <w:rPr>
                <w:rStyle w:val="Refdenotaderodap"/>
                <w:rFonts w:ascii="Times New Roman" w:hAnsi="Times New Roman"/>
                <w:sz w:val="16"/>
                <w:szCs w:val="16"/>
              </w:rPr>
              <w:footnoteReference w:id="229"/>
            </w:r>
            <w:r w:rsidRPr="008211FD">
              <w:rPr>
                <w:rFonts w:ascii="Times New Roman" w:hAnsi="Times New Roman"/>
                <w:sz w:val="16"/>
                <w:szCs w:val="16"/>
              </w:rPr>
              <w:t xml:space="preserve"> (1)</w:t>
            </w:r>
          </w:p>
        </w:tc>
        <w:tc>
          <w:tcPr>
            <w:tcW w:w="425" w:type="dxa"/>
            <w:tcBorders>
              <w:right w:val="nil"/>
            </w:tcBorders>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40</w:t>
            </w:r>
          </w:p>
        </w:tc>
      </w:tr>
      <w:tr w:rsidR="00582426" w:rsidRPr="008211FD" w:rsidTr="008211FD">
        <w:trPr>
          <w:trHeight w:val="32"/>
        </w:trPr>
        <w:tc>
          <w:tcPr>
            <w:tcW w:w="993" w:type="dxa"/>
            <w:vMerge/>
            <w:tcBorders>
              <w:left w:val="nil"/>
              <w:right w:val="single" w:sz="4" w:space="0" w:color="auto"/>
            </w:tcBorders>
          </w:tcPr>
          <w:p w:rsidR="00582426" w:rsidRPr="008211FD" w:rsidRDefault="00582426" w:rsidP="008211FD">
            <w:pPr>
              <w:spacing w:after="0" w:line="240" w:lineRule="auto"/>
              <w:rPr>
                <w:rFonts w:ascii="Times New Roman" w:hAnsi="Times New Roman"/>
                <w:sz w:val="16"/>
                <w:szCs w:val="16"/>
              </w:rPr>
            </w:pPr>
          </w:p>
        </w:tc>
        <w:tc>
          <w:tcPr>
            <w:tcW w:w="567" w:type="dxa"/>
            <w:vMerge/>
            <w:tcBorders>
              <w:left w:val="single" w:sz="4" w:space="0" w:color="auto"/>
            </w:tcBorders>
          </w:tcPr>
          <w:p w:rsidR="00582426" w:rsidRPr="008211FD" w:rsidRDefault="00582426" w:rsidP="008211FD">
            <w:pPr>
              <w:spacing w:after="0" w:line="240" w:lineRule="auto"/>
              <w:jc w:val="center"/>
              <w:rPr>
                <w:rFonts w:ascii="Times New Roman" w:hAnsi="Times New Roman"/>
                <w:sz w:val="16"/>
                <w:szCs w:val="16"/>
              </w:rPr>
            </w:pPr>
          </w:p>
        </w:tc>
        <w:tc>
          <w:tcPr>
            <w:tcW w:w="2551" w:type="dxa"/>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ID – Indústria Difusora (Intensiva em tecnologia)</w:t>
            </w:r>
          </w:p>
        </w:tc>
        <w:tc>
          <w:tcPr>
            <w:tcW w:w="3969" w:type="dxa"/>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Veículos e autopeças (8)</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Equipamentos de informática, eletroeletrônicos e ópticos (6)</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Máquinas e equipamentos (4)</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Aeronaves (2)</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Medicamentos (1)</w:t>
            </w:r>
          </w:p>
        </w:tc>
        <w:tc>
          <w:tcPr>
            <w:tcW w:w="425" w:type="dxa"/>
            <w:tcBorders>
              <w:right w:val="nil"/>
            </w:tcBorders>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21</w:t>
            </w:r>
          </w:p>
        </w:tc>
      </w:tr>
      <w:tr w:rsidR="00582426" w:rsidRPr="008211FD" w:rsidTr="008211FD">
        <w:trPr>
          <w:trHeight w:val="32"/>
        </w:trPr>
        <w:tc>
          <w:tcPr>
            <w:tcW w:w="993" w:type="dxa"/>
            <w:vMerge/>
            <w:tcBorders>
              <w:left w:val="nil"/>
              <w:right w:val="single" w:sz="4" w:space="0" w:color="auto"/>
            </w:tcBorders>
          </w:tcPr>
          <w:p w:rsidR="00582426" w:rsidRPr="008211FD" w:rsidRDefault="00582426" w:rsidP="008211FD">
            <w:pPr>
              <w:spacing w:after="0" w:line="240" w:lineRule="auto"/>
              <w:rPr>
                <w:rFonts w:ascii="Times New Roman" w:hAnsi="Times New Roman"/>
                <w:sz w:val="16"/>
                <w:szCs w:val="16"/>
              </w:rPr>
            </w:pPr>
          </w:p>
        </w:tc>
        <w:tc>
          <w:tcPr>
            <w:tcW w:w="567" w:type="dxa"/>
            <w:vMerge/>
            <w:tcBorders>
              <w:left w:val="single" w:sz="4" w:space="0" w:color="auto"/>
            </w:tcBorders>
          </w:tcPr>
          <w:p w:rsidR="00582426" w:rsidRPr="008211FD" w:rsidRDefault="00582426" w:rsidP="008211FD">
            <w:pPr>
              <w:spacing w:after="0" w:line="240" w:lineRule="auto"/>
              <w:jc w:val="center"/>
              <w:rPr>
                <w:rFonts w:ascii="Times New Roman" w:hAnsi="Times New Roman"/>
                <w:sz w:val="16"/>
                <w:szCs w:val="16"/>
              </w:rPr>
            </w:pPr>
          </w:p>
        </w:tc>
        <w:tc>
          <w:tcPr>
            <w:tcW w:w="2551" w:type="dxa"/>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ICC – Indústria da Construção Civil</w:t>
            </w:r>
          </w:p>
        </w:tc>
        <w:tc>
          <w:tcPr>
            <w:tcW w:w="3969" w:type="dxa"/>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Construção (17)</w:t>
            </w:r>
          </w:p>
        </w:tc>
        <w:tc>
          <w:tcPr>
            <w:tcW w:w="425" w:type="dxa"/>
            <w:tcBorders>
              <w:right w:val="nil"/>
            </w:tcBorders>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17</w:t>
            </w:r>
          </w:p>
        </w:tc>
      </w:tr>
      <w:tr w:rsidR="00582426" w:rsidRPr="008211FD" w:rsidTr="008211FD">
        <w:trPr>
          <w:trHeight w:val="32"/>
        </w:trPr>
        <w:tc>
          <w:tcPr>
            <w:tcW w:w="993" w:type="dxa"/>
            <w:vMerge/>
            <w:tcBorders>
              <w:left w:val="nil"/>
              <w:bottom w:val="nil"/>
              <w:right w:val="single" w:sz="4" w:space="0" w:color="auto"/>
            </w:tcBorders>
          </w:tcPr>
          <w:p w:rsidR="00582426" w:rsidRPr="008211FD" w:rsidRDefault="00582426" w:rsidP="008211FD">
            <w:pPr>
              <w:spacing w:after="0" w:line="240" w:lineRule="auto"/>
              <w:rPr>
                <w:rFonts w:ascii="Times New Roman" w:hAnsi="Times New Roman"/>
                <w:sz w:val="16"/>
                <w:szCs w:val="16"/>
              </w:rPr>
            </w:pPr>
          </w:p>
        </w:tc>
        <w:tc>
          <w:tcPr>
            <w:tcW w:w="567" w:type="dxa"/>
            <w:vMerge/>
            <w:tcBorders>
              <w:left w:val="single" w:sz="4" w:space="0" w:color="auto"/>
              <w:bottom w:val="single" w:sz="4" w:space="0" w:color="auto"/>
            </w:tcBorders>
          </w:tcPr>
          <w:p w:rsidR="00582426" w:rsidRPr="008211FD" w:rsidRDefault="00582426" w:rsidP="008211FD">
            <w:pPr>
              <w:spacing w:after="0" w:line="240" w:lineRule="auto"/>
              <w:jc w:val="center"/>
              <w:rPr>
                <w:rFonts w:ascii="Times New Roman" w:hAnsi="Times New Roman"/>
                <w:sz w:val="16"/>
                <w:szCs w:val="16"/>
              </w:rPr>
            </w:pPr>
          </w:p>
        </w:tc>
        <w:tc>
          <w:tcPr>
            <w:tcW w:w="2551" w:type="dxa"/>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 xml:space="preserve">IT – Indústria Tradicional (Intensiva em </w:t>
            </w:r>
            <w:r w:rsidR="00D056BE">
              <w:rPr>
                <w:rFonts w:ascii="Times New Roman" w:hAnsi="Times New Roman"/>
                <w:sz w:val="16"/>
                <w:szCs w:val="16"/>
              </w:rPr>
              <w:t>mão de obra</w:t>
            </w:r>
            <w:r w:rsidRPr="008211FD">
              <w:rPr>
                <w:rFonts w:ascii="Times New Roman" w:hAnsi="Times New Roman"/>
                <w:sz w:val="16"/>
                <w:szCs w:val="16"/>
              </w:rPr>
              <w:t>)</w:t>
            </w:r>
          </w:p>
        </w:tc>
        <w:tc>
          <w:tcPr>
            <w:tcW w:w="3969" w:type="dxa"/>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Alimentos e bebidas (5)</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Vestuário e acessórios. Têxteis (5)</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Impressão (1)</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Brinquedos e Jogos (1)</w:t>
            </w:r>
          </w:p>
        </w:tc>
        <w:tc>
          <w:tcPr>
            <w:tcW w:w="425" w:type="dxa"/>
            <w:tcBorders>
              <w:right w:val="nil"/>
            </w:tcBorders>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12</w:t>
            </w:r>
          </w:p>
        </w:tc>
      </w:tr>
      <w:tr w:rsidR="00582426" w:rsidRPr="008211FD" w:rsidTr="008211FD">
        <w:tc>
          <w:tcPr>
            <w:tcW w:w="993" w:type="dxa"/>
            <w:tcBorders>
              <w:top w:val="nil"/>
              <w:left w:val="nil"/>
              <w:bottom w:val="nil"/>
              <w:right w:val="single" w:sz="4" w:space="0" w:color="auto"/>
            </w:tcBorders>
          </w:tcPr>
          <w:p w:rsidR="00582426" w:rsidRPr="008211FD" w:rsidRDefault="00582426" w:rsidP="008211FD">
            <w:pPr>
              <w:spacing w:after="0" w:line="240" w:lineRule="auto"/>
              <w:rPr>
                <w:rFonts w:ascii="Times New Roman" w:hAnsi="Times New Roman"/>
                <w:sz w:val="16"/>
                <w:szCs w:val="16"/>
              </w:rPr>
            </w:pPr>
          </w:p>
        </w:tc>
        <w:tc>
          <w:tcPr>
            <w:tcW w:w="567" w:type="dxa"/>
            <w:tcBorders>
              <w:top w:val="nil"/>
              <w:left w:val="single" w:sz="4" w:space="0" w:color="auto"/>
            </w:tcBorders>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SC</w:t>
            </w:r>
          </w:p>
        </w:tc>
        <w:tc>
          <w:tcPr>
            <w:tcW w:w="2551" w:type="dxa"/>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SC – Serviços e Comércio</w:t>
            </w:r>
          </w:p>
        </w:tc>
        <w:tc>
          <w:tcPr>
            <w:tcW w:w="3969" w:type="dxa"/>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Comércio (12)</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Telecomunicações (4)</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Consultoria (9)</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Educação (4)</w:t>
            </w:r>
          </w:p>
        </w:tc>
        <w:tc>
          <w:tcPr>
            <w:tcW w:w="425" w:type="dxa"/>
            <w:tcBorders>
              <w:right w:val="nil"/>
            </w:tcBorders>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29</w:t>
            </w:r>
          </w:p>
        </w:tc>
      </w:tr>
      <w:tr w:rsidR="00582426" w:rsidRPr="008211FD" w:rsidTr="008211FD">
        <w:tc>
          <w:tcPr>
            <w:tcW w:w="993" w:type="dxa"/>
            <w:tcBorders>
              <w:top w:val="single" w:sz="4" w:space="0" w:color="auto"/>
              <w:left w:val="nil"/>
            </w:tcBorders>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 xml:space="preserve">Setor </w:t>
            </w:r>
            <w:r w:rsidR="0092012D" w:rsidRPr="008211FD">
              <w:rPr>
                <w:rFonts w:ascii="Times New Roman" w:hAnsi="Times New Roman"/>
                <w:sz w:val="16"/>
                <w:szCs w:val="16"/>
              </w:rPr>
              <w:t>Bancário e Financeiro não Bancário</w:t>
            </w:r>
          </w:p>
        </w:tc>
        <w:tc>
          <w:tcPr>
            <w:tcW w:w="567" w:type="dxa"/>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S</w:t>
            </w:r>
            <w:r w:rsidR="007B4198" w:rsidRPr="008211FD">
              <w:rPr>
                <w:rFonts w:ascii="Times New Roman" w:hAnsi="Times New Roman"/>
                <w:sz w:val="16"/>
                <w:szCs w:val="16"/>
              </w:rPr>
              <w:t>BF</w:t>
            </w:r>
          </w:p>
        </w:tc>
        <w:tc>
          <w:tcPr>
            <w:tcW w:w="2551" w:type="dxa"/>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S</w:t>
            </w:r>
            <w:r w:rsidR="007B4198" w:rsidRPr="008211FD">
              <w:rPr>
                <w:rFonts w:ascii="Times New Roman" w:hAnsi="Times New Roman"/>
                <w:sz w:val="16"/>
                <w:szCs w:val="16"/>
              </w:rPr>
              <w:t>B</w:t>
            </w:r>
            <w:r w:rsidRPr="008211FD">
              <w:rPr>
                <w:rFonts w:ascii="Times New Roman" w:hAnsi="Times New Roman"/>
                <w:sz w:val="16"/>
                <w:szCs w:val="16"/>
              </w:rPr>
              <w:t>F – Setor</w:t>
            </w:r>
            <w:r w:rsidR="007B4198" w:rsidRPr="008211FD">
              <w:rPr>
                <w:rFonts w:ascii="Times New Roman" w:hAnsi="Times New Roman"/>
                <w:sz w:val="16"/>
                <w:szCs w:val="16"/>
              </w:rPr>
              <w:t xml:space="preserve"> Bancário e Financeiro não Bancário</w:t>
            </w:r>
          </w:p>
        </w:tc>
        <w:tc>
          <w:tcPr>
            <w:tcW w:w="3969" w:type="dxa"/>
          </w:tcPr>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 xml:space="preserve">Bancos </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Corretoras de Valores</w:t>
            </w:r>
          </w:p>
          <w:p w:rsidR="00582426" w:rsidRPr="008211FD" w:rsidRDefault="00582426" w:rsidP="008211FD">
            <w:pPr>
              <w:spacing w:after="0" w:line="240" w:lineRule="auto"/>
              <w:rPr>
                <w:rFonts w:ascii="Times New Roman" w:hAnsi="Times New Roman"/>
                <w:sz w:val="16"/>
                <w:szCs w:val="16"/>
              </w:rPr>
            </w:pPr>
            <w:r w:rsidRPr="008211FD">
              <w:rPr>
                <w:rFonts w:ascii="Times New Roman" w:hAnsi="Times New Roman"/>
                <w:sz w:val="16"/>
                <w:szCs w:val="16"/>
              </w:rPr>
              <w:t>Seguradoras</w:t>
            </w:r>
          </w:p>
        </w:tc>
        <w:tc>
          <w:tcPr>
            <w:tcW w:w="425" w:type="dxa"/>
            <w:tcBorders>
              <w:right w:val="nil"/>
            </w:tcBorders>
          </w:tcPr>
          <w:p w:rsidR="00582426" w:rsidRPr="008211FD" w:rsidRDefault="00582426" w:rsidP="008211FD">
            <w:pPr>
              <w:spacing w:after="0" w:line="240" w:lineRule="auto"/>
              <w:jc w:val="center"/>
              <w:rPr>
                <w:rFonts w:ascii="Times New Roman" w:hAnsi="Times New Roman"/>
                <w:sz w:val="16"/>
                <w:szCs w:val="16"/>
              </w:rPr>
            </w:pPr>
            <w:r w:rsidRPr="008211FD">
              <w:rPr>
                <w:rFonts w:ascii="Times New Roman" w:hAnsi="Times New Roman"/>
                <w:sz w:val="16"/>
                <w:szCs w:val="16"/>
              </w:rPr>
              <w:t>25</w:t>
            </w:r>
          </w:p>
        </w:tc>
      </w:tr>
    </w:tbl>
    <w:p w:rsidR="006D30AB" w:rsidRDefault="00582426" w:rsidP="006D30AB">
      <w:pPr>
        <w:spacing w:after="0" w:line="240" w:lineRule="auto"/>
        <w:rPr>
          <w:rFonts w:ascii="Times New Roman" w:hAnsi="Times New Roman"/>
          <w:sz w:val="18"/>
          <w:szCs w:val="18"/>
        </w:rPr>
      </w:pPr>
      <w:r w:rsidRPr="006D30AB">
        <w:rPr>
          <w:rFonts w:ascii="Times New Roman" w:hAnsi="Times New Roman"/>
          <w:b/>
          <w:sz w:val="18"/>
          <w:szCs w:val="18"/>
        </w:rPr>
        <w:t>Elaboração própria</w:t>
      </w:r>
      <w:r w:rsidRPr="006D30AB">
        <w:rPr>
          <w:rFonts w:ascii="Times New Roman" w:hAnsi="Times New Roman"/>
          <w:sz w:val="18"/>
          <w:szCs w:val="18"/>
        </w:rPr>
        <w:t xml:space="preserve">. </w:t>
      </w:r>
      <w:r w:rsidR="006D30AB" w:rsidRPr="006D30AB">
        <w:rPr>
          <w:rFonts w:ascii="Times New Roman" w:hAnsi="Times New Roman"/>
          <w:b/>
          <w:sz w:val="18"/>
          <w:szCs w:val="18"/>
        </w:rPr>
        <w:t xml:space="preserve">Fontes: </w:t>
      </w:r>
      <w:r w:rsidRPr="006D30AB">
        <w:rPr>
          <w:rFonts w:ascii="Times New Roman" w:hAnsi="Times New Roman"/>
          <w:sz w:val="18"/>
          <w:szCs w:val="18"/>
        </w:rPr>
        <w:t>Adaptado de PINTO (2010), Kupfer (2001) e ApexBrasil: Boletim da Indústria e do</w:t>
      </w:r>
    </w:p>
    <w:p w:rsidR="00582426" w:rsidRPr="006D30AB" w:rsidRDefault="00582426" w:rsidP="00582426">
      <w:pPr>
        <w:spacing w:line="240" w:lineRule="auto"/>
        <w:rPr>
          <w:sz w:val="18"/>
          <w:szCs w:val="18"/>
        </w:rPr>
      </w:pPr>
      <w:r w:rsidRPr="006D30AB">
        <w:rPr>
          <w:rFonts w:ascii="Times New Roman" w:hAnsi="Times New Roman"/>
          <w:sz w:val="18"/>
          <w:szCs w:val="18"/>
        </w:rPr>
        <w:t xml:space="preserve">Comércio Exterior, V1, Nº4, jul-set 2010. </w:t>
      </w:r>
    </w:p>
    <w:p w:rsidR="00582426" w:rsidRDefault="00582426" w:rsidP="00582426">
      <w:pPr>
        <w:pStyle w:val="NormalWeb"/>
        <w:spacing w:before="0" w:beforeAutospacing="0" w:after="0" w:afterAutospacing="0" w:line="360" w:lineRule="auto"/>
        <w:ind w:firstLine="708"/>
        <w:jc w:val="both"/>
      </w:pPr>
      <w:r>
        <w:t xml:space="preserve">Como vimos, praticamente 62% do conjunto das atividades empresariais dos conselheiros pertencia ao </w:t>
      </w:r>
      <w:r w:rsidR="00B11D8A">
        <w:t>capital</w:t>
      </w:r>
      <w:r>
        <w:t xml:space="preserve"> industrial</w:t>
      </w:r>
      <w:r w:rsidR="00B11D8A">
        <w:t xml:space="preserve"> (produtor de valor)</w:t>
      </w:r>
      <w:r>
        <w:t>, sem que com isso, evidentemente, deixassem de ampliar ramificações em outros setores econômicos. Contudo, a distribuição das inserções dos mesmos empresários a partir da agregação classificatória acima, nos permite visualizar melhor características e perfis comuns (ou próximos) do agrupamento empresarial industrial que trafegou pelo CDES:</w:t>
      </w:r>
    </w:p>
    <w:p w:rsidR="006F13B7" w:rsidRDefault="00582426" w:rsidP="00582426">
      <w:pPr>
        <w:pStyle w:val="NormalWeb"/>
        <w:numPr>
          <w:ilvl w:val="0"/>
          <w:numId w:val="2"/>
        </w:numPr>
        <w:spacing w:before="0" w:beforeAutospacing="0" w:after="0" w:afterAutospacing="0" w:line="360" w:lineRule="auto"/>
        <w:ind w:left="426"/>
        <w:jc w:val="both"/>
      </w:pPr>
      <w:r>
        <w:t xml:space="preserve">De pronto, nota-se a forte presença do setor exportador de </w:t>
      </w:r>
      <w:r w:rsidRPr="006F13B7">
        <w:rPr>
          <w:i/>
        </w:rPr>
        <w:t>commodities</w:t>
      </w:r>
      <w:r>
        <w:t xml:space="preserve">, com preponderância de conselheiros vinculados a atividades de baixa ou média-baixa intensidade tecnológica e intensivo uso de recursos naturais. </w:t>
      </w:r>
      <w:r w:rsidR="006F13B7">
        <w:t>A</w:t>
      </w:r>
      <w:r>
        <w:t xml:space="preserve"> indústria de </w:t>
      </w:r>
      <w:r w:rsidRPr="006F13B7">
        <w:rPr>
          <w:i/>
        </w:rPr>
        <w:t xml:space="preserve">commodities </w:t>
      </w:r>
      <w:r>
        <w:t>se destacava com 28% d</w:t>
      </w:r>
      <w:r w:rsidR="00813A28">
        <w:t>as 147</w:t>
      </w:r>
      <w:r>
        <w:t xml:space="preserve">inserções </w:t>
      </w:r>
      <w:r w:rsidR="006F13B7">
        <w:t xml:space="preserve">do total das atividades </w:t>
      </w:r>
      <w:r>
        <w:t>empresaria</w:t>
      </w:r>
      <w:r w:rsidR="006F13B7">
        <w:t>is</w:t>
      </w:r>
      <w:r>
        <w:t xml:space="preserve"> e 44% no que tange </w:t>
      </w:r>
      <w:r w:rsidR="006F13B7">
        <w:t xml:space="preserve">às 90 inserções nos </w:t>
      </w:r>
      <w:r>
        <w:t xml:space="preserve">setores </w:t>
      </w:r>
      <w:r w:rsidR="006F13B7">
        <w:t xml:space="preserve">de atividades </w:t>
      </w:r>
      <w:r>
        <w:t xml:space="preserve">industriais. </w:t>
      </w:r>
    </w:p>
    <w:p w:rsidR="00582426" w:rsidRDefault="00582426" w:rsidP="00582426">
      <w:pPr>
        <w:pStyle w:val="NormalWeb"/>
        <w:numPr>
          <w:ilvl w:val="0"/>
          <w:numId w:val="2"/>
        </w:numPr>
        <w:spacing w:before="0" w:beforeAutospacing="0" w:after="0" w:afterAutospacing="0" w:line="360" w:lineRule="auto"/>
        <w:ind w:left="426"/>
        <w:jc w:val="both"/>
      </w:pPr>
      <w:r>
        <w:t>A indústria intensiva em tecnologia marcava presença importante dentre os demais setores industriais com a vinculação de 21 conselheiros, representando 23% de participação nos setores industriais e de 15% do total de participações. Destacava-se a significativa presença de 8 conselheiros diretamente ligados à grande indústria automotiva dos quais 5 assumiam postos de direção (Vice-Presidente e Presidente) das principais entidades do setor (Associação Nacional dos Fabricantes de Veículos Automotores - ANFAVEA e do Sindicato Nacional dos Fabricantes de Veículos Automotores - SINFAVEA). Seis conselheiros eram empresários ligados à indústria eletroeletrônica e de produtos ópticos, sendo que 4 deles ocupavam assentos como diretores, vice-presidentes e presidentes da Associação Brasileira de Indústria Eletroeletrônica (ABINEE). Dos 4 conselheiros do setor de fabricação de máquinas e equipamentos, 2 eram proprietários de indústrias do setor, sendo que todos eles ocupavam postos de direção na Associação Brasileira da Indústria de Máquinas e Equipamentos (ABIMAQ) e no sindicato do setor (SINDIMAQ). Por fim, 2 conselheiros haviam sido presidentes da ex-estatal Embraer e 1 conselheiro era representante da Federação Brasileira da Indústria Farmacêutica (FEBRAFARMA). Tratava-se, como percebemos, de empresários que representavam grupos econômicos, firmas e entidades de peso na economia do país. Duas importantes características, porém, eram bem claras: dada a orgânica ligação às entidades setoriais, eram de fato empresários que se cr</w:t>
      </w:r>
      <w:r w:rsidR="006F13B7">
        <w:t>edenciavam como organizadores de</w:t>
      </w:r>
      <w:r>
        <w:t xml:space="preserve"> setor</w:t>
      </w:r>
      <w:r w:rsidR="006F13B7">
        <w:t>es</w:t>
      </w:r>
      <w:r>
        <w:t xml:space="preserve"> da fração industrial ao que se vinculavam e, dentre os 21 empresários da indústria difusora de tecnologia, 7 (ou seja, um terço) eram indiscutivelmente prepostos do grande capital estrangeiro em atuação no país.</w:t>
      </w:r>
    </w:p>
    <w:p w:rsidR="00582426" w:rsidRDefault="00582426" w:rsidP="00582426">
      <w:pPr>
        <w:pStyle w:val="NormalWeb"/>
        <w:numPr>
          <w:ilvl w:val="0"/>
          <w:numId w:val="2"/>
        </w:numPr>
        <w:spacing w:before="0" w:beforeAutospacing="0" w:after="0" w:afterAutospacing="0" w:line="360" w:lineRule="auto"/>
        <w:ind w:left="426"/>
        <w:jc w:val="both"/>
      </w:pPr>
      <w:r>
        <w:t>A indústria da construção civil e de infraestrutura comparecia junto ao CDES com 17 empresários. Estes equivaliam a 12% do total geral de participações e 19% dentre as do setor industrial. Doze empresários eram proprietários de empresas de engenharia, sendo que apenas um (Marcelo Odebrecht) pertencia a uma das gigantes brasileiras da construção pesada. Todas as empresas de engenharia possuíam um portfólio que envolvia construções e reformas de edifícios e serviços especializados voltados a estes fins, incorporações de empreendimentos imobiliários e obras de infraestrutura. Dos 17 empresários da indústria da construção civil</w:t>
      </w:r>
      <w:r w:rsidR="006F13B7">
        <w:t>,</w:t>
      </w:r>
      <w:r>
        <w:t xml:space="preserve"> 7 </w:t>
      </w:r>
      <w:r w:rsidR="006F13B7">
        <w:t>ocupavam</w:t>
      </w:r>
      <w:r>
        <w:t xml:space="preserve"> altos cargos de direção em duas entidades do setor: na mais importante e tradicional - a Associação Brasileira de Infraestrutura e Indústria de Base (ABDIB) e também na Câmara Brasileira da Indústria da Construção (CBIC).</w:t>
      </w:r>
    </w:p>
    <w:p w:rsidR="00582426" w:rsidRDefault="00582426" w:rsidP="00582426">
      <w:pPr>
        <w:pStyle w:val="NormalWeb"/>
        <w:numPr>
          <w:ilvl w:val="0"/>
          <w:numId w:val="2"/>
        </w:numPr>
        <w:spacing w:before="0" w:beforeAutospacing="0" w:after="0" w:afterAutospacing="0" w:line="360" w:lineRule="auto"/>
        <w:ind w:left="426"/>
        <w:jc w:val="both"/>
      </w:pPr>
      <w:r>
        <w:t xml:space="preserve">A indústria tradicional aparecia como setor industrial com menor representação no CDES.  Arregimentava apenas 8% das participações totais e 13% </w:t>
      </w:r>
      <w:r w:rsidR="009E531E">
        <w:t>em relação a</w:t>
      </w:r>
      <w:r>
        <w:t xml:space="preserve">os seus pares industriais. Seus conselheiros eram empresários do setor de produção alimentícia e de bebidas, tais como Amarílio Macedo, proprietário da J. Macêdo, empresa reconhecida como a maior processadora de trigo no Brasil, produtora de farinhas, massas, biscoitos, etc.; Lincoln Fernandes, controlador do Grupo Carfepe, também processador de trigo, diversificando investimentos em outros setores industriais; Rodrigo Loures, proprietário da Nutrimental; Ivan Zurita, presidente da Nestlé Brasil; Maurício Botelho atuou na Perdigão. No setor de confecção para vestuário e acessórios e têxtil encontramos Ivo Rosset, proprietário do Grupo Rosset, </w:t>
      </w:r>
      <w:r>
        <w:rPr>
          <w:color w:val="000000"/>
          <w:lang w:val="pt-PT"/>
        </w:rPr>
        <w:t>detinha 65% do mercado de produção de tecidos no país e também as marcas Valisère e Cia. Marítima</w:t>
      </w:r>
      <w:r>
        <w:t>; Benjamin Steinbruch, s</w:t>
      </w:r>
      <w:r w:rsidR="005D72BB">
        <w:t>o</w:t>
      </w:r>
      <w:r>
        <w:t>cioproprietário da Vicunha Têxtil; Sônia Souza, dona da empresa de moda Dudalina; Paulo Skaf, foi empresário do setor têxtil e presidente por muitos anos da Associação Brasileira de Indústria Têxtil (ABIT), da qual também participavam Ivo Rosset e Sônia Souza. Vale destacar a presença de Oded Grajew (Grow Brinquedos) que talvez estivesse dentre os em</w:t>
      </w:r>
      <w:r w:rsidR="006F13B7">
        <w:t xml:space="preserve">presários com maior influência </w:t>
      </w:r>
      <w:r>
        <w:t xml:space="preserve">entre os dirigentes petistas. Tratava-se de um conjunto de empresários com </w:t>
      </w:r>
      <w:r w:rsidR="006F13B7">
        <w:t>intensa</w:t>
      </w:r>
      <w:r>
        <w:t xml:space="preserve"> movimentação em diversos aparelhos privados de hegemonia, dentre os mais conhecidos, IEDI, </w:t>
      </w:r>
      <w:r w:rsidR="000834BC">
        <w:t>FIESP</w:t>
      </w:r>
      <w:r>
        <w:t>, CNI e PNBE e, no caso de Grajew, fundou, além do PNBE, a Cives e o Instituto Ethos.</w:t>
      </w:r>
    </w:p>
    <w:p w:rsidR="00582426" w:rsidRDefault="00582426" w:rsidP="00582426">
      <w:pPr>
        <w:pStyle w:val="NormalWeb"/>
        <w:numPr>
          <w:ilvl w:val="0"/>
          <w:numId w:val="2"/>
        </w:numPr>
        <w:spacing w:before="0" w:beforeAutospacing="0" w:after="0" w:afterAutospacing="0" w:line="360" w:lineRule="auto"/>
        <w:ind w:left="426"/>
        <w:jc w:val="both"/>
      </w:pPr>
      <w:r>
        <w:t>A fração comercial e de serviços comparecia com 29 empresários (20% do total de participações no Conselho), sendo que pouco mais de 8% se vinculava diretamente ao setor comercial. No setor de serviços, havia atuação de empresários e CEO’s no setor de telecomunicações como Fernando Ferreira e Antonio Silva (ambos haviam sido Presidentes da Telefônica no Brasil). O primeiro foi ministro da Telebrás e das Comunicações nos governos FHC e membro dos conselhos de administração da Embratel, Telerj e Telesp e o segundo vice-presidente da ANATEL. Pedro Jereissati e Carlos Jereiss</w:t>
      </w:r>
      <w:r w:rsidR="005D72BB">
        <w:t>ati (so</w:t>
      </w:r>
      <w:r>
        <w:t xml:space="preserve">ciosproprietários da holding Jereissati Participações que, dentre suas empresas, aparecia a La Fonte Telecom SA como a maior acionista da Telemar). Alguns destes conselheiros filiavam-se a entidades patronais como CNI, </w:t>
      </w:r>
      <w:r w:rsidR="000834BC">
        <w:t>FIESP</w:t>
      </w:r>
      <w:r>
        <w:t xml:space="preserve"> e ABDIB. Ainda no setor de serviços, 9  empresários eram donos de firmas de consultoria em </w:t>
      </w:r>
      <w:r w:rsidR="006F13B7">
        <w:t>distintas atividades e s</w:t>
      </w:r>
      <w:r>
        <w:t>egmentos econômicos: ciências contábeis, auditoria e tributação, gestão empresarial, ciência política e políticas públicas, mineração, tecnologia da informação, dentre outros. Destacavam-se: Trevisan Consultores e Arko Advanced Pesquisas (ambas bastante requisitadas no meio empresarial), Paulo Velinho Consultores Associados e a reconhecida internacionalmente Price-Waterhouse Coopers-Brasil (PwC). Averiguamos também que 4 empresários da educação (donos de faculdades e cursos e/ou que se dedicavam à sua mercantilização e adestramento à lógica do capital, como no caso de Viviane Senna) compunham a emergente burguesia de serviços no CDES. No que tange às relações com as entidades, verificamos que nenhum dono de consultoria se vinculava a qualquer entidade deste setor. Grosso modo, apenas 3 conselheiros se dedicavam exclusivamente a esta atividade, tendo os demais inserção empresarial em outros setores. No ramo educacional, apenas Antonio Carbonari Neto (dono do Anhanguera Educacional, entidade mantenedora de várias faculdades) mantinha filiação à entidade de classe do setor (SEMEP e FUNADESP). Contudo, o Movimento Todos pela Educação, criado por um grupo de empresários e com forte presença de grandes grupos dentre seus mantenedores e apoiadores, tem como filiados 7 conselheiros.</w:t>
      </w:r>
      <w:r>
        <w:rPr>
          <w:rStyle w:val="Refdenotaderodap"/>
        </w:rPr>
        <w:footnoteReference w:id="230"/>
      </w:r>
    </w:p>
    <w:p w:rsidR="00022E35" w:rsidRDefault="00582426" w:rsidP="00022E35">
      <w:pPr>
        <w:pStyle w:val="NormalWeb"/>
        <w:numPr>
          <w:ilvl w:val="0"/>
          <w:numId w:val="2"/>
        </w:numPr>
        <w:spacing w:before="0" w:beforeAutospacing="0" w:after="0" w:afterAutospacing="0" w:line="360" w:lineRule="auto"/>
        <w:ind w:left="426"/>
        <w:jc w:val="both"/>
      </w:pPr>
      <w:r>
        <w:t>Os grupos e/ou firmas comerciais marcavam presença no CDES. Foram 12 os empresários representantes desta fração: Abílio Diniz (Grupo Pão de Açúcar), Cosette Alves (proprietária do falido Mappin, lugar-comum da alta elite paulistana), Eduardo Eugênio Gouvêa Vieira (Empresas de Petróleo Ipiranga), Alair Martins (Grupo Martins), Luiza Helena Trajano (proprietária do Magazine Luiza), Humberto Mota (Presidente da Dufry do Brasil) e Luiz Leite (Fort Knox Comércio Produtos Segurança), sendo que 4 conselheiros eram donos de concessionárias de veículos (nacionais e importados) e vinculados à entidade do setor (FENABRAVE) e 1 era presidente da Associação Nacional dos Comerciantes de Materiais de Construção (ANAMACO). No geral, quase todos eram envolvidos com entidades representativas do comércio</w:t>
      </w:r>
      <w:r w:rsidR="00FF5303">
        <w:t xml:space="preserve"> (ABRAS, ABAD, ACRJ, ACSP, ACMG,</w:t>
      </w:r>
      <w:r>
        <w:t xml:space="preserve"> CNC, CACEB, IDV) e alguns também pertenciam aos quadros da CNI, </w:t>
      </w:r>
      <w:r w:rsidR="000834BC">
        <w:t>FIESP</w:t>
      </w:r>
      <w:r>
        <w:t xml:space="preserve"> e PNBE.</w:t>
      </w:r>
    </w:p>
    <w:p w:rsidR="006D38F4" w:rsidRDefault="00582426" w:rsidP="00022E35">
      <w:pPr>
        <w:pStyle w:val="NormalWeb"/>
        <w:numPr>
          <w:ilvl w:val="0"/>
          <w:numId w:val="2"/>
        </w:numPr>
        <w:spacing w:before="0" w:beforeAutospacing="0" w:after="0" w:afterAutospacing="0" w:line="360" w:lineRule="auto"/>
        <w:ind w:left="426"/>
        <w:jc w:val="both"/>
      </w:pPr>
      <w:r>
        <w:t xml:space="preserve">Por fim, a presença da fração </w:t>
      </w:r>
      <w:r w:rsidR="00EB1A50">
        <w:t xml:space="preserve">bancária </w:t>
      </w:r>
      <w:r>
        <w:t xml:space="preserve">no Conselho era evidente: dos 25 conselheiros (17% do total de 144 participações) ligados ao setor, 20 possuíam vínculos orgânicos com os grandes bancos nacionais e estrangeiros, destacando-se: Itaú S/A, Unibanco, Bradesco, Banco Fibra, Banco Dibens, Banco Gerdau, Banco Triângulo Mineiro, Banco Fidis, ABN Amro Bank, Santander Banespa, Citibank e BNP Paribas e bancos públicos estaduais de desenvolvimento. Era a fração propriamente bancária que se destacava, mas isto não significava a ausência de setores financeiros não bancários (donos de corretoras, seguradoras, gestoras de previdência privada, presidente da bolsa de valores, de cooperativas de crédito rural etc). Estes empresários/banqueiros organizavam-se em extensa rede de entidades e associações do setor </w:t>
      </w:r>
      <w:r w:rsidR="006F13B7">
        <w:t xml:space="preserve">bancário e </w:t>
      </w:r>
      <w:r>
        <w:t xml:space="preserve">financeiro, destacando-se a Federação Brasileira de Associações de Bancos (Febraban) e a Confederação Nacional das Instituições Financeiras (CNF). A presença do setor bancário </w:t>
      </w:r>
      <w:r w:rsidR="00EB1A50">
        <w:t>e financeiro</w:t>
      </w:r>
      <w:r>
        <w:t xml:space="preserve"> não bancário no CDES, entre os anos 2003 e 2006, será analisada</w:t>
      </w:r>
      <w:r w:rsidR="00EB1A50">
        <w:t xml:space="preserve"> com profundidade mais adiante no item </w:t>
      </w:r>
      <w:r w:rsidR="00F20A37">
        <w:t>2.3.4</w:t>
      </w:r>
      <w:r w:rsidR="00EB1A50">
        <w:t xml:space="preserve">. </w:t>
      </w:r>
    </w:p>
    <w:p w:rsidR="00582426" w:rsidRPr="00822877" w:rsidRDefault="00582426" w:rsidP="00822877">
      <w:pPr>
        <w:autoSpaceDE w:val="0"/>
        <w:autoSpaceDN w:val="0"/>
        <w:adjustRightInd w:val="0"/>
        <w:spacing w:line="360" w:lineRule="auto"/>
        <w:ind w:firstLine="708"/>
        <w:jc w:val="both"/>
        <w:rPr>
          <w:rFonts w:ascii="Times New Roman" w:hAnsi="Times New Roman"/>
          <w:sz w:val="24"/>
          <w:szCs w:val="24"/>
        </w:rPr>
      </w:pPr>
      <w:r w:rsidRPr="00822877">
        <w:rPr>
          <w:rFonts w:ascii="Times New Roman" w:hAnsi="Times New Roman"/>
          <w:sz w:val="24"/>
          <w:szCs w:val="24"/>
        </w:rPr>
        <w:t>Apoiando-se na classificação da OCDE, a classificação por intensidade tecnológica utilizada na Pesquisa Industrial de Inovação Tecnológica (PINTEC) do IBGE organiza-se tendo como base os gastos nas diferentes atividades inovativas realizadas pelos setores industriais sendo, no caso brasileiro, as despesas com P&amp;D parâmetro de mensuração destas despesas.</w:t>
      </w:r>
      <w:r>
        <w:rPr>
          <w:rStyle w:val="Refdenotaderodap"/>
          <w:rFonts w:ascii="Times New Roman" w:hAnsi="Times New Roman"/>
          <w:sz w:val="24"/>
          <w:szCs w:val="24"/>
        </w:rPr>
        <w:footnoteReference w:id="231"/>
      </w:r>
      <w:r w:rsidRPr="00822877">
        <w:rPr>
          <w:rFonts w:ascii="Times New Roman" w:hAnsi="Times New Roman"/>
          <w:sz w:val="24"/>
          <w:szCs w:val="24"/>
        </w:rPr>
        <w:t xml:space="preserve"> A classificação PINTEC-IBGE atende de perto nossos propósitos, pois ela traz a vantagem de também utilizar categorizações e divisões do CNAE na organização dos setores industriais por intensidade tecnológica.     </w:t>
      </w:r>
    </w:p>
    <w:p w:rsidR="00582426" w:rsidRPr="00B12721" w:rsidRDefault="00582426" w:rsidP="00822877">
      <w:pPr>
        <w:pStyle w:val="NormalWeb"/>
        <w:spacing w:before="0" w:beforeAutospacing="0" w:after="240" w:afterAutospacing="0" w:line="276" w:lineRule="auto"/>
        <w:jc w:val="center"/>
        <w:rPr>
          <w:b/>
        </w:rPr>
      </w:pPr>
      <w:r>
        <w:rPr>
          <w:b/>
        </w:rPr>
        <w:t>Quadro 2.9</w:t>
      </w:r>
      <w:r w:rsidRPr="00B12721">
        <w:rPr>
          <w:b/>
        </w:rPr>
        <w:t xml:space="preserve"> - Classificação dos setores industriais presentes no CDES segundo a intensidade tecnológica</w:t>
      </w:r>
      <w:r>
        <w:rPr>
          <w:rStyle w:val="Refdenotaderodap"/>
          <w:b/>
        </w:rPr>
        <w:footnoteReference w:id="232"/>
      </w:r>
    </w:p>
    <w:tbl>
      <w:tblPr>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820"/>
        <w:gridCol w:w="1276"/>
        <w:gridCol w:w="567"/>
      </w:tblGrid>
      <w:tr w:rsidR="00582426" w:rsidRPr="008211FD" w:rsidTr="008211FD">
        <w:tc>
          <w:tcPr>
            <w:tcW w:w="1951" w:type="dxa"/>
          </w:tcPr>
          <w:p w:rsidR="00582426" w:rsidRPr="008211FD" w:rsidRDefault="00582426" w:rsidP="008211FD">
            <w:pPr>
              <w:pStyle w:val="NormalWeb"/>
              <w:spacing w:before="0" w:beforeAutospacing="0" w:after="0" w:afterAutospacing="0"/>
              <w:jc w:val="both"/>
              <w:rPr>
                <w:b/>
                <w:sz w:val="20"/>
                <w:szCs w:val="20"/>
              </w:rPr>
            </w:pPr>
            <w:r w:rsidRPr="008211FD">
              <w:rPr>
                <w:b/>
                <w:sz w:val="20"/>
                <w:szCs w:val="20"/>
              </w:rPr>
              <w:t>Classificação</w:t>
            </w:r>
          </w:p>
        </w:tc>
        <w:tc>
          <w:tcPr>
            <w:tcW w:w="4820" w:type="dxa"/>
          </w:tcPr>
          <w:p w:rsidR="00582426" w:rsidRPr="008211FD" w:rsidRDefault="00582426" w:rsidP="008211FD">
            <w:pPr>
              <w:pStyle w:val="NormalWeb"/>
              <w:spacing w:before="0" w:beforeAutospacing="0" w:after="0" w:afterAutospacing="0"/>
              <w:jc w:val="both"/>
              <w:rPr>
                <w:b/>
                <w:sz w:val="20"/>
                <w:szCs w:val="20"/>
              </w:rPr>
            </w:pPr>
            <w:r w:rsidRPr="008211FD">
              <w:rPr>
                <w:b/>
                <w:sz w:val="20"/>
                <w:szCs w:val="20"/>
              </w:rPr>
              <w:t>Divisões e agregações</w:t>
            </w:r>
          </w:p>
        </w:tc>
        <w:tc>
          <w:tcPr>
            <w:tcW w:w="1276" w:type="dxa"/>
          </w:tcPr>
          <w:p w:rsidR="00582426" w:rsidRPr="008211FD" w:rsidRDefault="00582426" w:rsidP="008211FD">
            <w:pPr>
              <w:pStyle w:val="NormalWeb"/>
              <w:spacing w:before="0" w:beforeAutospacing="0" w:after="0" w:afterAutospacing="0"/>
              <w:jc w:val="both"/>
              <w:rPr>
                <w:b/>
                <w:sz w:val="20"/>
                <w:szCs w:val="20"/>
              </w:rPr>
            </w:pPr>
            <w:r w:rsidRPr="008211FD">
              <w:rPr>
                <w:b/>
                <w:sz w:val="20"/>
                <w:szCs w:val="20"/>
              </w:rPr>
              <w:t>CNAE (2.1)</w:t>
            </w:r>
          </w:p>
        </w:tc>
        <w:tc>
          <w:tcPr>
            <w:tcW w:w="567" w:type="dxa"/>
          </w:tcPr>
          <w:p w:rsidR="00582426" w:rsidRPr="008211FD" w:rsidRDefault="00582426" w:rsidP="008211FD">
            <w:pPr>
              <w:pStyle w:val="NormalWeb"/>
              <w:spacing w:before="0" w:beforeAutospacing="0" w:after="0" w:afterAutospacing="0"/>
              <w:jc w:val="center"/>
              <w:rPr>
                <w:b/>
                <w:sz w:val="20"/>
                <w:szCs w:val="20"/>
              </w:rPr>
            </w:pPr>
            <w:r w:rsidRPr="008211FD">
              <w:rPr>
                <w:b/>
                <w:sz w:val="20"/>
                <w:szCs w:val="20"/>
              </w:rPr>
              <w:t>T</w:t>
            </w:r>
          </w:p>
        </w:tc>
      </w:tr>
      <w:tr w:rsidR="00582426" w:rsidRPr="008211FD" w:rsidTr="008211FD">
        <w:tc>
          <w:tcPr>
            <w:tcW w:w="1951" w:type="dxa"/>
          </w:tcPr>
          <w:p w:rsidR="00582426" w:rsidRPr="008211FD" w:rsidRDefault="00582426" w:rsidP="008211FD">
            <w:pPr>
              <w:pStyle w:val="NormalWeb"/>
              <w:spacing w:before="0" w:beforeAutospacing="0" w:after="0" w:afterAutospacing="0"/>
              <w:jc w:val="both"/>
              <w:rPr>
                <w:sz w:val="16"/>
                <w:szCs w:val="16"/>
              </w:rPr>
            </w:pPr>
            <w:r w:rsidRPr="008211FD">
              <w:rPr>
                <w:sz w:val="16"/>
                <w:szCs w:val="16"/>
              </w:rPr>
              <w:t>Alta e média-alta</w:t>
            </w:r>
          </w:p>
          <w:p w:rsidR="00582426" w:rsidRPr="008211FD" w:rsidRDefault="00582426" w:rsidP="008211FD">
            <w:pPr>
              <w:pStyle w:val="NormalWeb"/>
              <w:spacing w:before="0" w:beforeAutospacing="0" w:after="0" w:afterAutospacing="0"/>
              <w:jc w:val="both"/>
              <w:rPr>
                <w:sz w:val="16"/>
                <w:szCs w:val="16"/>
              </w:rPr>
            </w:pPr>
            <w:r w:rsidRPr="008211FD">
              <w:rPr>
                <w:sz w:val="16"/>
                <w:szCs w:val="16"/>
              </w:rPr>
              <w:t>Intensidade tecnológica</w:t>
            </w:r>
          </w:p>
        </w:tc>
        <w:tc>
          <w:tcPr>
            <w:tcW w:w="4820" w:type="dxa"/>
          </w:tcPr>
          <w:p w:rsidR="00582426" w:rsidRPr="008211FD" w:rsidRDefault="00582426" w:rsidP="008211FD">
            <w:pPr>
              <w:autoSpaceDE w:val="0"/>
              <w:autoSpaceDN w:val="0"/>
              <w:adjustRightInd w:val="0"/>
              <w:spacing w:after="0" w:line="240" w:lineRule="auto"/>
              <w:rPr>
                <w:rFonts w:ascii="Times New Roman" w:hAnsi="Times New Roman"/>
                <w:sz w:val="16"/>
                <w:szCs w:val="16"/>
              </w:rPr>
            </w:pPr>
            <w:r w:rsidRPr="008211FD">
              <w:rPr>
                <w:rFonts w:ascii="Times New Roman" w:hAnsi="Times New Roman"/>
                <w:sz w:val="16"/>
                <w:szCs w:val="16"/>
              </w:rPr>
              <w:t>Fabricação de equipamentos de informática, produtos eletrônicos e ópticos; Fabricação de aparelhos e materiais elétricos; (6)</w:t>
            </w:r>
          </w:p>
          <w:p w:rsidR="00582426" w:rsidRPr="008211FD" w:rsidRDefault="00582426" w:rsidP="008211FD">
            <w:pPr>
              <w:autoSpaceDE w:val="0"/>
              <w:autoSpaceDN w:val="0"/>
              <w:adjustRightInd w:val="0"/>
              <w:spacing w:after="0" w:line="240" w:lineRule="auto"/>
              <w:rPr>
                <w:rFonts w:ascii="Times New Roman" w:hAnsi="Times New Roman"/>
                <w:sz w:val="16"/>
                <w:szCs w:val="16"/>
              </w:rPr>
            </w:pPr>
            <w:r w:rsidRPr="008211FD">
              <w:rPr>
                <w:rFonts w:ascii="Times New Roman" w:hAnsi="Times New Roman"/>
                <w:sz w:val="16"/>
                <w:szCs w:val="16"/>
              </w:rPr>
              <w:t>Máquina e equipamentos; (4)</w:t>
            </w:r>
          </w:p>
          <w:p w:rsidR="00582426" w:rsidRPr="008211FD" w:rsidRDefault="00582426" w:rsidP="008211FD">
            <w:pPr>
              <w:autoSpaceDE w:val="0"/>
              <w:autoSpaceDN w:val="0"/>
              <w:adjustRightInd w:val="0"/>
              <w:spacing w:after="0" w:line="240" w:lineRule="auto"/>
              <w:rPr>
                <w:rFonts w:ascii="Times New Roman" w:hAnsi="Times New Roman"/>
                <w:sz w:val="16"/>
                <w:szCs w:val="16"/>
              </w:rPr>
            </w:pPr>
            <w:r w:rsidRPr="008211FD">
              <w:rPr>
                <w:rFonts w:ascii="Times New Roman" w:hAnsi="Times New Roman"/>
                <w:sz w:val="16"/>
                <w:szCs w:val="16"/>
              </w:rPr>
              <w:t>Veículos automotores, autopeças e aeronaves; (8)</w:t>
            </w:r>
          </w:p>
          <w:p w:rsidR="00582426" w:rsidRPr="008211FD" w:rsidRDefault="00582426" w:rsidP="008211FD">
            <w:pPr>
              <w:pStyle w:val="NormalWeb"/>
              <w:spacing w:before="0" w:beforeAutospacing="0" w:after="0" w:afterAutospacing="0"/>
              <w:jc w:val="both"/>
              <w:rPr>
                <w:sz w:val="16"/>
                <w:szCs w:val="16"/>
              </w:rPr>
            </w:pPr>
            <w:r w:rsidRPr="008211FD">
              <w:rPr>
                <w:sz w:val="16"/>
                <w:szCs w:val="16"/>
              </w:rPr>
              <w:t>Refino de petróleo; (1)</w:t>
            </w:r>
          </w:p>
          <w:p w:rsidR="00582426" w:rsidRPr="008211FD" w:rsidRDefault="00582426" w:rsidP="008211FD">
            <w:pPr>
              <w:autoSpaceDE w:val="0"/>
              <w:autoSpaceDN w:val="0"/>
              <w:adjustRightInd w:val="0"/>
              <w:spacing w:after="0" w:line="240" w:lineRule="auto"/>
              <w:rPr>
                <w:rFonts w:ascii="Times New Roman" w:hAnsi="Times New Roman"/>
                <w:sz w:val="16"/>
                <w:szCs w:val="16"/>
              </w:rPr>
            </w:pPr>
            <w:r w:rsidRPr="008211FD">
              <w:rPr>
                <w:rFonts w:ascii="Times New Roman" w:hAnsi="Times New Roman"/>
                <w:sz w:val="16"/>
                <w:szCs w:val="16"/>
              </w:rPr>
              <w:t>Produtos químicos e farmacêuticos; (3)</w:t>
            </w:r>
          </w:p>
          <w:p w:rsidR="00582426" w:rsidRPr="008211FD" w:rsidRDefault="00582426" w:rsidP="008211FD">
            <w:pPr>
              <w:autoSpaceDE w:val="0"/>
              <w:autoSpaceDN w:val="0"/>
              <w:adjustRightInd w:val="0"/>
              <w:spacing w:after="0" w:line="240" w:lineRule="auto"/>
              <w:rPr>
                <w:rFonts w:ascii="Times New Roman" w:hAnsi="Times New Roman"/>
                <w:sz w:val="16"/>
                <w:szCs w:val="16"/>
              </w:rPr>
            </w:pPr>
            <w:r w:rsidRPr="008211FD">
              <w:rPr>
                <w:rFonts w:ascii="Times New Roman" w:hAnsi="Times New Roman"/>
                <w:sz w:val="16"/>
                <w:szCs w:val="16"/>
              </w:rPr>
              <w:t>Peças e acessórios para veículos. (2)</w:t>
            </w:r>
          </w:p>
          <w:p w:rsidR="00582426" w:rsidRPr="008211FD" w:rsidRDefault="00582426" w:rsidP="008211FD">
            <w:pPr>
              <w:pStyle w:val="NormalWeb"/>
              <w:spacing w:before="0" w:beforeAutospacing="0" w:after="0" w:afterAutospacing="0"/>
              <w:jc w:val="both"/>
              <w:rPr>
                <w:sz w:val="16"/>
                <w:szCs w:val="16"/>
              </w:rPr>
            </w:pPr>
          </w:p>
        </w:tc>
        <w:tc>
          <w:tcPr>
            <w:tcW w:w="1276" w:type="dxa"/>
          </w:tcPr>
          <w:p w:rsidR="00582426" w:rsidRPr="008211FD" w:rsidRDefault="00582426" w:rsidP="008211FD">
            <w:pPr>
              <w:pStyle w:val="NormalWeb"/>
              <w:spacing w:before="0" w:beforeAutospacing="0" w:after="0" w:afterAutospacing="0"/>
              <w:jc w:val="both"/>
              <w:rPr>
                <w:sz w:val="16"/>
                <w:szCs w:val="16"/>
              </w:rPr>
            </w:pPr>
          </w:p>
          <w:p w:rsidR="00582426" w:rsidRPr="008211FD" w:rsidRDefault="00582426" w:rsidP="008211FD">
            <w:pPr>
              <w:pStyle w:val="NormalWeb"/>
              <w:spacing w:before="0" w:beforeAutospacing="0" w:after="0" w:afterAutospacing="0"/>
              <w:jc w:val="both"/>
              <w:rPr>
                <w:sz w:val="16"/>
                <w:szCs w:val="16"/>
              </w:rPr>
            </w:pPr>
            <w:r w:rsidRPr="008211FD">
              <w:rPr>
                <w:sz w:val="16"/>
                <w:szCs w:val="16"/>
              </w:rPr>
              <w:t>26/27</w:t>
            </w:r>
          </w:p>
          <w:p w:rsidR="00582426" w:rsidRPr="008211FD" w:rsidRDefault="00582426" w:rsidP="008211FD">
            <w:pPr>
              <w:pStyle w:val="NormalWeb"/>
              <w:spacing w:before="0" w:beforeAutospacing="0" w:after="0" w:afterAutospacing="0"/>
              <w:jc w:val="both"/>
              <w:rPr>
                <w:sz w:val="16"/>
                <w:szCs w:val="16"/>
              </w:rPr>
            </w:pPr>
            <w:r w:rsidRPr="008211FD">
              <w:rPr>
                <w:sz w:val="16"/>
                <w:szCs w:val="16"/>
              </w:rPr>
              <w:t>28</w:t>
            </w:r>
          </w:p>
          <w:p w:rsidR="00582426" w:rsidRPr="008211FD" w:rsidRDefault="00582426" w:rsidP="008211FD">
            <w:pPr>
              <w:pStyle w:val="NormalWeb"/>
              <w:spacing w:before="0" w:beforeAutospacing="0" w:after="0" w:afterAutospacing="0"/>
              <w:jc w:val="both"/>
              <w:rPr>
                <w:sz w:val="16"/>
                <w:szCs w:val="16"/>
              </w:rPr>
            </w:pPr>
            <w:r w:rsidRPr="008211FD">
              <w:rPr>
                <w:sz w:val="16"/>
                <w:szCs w:val="16"/>
              </w:rPr>
              <w:t>29/294/304</w:t>
            </w:r>
          </w:p>
          <w:p w:rsidR="00582426" w:rsidRPr="008211FD" w:rsidRDefault="00582426" w:rsidP="008211FD">
            <w:pPr>
              <w:pStyle w:val="NormalWeb"/>
              <w:spacing w:before="0" w:beforeAutospacing="0" w:after="0" w:afterAutospacing="0"/>
              <w:jc w:val="both"/>
              <w:rPr>
                <w:sz w:val="16"/>
                <w:szCs w:val="16"/>
              </w:rPr>
            </w:pPr>
            <w:r w:rsidRPr="008211FD">
              <w:rPr>
                <w:sz w:val="16"/>
                <w:szCs w:val="16"/>
              </w:rPr>
              <w:t>N.E. CNAE 2.1</w:t>
            </w:r>
          </w:p>
          <w:p w:rsidR="00582426" w:rsidRPr="008211FD" w:rsidRDefault="00582426" w:rsidP="008211FD">
            <w:pPr>
              <w:pStyle w:val="NormalWeb"/>
              <w:spacing w:before="0" w:beforeAutospacing="0" w:after="0" w:afterAutospacing="0"/>
              <w:jc w:val="both"/>
              <w:rPr>
                <w:sz w:val="16"/>
                <w:szCs w:val="16"/>
              </w:rPr>
            </w:pPr>
            <w:r w:rsidRPr="008211FD">
              <w:rPr>
                <w:sz w:val="16"/>
                <w:szCs w:val="16"/>
              </w:rPr>
              <w:t>20/21</w:t>
            </w:r>
          </w:p>
          <w:p w:rsidR="00582426" w:rsidRPr="008211FD" w:rsidRDefault="00582426" w:rsidP="008211FD">
            <w:pPr>
              <w:pStyle w:val="NormalWeb"/>
              <w:spacing w:before="0" w:beforeAutospacing="0" w:after="0" w:afterAutospacing="0"/>
              <w:jc w:val="both"/>
              <w:rPr>
                <w:sz w:val="16"/>
                <w:szCs w:val="16"/>
              </w:rPr>
            </w:pPr>
            <w:r w:rsidRPr="008211FD">
              <w:rPr>
                <w:sz w:val="16"/>
                <w:szCs w:val="16"/>
              </w:rPr>
              <w:t>294</w:t>
            </w:r>
          </w:p>
        </w:tc>
        <w:tc>
          <w:tcPr>
            <w:tcW w:w="567" w:type="dxa"/>
          </w:tcPr>
          <w:p w:rsidR="00582426" w:rsidRPr="008211FD" w:rsidRDefault="00582426" w:rsidP="008211FD">
            <w:pPr>
              <w:pStyle w:val="NormalWeb"/>
              <w:spacing w:before="0" w:beforeAutospacing="0" w:after="0" w:afterAutospacing="0"/>
              <w:jc w:val="center"/>
              <w:rPr>
                <w:sz w:val="16"/>
                <w:szCs w:val="16"/>
              </w:rPr>
            </w:pPr>
            <w:r w:rsidRPr="008211FD">
              <w:rPr>
                <w:sz w:val="16"/>
                <w:szCs w:val="16"/>
              </w:rPr>
              <w:t>24</w:t>
            </w:r>
          </w:p>
        </w:tc>
      </w:tr>
      <w:tr w:rsidR="00582426" w:rsidRPr="008211FD" w:rsidTr="008211FD">
        <w:tc>
          <w:tcPr>
            <w:tcW w:w="1951" w:type="dxa"/>
          </w:tcPr>
          <w:p w:rsidR="00582426" w:rsidRPr="008211FD" w:rsidRDefault="00582426" w:rsidP="008211FD">
            <w:pPr>
              <w:pStyle w:val="NormalWeb"/>
              <w:spacing w:before="0" w:beforeAutospacing="0" w:after="0" w:afterAutospacing="0"/>
              <w:jc w:val="both"/>
              <w:rPr>
                <w:sz w:val="16"/>
                <w:szCs w:val="16"/>
              </w:rPr>
            </w:pPr>
            <w:r w:rsidRPr="008211FD">
              <w:rPr>
                <w:sz w:val="16"/>
                <w:szCs w:val="16"/>
              </w:rPr>
              <w:t>Baixa e média-baixa</w:t>
            </w:r>
          </w:p>
          <w:p w:rsidR="00582426" w:rsidRPr="008211FD" w:rsidRDefault="00582426" w:rsidP="008211FD">
            <w:pPr>
              <w:pStyle w:val="NormalWeb"/>
              <w:spacing w:before="0" w:beforeAutospacing="0" w:after="0" w:afterAutospacing="0"/>
              <w:jc w:val="both"/>
              <w:rPr>
                <w:sz w:val="16"/>
                <w:szCs w:val="16"/>
              </w:rPr>
            </w:pPr>
            <w:r w:rsidRPr="008211FD">
              <w:rPr>
                <w:sz w:val="16"/>
                <w:szCs w:val="16"/>
              </w:rPr>
              <w:t>Intensidade tecnológica</w:t>
            </w:r>
          </w:p>
        </w:tc>
        <w:tc>
          <w:tcPr>
            <w:tcW w:w="4820" w:type="dxa"/>
          </w:tcPr>
          <w:p w:rsidR="00582426" w:rsidRPr="008211FD" w:rsidRDefault="00582426" w:rsidP="008211FD">
            <w:pPr>
              <w:autoSpaceDE w:val="0"/>
              <w:autoSpaceDN w:val="0"/>
              <w:adjustRightInd w:val="0"/>
              <w:spacing w:after="0" w:line="240" w:lineRule="auto"/>
              <w:rPr>
                <w:rFonts w:ascii="Times New Roman" w:hAnsi="Times New Roman"/>
                <w:sz w:val="16"/>
                <w:szCs w:val="16"/>
              </w:rPr>
            </w:pPr>
            <w:r w:rsidRPr="008211FD">
              <w:rPr>
                <w:rFonts w:ascii="Times New Roman" w:hAnsi="Times New Roman"/>
                <w:sz w:val="16"/>
                <w:szCs w:val="16"/>
              </w:rPr>
              <w:t>Metalurgia e Siderurgia; Fabricação de produtos de metal.</w:t>
            </w:r>
          </w:p>
          <w:p w:rsidR="00582426" w:rsidRPr="008211FD" w:rsidRDefault="00582426" w:rsidP="008211FD">
            <w:pPr>
              <w:autoSpaceDE w:val="0"/>
              <w:autoSpaceDN w:val="0"/>
              <w:adjustRightInd w:val="0"/>
              <w:spacing w:after="0" w:line="240" w:lineRule="auto"/>
              <w:rPr>
                <w:rFonts w:ascii="Times New Roman" w:hAnsi="Times New Roman"/>
                <w:sz w:val="16"/>
                <w:szCs w:val="16"/>
              </w:rPr>
            </w:pPr>
            <w:r w:rsidRPr="008211FD">
              <w:rPr>
                <w:rFonts w:ascii="Times New Roman" w:hAnsi="Times New Roman"/>
                <w:sz w:val="16"/>
                <w:szCs w:val="16"/>
              </w:rPr>
              <w:t>Papel, embalagens e artefatos de papel;</w:t>
            </w:r>
          </w:p>
          <w:p w:rsidR="00582426" w:rsidRPr="008211FD" w:rsidRDefault="00582426" w:rsidP="008211FD">
            <w:pPr>
              <w:autoSpaceDE w:val="0"/>
              <w:autoSpaceDN w:val="0"/>
              <w:adjustRightInd w:val="0"/>
              <w:spacing w:after="0" w:line="240" w:lineRule="auto"/>
              <w:rPr>
                <w:rFonts w:ascii="Times New Roman" w:hAnsi="Times New Roman"/>
                <w:sz w:val="16"/>
                <w:szCs w:val="16"/>
              </w:rPr>
            </w:pPr>
            <w:r w:rsidRPr="008211FD">
              <w:rPr>
                <w:rFonts w:ascii="Times New Roman" w:hAnsi="Times New Roman"/>
                <w:color w:val="000000"/>
                <w:sz w:val="16"/>
                <w:szCs w:val="16"/>
              </w:rPr>
              <w:t>Confecção de artigos para vestuário e acessórios. Fabricação de têxteis.</w:t>
            </w:r>
          </w:p>
          <w:p w:rsidR="00582426" w:rsidRPr="008211FD" w:rsidRDefault="00582426" w:rsidP="008211FD">
            <w:pPr>
              <w:autoSpaceDE w:val="0"/>
              <w:autoSpaceDN w:val="0"/>
              <w:adjustRightInd w:val="0"/>
              <w:spacing w:after="0" w:line="240" w:lineRule="auto"/>
              <w:rPr>
                <w:rFonts w:ascii="Times New Roman" w:hAnsi="Times New Roman"/>
                <w:sz w:val="16"/>
                <w:szCs w:val="16"/>
              </w:rPr>
            </w:pPr>
            <w:r w:rsidRPr="008211FD">
              <w:rPr>
                <w:rFonts w:ascii="Times New Roman" w:hAnsi="Times New Roman"/>
                <w:sz w:val="16"/>
                <w:szCs w:val="16"/>
              </w:rPr>
              <w:t>Produtos alimentícios e bebidas;</w:t>
            </w:r>
          </w:p>
          <w:p w:rsidR="00582426" w:rsidRPr="008211FD" w:rsidRDefault="00582426" w:rsidP="008211FD">
            <w:pPr>
              <w:autoSpaceDE w:val="0"/>
              <w:autoSpaceDN w:val="0"/>
              <w:adjustRightInd w:val="0"/>
              <w:spacing w:after="0" w:line="240" w:lineRule="auto"/>
              <w:rPr>
                <w:rFonts w:ascii="Times New Roman" w:hAnsi="Times New Roman"/>
                <w:sz w:val="16"/>
                <w:szCs w:val="16"/>
              </w:rPr>
            </w:pPr>
            <w:r w:rsidRPr="008211FD">
              <w:rPr>
                <w:rFonts w:ascii="Times New Roman" w:hAnsi="Times New Roman"/>
                <w:sz w:val="16"/>
                <w:szCs w:val="16"/>
              </w:rPr>
              <w:t>Impressão;</w:t>
            </w:r>
          </w:p>
          <w:p w:rsidR="00582426" w:rsidRPr="008211FD" w:rsidRDefault="00582426" w:rsidP="008211FD">
            <w:pPr>
              <w:autoSpaceDE w:val="0"/>
              <w:autoSpaceDN w:val="0"/>
              <w:adjustRightInd w:val="0"/>
              <w:spacing w:after="0" w:line="240" w:lineRule="auto"/>
              <w:rPr>
                <w:rFonts w:ascii="Times New Roman" w:hAnsi="Times New Roman"/>
                <w:sz w:val="16"/>
                <w:szCs w:val="16"/>
              </w:rPr>
            </w:pPr>
            <w:r w:rsidRPr="008211FD">
              <w:rPr>
                <w:rFonts w:ascii="Times New Roman" w:hAnsi="Times New Roman"/>
                <w:sz w:val="16"/>
                <w:szCs w:val="16"/>
              </w:rPr>
              <w:t>Fabricação de Derivados de Petróleo e Biocombustível (Etanol)</w:t>
            </w:r>
          </w:p>
          <w:p w:rsidR="00582426" w:rsidRPr="008211FD" w:rsidRDefault="00582426" w:rsidP="008211FD">
            <w:pPr>
              <w:autoSpaceDE w:val="0"/>
              <w:autoSpaceDN w:val="0"/>
              <w:adjustRightInd w:val="0"/>
              <w:spacing w:after="0" w:line="240" w:lineRule="auto"/>
              <w:rPr>
                <w:rFonts w:ascii="Times New Roman" w:hAnsi="Times New Roman"/>
                <w:sz w:val="16"/>
                <w:szCs w:val="16"/>
              </w:rPr>
            </w:pPr>
            <w:r w:rsidRPr="008211FD">
              <w:rPr>
                <w:rFonts w:ascii="Times New Roman" w:hAnsi="Times New Roman"/>
                <w:sz w:val="16"/>
                <w:szCs w:val="16"/>
              </w:rPr>
              <w:t>Indústrias extrativas (Mineração, Petróleo e Gás Natural);</w:t>
            </w:r>
          </w:p>
          <w:p w:rsidR="00582426" w:rsidRPr="008211FD" w:rsidRDefault="00582426" w:rsidP="008211FD">
            <w:pPr>
              <w:autoSpaceDE w:val="0"/>
              <w:autoSpaceDN w:val="0"/>
              <w:adjustRightInd w:val="0"/>
              <w:spacing w:after="0" w:line="240" w:lineRule="auto"/>
              <w:rPr>
                <w:rFonts w:ascii="Times New Roman" w:hAnsi="Times New Roman"/>
                <w:sz w:val="16"/>
                <w:szCs w:val="16"/>
              </w:rPr>
            </w:pPr>
            <w:r w:rsidRPr="008211FD">
              <w:rPr>
                <w:rFonts w:ascii="Times New Roman" w:hAnsi="Times New Roman"/>
                <w:sz w:val="16"/>
                <w:szCs w:val="16"/>
              </w:rPr>
              <w:t>Brinquedos e Jogos.</w:t>
            </w:r>
          </w:p>
        </w:tc>
        <w:tc>
          <w:tcPr>
            <w:tcW w:w="1276" w:type="dxa"/>
          </w:tcPr>
          <w:p w:rsidR="00582426" w:rsidRPr="008211FD" w:rsidRDefault="00582426" w:rsidP="008211FD">
            <w:pPr>
              <w:pStyle w:val="NormalWeb"/>
              <w:spacing w:before="0" w:beforeAutospacing="0" w:after="0" w:afterAutospacing="0"/>
              <w:jc w:val="both"/>
              <w:rPr>
                <w:sz w:val="16"/>
                <w:szCs w:val="16"/>
              </w:rPr>
            </w:pPr>
            <w:r w:rsidRPr="008211FD">
              <w:rPr>
                <w:sz w:val="16"/>
                <w:szCs w:val="16"/>
              </w:rPr>
              <w:t>24/25</w:t>
            </w:r>
          </w:p>
          <w:p w:rsidR="00582426" w:rsidRPr="008211FD" w:rsidRDefault="00582426" w:rsidP="008211FD">
            <w:pPr>
              <w:pStyle w:val="NormalWeb"/>
              <w:spacing w:before="0" w:beforeAutospacing="0" w:after="0" w:afterAutospacing="0"/>
              <w:jc w:val="both"/>
              <w:rPr>
                <w:sz w:val="16"/>
                <w:szCs w:val="16"/>
              </w:rPr>
            </w:pPr>
            <w:r w:rsidRPr="008211FD">
              <w:rPr>
                <w:sz w:val="16"/>
                <w:szCs w:val="16"/>
              </w:rPr>
              <w:t>17</w:t>
            </w:r>
          </w:p>
          <w:p w:rsidR="00582426" w:rsidRPr="008211FD" w:rsidRDefault="00582426" w:rsidP="008211FD">
            <w:pPr>
              <w:pStyle w:val="NormalWeb"/>
              <w:spacing w:before="0" w:beforeAutospacing="0" w:after="0" w:afterAutospacing="0"/>
              <w:jc w:val="both"/>
              <w:rPr>
                <w:sz w:val="16"/>
                <w:szCs w:val="16"/>
              </w:rPr>
            </w:pPr>
            <w:r w:rsidRPr="008211FD">
              <w:rPr>
                <w:sz w:val="16"/>
                <w:szCs w:val="16"/>
              </w:rPr>
              <w:t>13/14/15</w:t>
            </w:r>
          </w:p>
          <w:p w:rsidR="00582426" w:rsidRPr="008211FD" w:rsidRDefault="00582426" w:rsidP="008211FD">
            <w:pPr>
              <w:pStyle w:val="NormalWeb"/>
              <w:spacing w:before="0" w:beforeAutospacing="0" w:after="0" w:afterAutospacing="0"/>
              <w:jc w:val="both"/>
              <w:rPr>
                <w:sz w:val="16"/>
                <w:szCs w:val="16"/>
              </w:rPr>
            </w:pPr>
            <w:r w:rsidRPr="008211FD">
              <w:rPr>
                <w:sz w:val="16"/>
                <w:szCs w:val="16"/>
              </w:rPr>
              <w:t>10/11</w:t>
            </w:r>
          </w:p>
          <w:p w:rsidR="00582426" w:rsidRPr="008211FD" w:rsidRDefault="00582426" w:rsidP="008211FD">
            <w:pPr>
              <w:pStyle w:val="NormalWeb"/>
              <w:spacing w:before="0" w:beforeAutospacing="0" w:after="0" w:afterAutospacing="0"/>
              <w:jc w:val="both"/>
              <w:rPr>
                <w:sz w:val="16"/>
                <w:szCs w:val="16"/>
              </w:rPr>
            </w:pPr>
            <w:r w:rsidRPr="008211FD">
              <w:rPr>
                <w:sz w:val="16"/>
                <w:szCs w:val="16"/>
              </w:rPr>
              <w:t>18</w:t>
            </w:r>
          </w:p>
          <w:p w:rsidR="00582426" w:rsidRPr="008211FD" w:rsidRDefault="00582426" w:rsidP="008211FD">
            <w:pPr>
              <w:pStyle w:val="NormalWeb"/>
              <w:spacing w:before="0" w:beforeAutospacing="0" w:after="0" w:afterAutospacing="0"/>
              <w:jc w:val="both"/>
              <w:rPr>
                <w:sz w:val="16"/>
                <w:szCs w:val="16"/>
              </w:rPr>
            </w:pPr>
            <w:r w:rsidRPr="008211FD">
              <w:rPr>
                <w:sz w:val="16"/>
                <w:szCs w:val="16"/>
              </w:rPr>
              <w:t>19</w:t>
            </w:r>
          </w:p>
          <w:p w:rsidR="00582426" w:rsidRPr="008211FD" w:rsidRDefault="00582426" w:rsidP="008211FD">
            <w:pPr>
              <w:pStyle w:val="NormalWeb"/>
              <w:spacing w:before="0" w:beforeAutospacing="0" w:after="0" w:afterAutospacing="0"/>
              <w:jc w:val="both"/>
              <w:rPr>
                <w:sz w:val="16"/>
                <w:szCs w:val="16"/>
              </w:rPr>
            </w:pPr>
            <w:r w:rsidRPr="008211FD">
              <w:rPr>
                <w:sz w:val="16"/>
                <w:szCs w:val="16"/>
              </w:rPr>
              <w:t>Seção B (5/8)</w:t>
            </w:r>
          </w:p>
          <w:p w:rsidR="00582426" w:rsidRPr="008211FD" w:rsidRDefault="00582426" w:rsidP="008211FD">
            <w:pPr>
              <w:pStyle w:val="NormalWeb"/>
              <w:spacing w:before="0" w:beforeAutospacing="0" w:after="240" w:afterAutospacing="0"/>
              <w:jc w:val="both"/>
              <w:rPr>
                <w:sz w:val="16"/>
                <w:szCs w:val="16"/>
              </w:rPr>
            </w:pPr>
            <w:r w:rsidRPr="008211FD">
              <w:rPr>
                <w:sz w:val="16"/>
                <w:szCs w:val="16"/>
              </w:rPr>
              <w:t>324</w:t>
            </w:r>
          </w:p>
        </w:tc>
        <w:tc>
          <w:tcPr>
            <w:tcW w:w="567" w:type="dxa"/>
          </w:tcPr>
          <w:p w:rsidR="00582426" w:rsidRPr="008211FD" w:rsidRDefault="00582426" w:rsidP="008211FD">
            <w:pPr>
              <w:pStyle w:val="NormalWeb"/>
              <w:spacing w:before="0" w:beforeAutospacing="0" w:after="0" w:afterAutospacing="0"/>
              <w:jc w:val="center"/>
              <w:rPr>
                <w:sz w:val="16"/>
                <w:szCs w:val="16"/>
              </w:rPr>
            </w:pPr>
            <w:r w:rsidRPr="008211FD">
              <w:rPr>
                <w:sz w:val="16"/>
                <w:szCs w:val="16"/>
              </w:rPr>
              <w:t>40</w:t>
            </w:r>
          </w:p>
        </w:tc>
      </w:tr>
    </w:tbl>
    <w:p w:rsidR="00582426" w:rsidRPr="006D30AB" w:rsidRDefault="00CB3F9D" w:rsidP="00CB3F9D">
      <w:pPr>
        <w:pStyle w:val="NormalWeb"/>
        <w:spacing w:before="0" w:beforeAutospacing="0" w:after="240" w:afterAutospacing="0" w:line="360" w:lineRule="auto"/>
        <w:jc w:val="both"/>
        <w:rPr>
          <w:sz w:val="16"/>
          <w:szCs w:val="16"/>
        </w:rPr>
      </w:pPr>
      <w:r>
        <w:rPr>
          <w:b/>
          <w:sz w:val="18"/>
          <w:szCs w:val="18"/>
        </w:rPr>
        <w:t>Elaboração própria</w:t>
      </w:r>
      <w:r w:rsidR="006D30AB">
        <w:rPr>
          <w:b/>
          <w:sz w:val="18"/>
          <w:szCs w:val="18"/>
        </w:rPr>
        <w:t xml:space="preserve">. Fontes: </w:t>
      </w:r>
      <w:r w:rsidR="006D30AB">
        <w:rPr>
          <w:sz w:val="18"/>
          <w:szCs w:val="18"/>
        </w:rPr>
        <w:t>sites do PINTEC-IBGE e do CNAE.</w:t>
      </w:r>
    </w:p>
    <w:p w:rsidR="00822877" w:rsidRDefault="00822877" w:rsidP="00822877">
      <w:pPr>
        <w:pStyle w:val="NormalWeb"/>
        <w:spacing w:before="0" w:beforeAutospacing="0" w:after="0" w:afterAutospacing="0" w:line="360" w:lineRule="auto"/>
        <w:ind w:firstLine="708"/>
        <w:jc w:val="both"/>
      </w:pPr>
      <w:r>
        <w:t>As indústrias de energia elétrica, da construção civil e da empresa agrícola (agricultura e pecuária), por não pertencerem à indústria de transformação e extrativa, não foram tratadas pela PINTEC-IBGE. Para suprir esta lacuna, utilizaremos de forma complementar a classificação de intensidade tecnológica adotada por Hungarato.</w:t>
      </w:r>
      <w:r>
        <w:rPr>
          <w:rStyle w:val="Refdenotaderodap"/>
        </w:rPr>
        <w:footnoteReference w:id="233"/>
      </w:r>
      <w:r>
        <w:t xml:space="preserve"> Como o autor não se restringe às atividades industriais (que são restritamente consideradas como tais pelo PINTEC-IBGE), torna-se possível atribuirmos intensidade tecnológica aos setores não contemplados. Desta maneira, verificamos que as indústrias de energia elétrica, da construção civil e da empresa agrícola são todas classificadas como de baixa e média-baixa intensidade tecnológica.</w:t>
      </w:r>
    </w:p>
    <w:p w:rsidR="00822877" w:rsidRDefault="00822877" w:rsidP="00822877">
      <w:pPr>
        <w:pStyle w:val="NormalWeb"/>
        <w:spacing w:before="0" w:beforeAutospacing="0" w:after="0" w:afterAutospacing="0" w:line="360" w:lineRule="auto"/>
        <w:jc w:val="both"/>
      </w:pPr>
      <w:r>
        <w:tab/>
        <w:t>Excluindo todo o Setor de Serviços e Comércio (SC) e o Setor Financeiro (SF) presente no CDES (com 54 participações de empresários), verificamos, a partir das classificações acima empregadas, que os empresários atuantes no Conselho envolviam-se em atividades empresariais industriais predominantemente de baixa e de média-baixa tecnologia: foram 66 inserções, isto é 73% de participação em atividades nas subclasses Indústria de Commodities (IC), Indústria Difusora (ID), Indústria da Construção Civil (ICC) e Indústria Tradicional (IT), presentes no quadro 2.8. As atividades industriais que possuem alta e média-alta tecnologia em sua composição representavam 27% de participação de conselheiros.</w:t>
      </w:r>
    </w:p>
    <w:p w:rsidR="00822877" w:rsidRDefault="00822877" w:rsidP="00822877">
      <w:pPr>
        <w:pStyle w:val="NormalWeb"/>
        <w:spacing w:before="0" w:beforeAutospacing="0" w:after="0" w:afterAutospacing="0" w:line="360" w:lineRule="auto"/>
        <w:jc w:val="both"/>
      </w:pPr>
      <w:r>
        <w:tab/>
        <w:t xml:space="preserve">Entretanto, incluindo as classes Serviços e Comércio (SC) e Setor Financeiro (SF), ou seja, considerando a totalidade das participações dos conselheiros organizadas conforme o quadro 2.8 e, aplicando a classificação de Hungarato para atividades econômicas em geral, constatamos que 37% das 144 participações se referem a atividades de alta e média-alta tecnologia (agora inclusos o setor financeiro e as telecomunicações) e 63% para as de baixa e média-baixa intensidade tecnológica. Ou seja, variou em 10% a mais no primeiro caso e a menos no segundo caso em relação aos resultados obtidos apenas para atividades industriais. Vale a pena sumária exposição dos grupos e firmas dos subsetores que compunham a indústria de </w:t>
      </w:r>
      <w:r w:rsidRPr="000827D6">
        <w:rPr>
          <w:i/>
        </w:rPr>
        <w:t>commodities</w:t>
      </w:r>
      <w:r>
        <w:t xml:space="preserve"> no CDES, seus s</w:t>
      </w:r>
      <w:r w:rsidR="00CA0999">
        <w:t>o</w:t>
      </w:r>
      <w:r>
        <w:t>ciosproprietários e/ou prepostos e entidades da sociedade civil empresarial que organizavam.</w:t>
      </w:r>
    </w:p>
    <w:p w:rsidR="00822877" w:rsidRPr="007044C3" w:rsidRDefault="00822877" w:rsidP="00822877">
      <w:pPr>
        <w:pStyle w:val="NormalWeb"/>
        <w:spacing w:before="0" w:beforeAutospacing="0" w:after="0" w:afterAutospacing="0" w:line="360" w:lineRule="auto"/>
        <w:jc w:val="both"/>
      </w:pPr>
      <w:r>
        <w:tab/>
        <w:t xml:space="preserve">Os conselheiros voltados à indústria de </w:t>
      </w:r>
      <w:r w:rsidRPr="000827D6">
        <w:rPr>
          <w:i/>
        </w:rPr>
        <w:t>commodities</w:t>
      </w:r>
      <w:r>
        <w:t xml:space="preserve"> (agrícolas, minerais e de baixa/média-baixa composição tecnológica) marcaram forte presença no CDES, desde sua formação em 2003. Ocorre que, além deles, apenas 2 conselheiros dedicavam-se a </w:t>
      </w:r>
      <w:r w:rsidRPr="000827D6">
        <w:rPr>
          <w:i/>
        </w:rPr>
        <w:t>commodities</w:t>
      </w:r>
      <w:r>
        <w:t xml:space="preserve"> intensivas em capital e tecnologia, como o refino de petróleo (Empresas Petróleo Ipiranga) e  a indústria química e petroquímica (Empresas Petróleo Ipiranga e Grupo Odebrecht). Eduardo Eugênio Gouvêa Vieira (Empresas Petróleo Ipiranga) trazia um amplo repertório na condução de associações e entidades do setor químico e petroquímico, tendo </w:t>
      </w:r>
      <w:r w:rsidRPr="007044C3">
        <w:t xml:space="preserve">sido </w:t>
      </w:r>
      <w:r w:rsidRPr="007044C3">
        <w:rPr>
          <w:color w:val="000000"/>
        </w:rPr>
        <w:t>presidente da Associação Brasileira da Indústria</w:t>
      </w:r>
      <w:r>
        <w:rPr>
          <w:color w:val="000000"/>
        </w:rPr>
        <w:t xml:space="preserve"> Química e Derivados (ABIQUIM) e </w:t>
      </w:r>
      <w:r w:rsidRPr="007044C3">
        <w:rPr>
          <w:color w:val="000000"/>
        </w:rPr>
        <w:t>da Associação Brasileira da Indúst</w:t>
      </w:r>
      <w:r>
        <w:rPr>
          <w:color w:val="000000"/>
        </w:rPr>
        <w:t xml:space="preserve">ria da Química Fina (ABINFINA), </w:t>
      </w:r>
      <w:r w:rsidRPr="007044C3">
        <w:rPr>
          <w:color w:val="000000"/>
        </w:rPr>
        <w:t>Delegado do Sindicato da Indústria de Produtos Químicos para Fins Industriais do Estado do Rio de Janeiro (SINQUIRJ)</w:t>
      </w:r>
      <w:r>
        <w:rPr>
          <w:color w:val="000000"/>
        </w:rPr>
        <w:t xml:space="preserve"> e</w:t>
      </w:r>
      <w:r w:rsidRPr="007044C3">
        <w:rPr>
          <w:color w:val="000000"/>
        </w:rPr>
        <w:t xml:space="preserve"> Vice-presidente da Associação Petroquímica Latino-Americana (APLA)</w:t>
      </w:r>
      <w:r>
        <w:rPr>
          <w:color w:val="000000"/>
        </w:rPr>
        <w:t>, além de orgânica participação na CNI, PNBE e PROTEC (vice-presidente). Desde 1995, Eduardo Vieira está a frente da FIRJAN, assumindo, em 2013, o sétimo mandato consecutivo como presidente da federação empresarial fluminense.</w:t>
      </w:r>
      <w:r>
        <w:rPr>
          <w:rStyle w:val="Refdenotaderodap"/>
          <w:color w:val="000000"/>
        </w:rPr>
        <w:footnoteReference w:id="234"/>
      </w:r>
    </w:p>
    <w:p w:rsidR="00822877" w:rsidRDefault="00822877" w:rsidP="00822877">
      <w:pPr>
        <w:pStyle w:val="NormalWeb"/>
        <w:spacing w:before="0" w:beforeAutospacing="0" w:after="0" w:afterAutospacing="0" w:line="360" w:lineRule="auto"/>
        <w:ind w:firstLine="708"/>
        <w:jc w:val="both"/>
      </w:pPr>
      <w:r>
        <w:t xml:space="preserve">Sendo assim, conselheiros vinculados a gigantes como a Cia. Vale do Rio Doce (CVRD), Cia. Siderúrgica Nacional (CSN), Usinas Siderúrgicas de Minas Gerais (Usiminas), Cia. Brasileira de Metalurgia e Mineração (CBMM), Grupo Gerdau, Alcoa Inc., Grupo Süd Metal, Empresas Petróleo Ipiranga, Grupo Verdi (Rodobens) e Grupo Odebrecht aparecem no CDES como coligados à indústria de </w:t>
      </w:r>
      <w:r w:rsidRPr="000827D6">
        <w:rPr>
          <w:i/>
        </w:rPr>
        <w:t>commodities</w:t>
      </w:r>
      <w:r>
        <w:t xml:space="preserve"> minerais de baixa e média-baixa intensidade tecnológica, conforme classificação adotada nos quadros 2.8 e 2.9. Ainda neste caso, havia conselheiros que ocupavam destacados cargos em entidades representativas do setor como, por exemplo, Jorge Gerdau (membro e ex-presidente do Instituto Brasileiro de Siderurgia, atual Instituto do Aço Brasil) e José Mendo Mizael: </w:t>
      </w:r>
      <w:r w:rsidRPr="00DC7351">
        <w:t>Presidente do Conselho Diretor e da Diretoria da APROMIN – Associação Brasileira para o Progresso da Mineração, Presidente do Conselho Empresarial de Mineração e Siderurgia da Associaçã</w:t>
      </w:r>
      <w:r>
        <w:t>o Comercial de Minas – ACMinas,</w:t>
      </w:r>
      <w:r w:rsidRPr="00DC7351">
        <w:t xml:space="preserve"> Presidente do CEAMIN – Centro de Estu</w:t>
      </w:r>
      <w:r>
        <w:t>dos Avançados em Mineração e</w:t>
      </w:r>
      <w:r w:rsidRPr="00DC7351">
        <w:t xml:space="preserve"> Diretor, Secretário Executivo e Vice Presidente Executivo do Instituto Brasileiro de Mineração – IBRAM</w:t>
      </w:r>
      <w:r>
        <w:t xml:space="preserve">, atuando também na sociedade política, como consultor do Ministério de Minas e Energia. Os empresários do setor da indústria extrativa, da metalurgia e da siderurgia estavam amplamente organizados na </w:t>
      </w:r>
      <w:r w:rsidR="000834BC">
        <w:t>FIESP</w:t>
      </w:r>
      <w:r>
        <w:t xml:space="preserve"> e no IEDI e, em menor escala, na FIEMG, no Fórum de CEOs Brasil-EUA e no Conselho Empresarial para o Desenvolvimento Sustentável.</w:t>
      </w:r>
    </w:p>
    <w:p w:rsidR="00822877" w:rsidRDefault="00822877" w:rsidP="00822877">
      <w:pPr>
        <w:pStyle w:val="NormalWeb"/>
        <w:spacing w:before="0" w:beforeAutospacing="0" w:after="0" w:afterAutospacing="0" w:line="360" w:lineRule="auto"/>
        <w:ind w:firstLine="708"/>
        <w:jc w:val="both"/>
      </w:pPr>
      <w:r>
        <w:t xml:space="preserve">As empresas dos conselheiros Horácio Lafer Piva (Klabin S/A), Daniel Feffer (Suzano Papel e Celulose S/A) e Sérgio Haberfeld (Dixie Toga S/A), como representantes do subsetor de fabricação de papel e celulose e embalagens, engrossavam as fileiras de indústrias de </w:t>
      </w:r>
      <w:r w:rsidRPr="000827D6">
        <w:rPr>
          <w:i/>
        </w:rPr>
        <w:t>commodities</w:t>
      </w:r>
      <w:r>
        <w:t xml:space="preserve"> de baixa e média-baixa intensidade tecnológica no CDES. Os três empresários mantinham postos de liderança no interior da CNI, </w:t>
      </w:r>
      <w:r w:rsidR="000834BC">
        <w:t>FIESP</w:t>
      </w:r>
      <w:r>
        <w:t xml:space="preserve"> e do IEDI e, além disso, adesão orgânica em outras linhas de frente da atuação empresarial, como o Movimento Brasil Competitivo (juntando-se ao seu fundador, Jorge Gerdau) e ao já referido Movimento Todos pela Educação.</w:t>
      </w:r>
    </w:p>
    <w:p w:rsidR="00822877" w:rsidRDefault="00822877" w:rsidP="003156B9">
      <w:pPr>
        <w:pStyle w:val="NormalWeb"/>
        <w:spacing w:before="0" w:beforeAutospacing="0" w:after="0" w:afterAutospacing="0" w:line="360" w:lineRule="auto"/>
        <w:ind w:left="66" w:firstLine="642"/>
        <w:jc w:val="both"/>
      </w:pPr>
      <w:r>
        <w:t xml:space="preserve">O subsetor industrial de energia elétrica era composto por empresários e executivos de holdings que, dentre outras atividades, atuavam também em várias operações da cadeia produtiva deste ramo (geração, comercialização, transmissão e distribuição), tais como Nelson Silveira (Grupo Enguia Power), Robson Andrade (Grupo Orteng), Paulo Godoy (Grupo Alusa), Luis Abreu (Neoenergia e empresas públicas do setor elétrico) e por empresários que participavam em conselhos de administração de várias empresas do setor (Roger Agnelli). Com exceção de Nelson Silveira, para o qual a pesquisa não conseguiu encontrar vínculo com entidades associativas, os demais tinham conexões com a </w:t>
      </w:r>
      <w:r w:rsidR="000834BC">
        <w:t>FIESP</w:t>
      </w:r>
      <w:r>
        <w:t>, FIEMG, FIERGS e IEDI. Os últimos três conselheiros, especialmente Abreu e Agnelli por terem atuado no setor bancário (Diretor do Banco do Brasil e do Bradesco, respectivamente), apresentavam em seus currículos participações em entidades do setor financeiro (FEBRABAN, ANDIB, ANDIMA e ANBIMA).</w:t>
      </w:r>
    </w:p>
    <w:p w:rsidR="003156B9" w:rsidRDefault="003156B9" w:rsidP="003156B9">
      <w:pPr>
        <w:pStyle w:val="NormalWeb"/>
        <w:spacing w:before="0" w:beforeAutospacing="0" w:after="0" w:afterAutospacing="0" w:line="360" w:lineRule="auto"/>
        <w:ind w:firstLine="708"/>
        <w:jc w:val="both"/>
      </w:pPr>
      <w:r>
        <w:t xml:space="preserve">Não restam dúvidas de que o Conselho abrigava amplos e diversificados setores empresariais. Aparentemente, todas as frações da classe dominante no Brasil faziam parte de sua composição. Para além da extensão e pluralidade das forças sociais dominantes presentes o CDES de comportava destacados grupos econômicos de grande de peso na economia brasileira. O número de </w:t>
      </w:r>
      <w:r w:rsidR="002D0053">
        <w:t xml:space="preserve">participações dos empreários em atividades econômicas do setor de produção de </w:t>
      </w:r>
      <w:r w:rsidR="002D0053">
        <w:rPr>
          <w:i/>
        </w:rPr>
        <w:t>commodities</w:t>
      </w:r>
      <w:r w:rsidR="002D0053">
        <w:t xml:space="preserve"> voltada para a exportação era significativo</w:t>
      </w:r>
      <w:r>
        <w:t xml:space="preserve"> nas plenárias do Conselho</w:t>
      </w:r>
      <w:r w:rsidR="00471B43">
        <w:t>, sem jamais esquecer que também participavam de outras atividades pertencentes à</w:t>
      </w:r>
      <w:r w:rsidR="002D0053">
        <w:t xml:space="preserve"> fração industrial produtora de valor.</w:t>
      </w:r>
      <w:r w:rsidR="00471B43">
        <w:t>Em suma, e</w:t>
      </w:r>
      <w:r>
        <w:t>m virtude da magnitude de capitais de que eram portadores, atuavam em v</w:t>
      </w:r>
      <w:r w:rsidR="00C266E8">
        <w:t>ários outros setores econômicos, evidenciando flagrante interpenetração</w:t>
      </w:r>
      <w:r w:rsidR="002D0053">
        <w:t xml:space="preserve"> de capitais.</w:t>
      </w:r>
      <w:r w:rsidR="00471B43">
        <w:t xml:space="preserve"> O estudo da agroindústria, a seguir, reforça o e</w:t>
      </w:r>
      <w:r w:rsidR="006F13B7">
        <w:t>ntrelaçamento entre os capitais o qual estamos ressaltando.</w:t>
      </w:r>
    </w:p>
    <w:p w:rsidR="00822877" w:rsidRPr="00060522" w:rsidRDefault="00822877" w:rsidP="00CB3F9D">
      <w:pPr>
        <w:pStyle w:val="NormalWeb"/>
        <w:spacing w:before="240" w:beforeAutospacing="0" w:after="240" w:afterAutospacing="0" w:line="360" w:lineRule="auto"/>
        <w:ind w:firstLine="708"/>
        <w:jc w:val="both"/>
        <w:rPr>
          <w:b/>
        </w:rPr>
      </w:pPr>
      <w:r>
        <w:rPr>
          <w:b/>
        </w:rPr>
        <w:t>2</w:t>
      </w:r>
      <w:r w:rsidR="00981A86">
        <w:rPr>
          <w:b/>
        </w:rPr>
        <w:t>.3.</w:t>
      </w:r>
      <w:r w:rsidR="008862F6">
        <w:rPr>
          <w:b/>
        </w:rPr>
        <w:t xml:space="preserve">3.2 </w:t>
      </w:r>
      <w:r w:rsidRPr="006B1036">
        <w:rPr>
          <w:b/>
        </w:rPr>
        <w:t>-</w:t>
      </w:r>
      <w:r>
        <w:rPr>
          <w:b/>
        </w:rPr>
        <w:t xml:space="preserve"> Breve estudo da agroindústria no CDES</w:t>
      </w:r>
    </w:p>
    <w:p w:rsidR="00822877" w:rsidRDefault="0064541E" w:rsidP="00822877">
      <w:pPr>
        <w:pStyle w:val="NormalWeb"/>
        <w:spacing w:before="0" w:beforeAutospacing="0" w:after="0" w:afterAutospacing="0" w:line="360" w:lineRule="auto"/>
        <w:ind w:left="66" w:firstLine="642"/>
        <w:jc w:val="both"/>
      </w:pPr>
      <w:r>
        <w:t xml:space="preserve">Integrando ainda, em boa medida, o grupo de conselheiros produtores e exportadores de </w:t>
      </w:r>
      <w:r w:rsidRPr="0064541E">
        <w:rPr>
          <w:i/>
        </w:rPr>
        <w:t>commodities</w:t>
      </w:r>
      <w:r>
        <w:t>,a</w:t>
      </w:r>
      <w:r w:rsidR="00822877">
        <w:t xml:space="preserve"> empresa agrícola (“agronegócio”)</w:t>
      </w:r>
      <w:r w:rsidR="00822877">
        <w:rPr>
          <w:rStyle w:val="Refdenotaderodap"/>
        </w:rPr>
        <w:footnoteReference w:id="235"/>
      </w:r>
      <w:r w:rsidR="00822877">
        <w:t xml:space="preserve"> esteve </w:t>
      </w:r>
      <w:r w:rsidR="00822877" w:rsidRPr="00B61ADE">
        <w:rPr>
          <w:i/>
        </w:rPr>
        <w:t>diretamente</w:t>
      </w:r>
      <w:r w:rsidR="00822877">
        <w:t xml:space="preserve"> presente no CDES durante os anos 2003-2010 por meio da atuação de 11 conselheiros, sendo a maioria composta por 6 empresários e prepostos da indústria de cana e álcool, 2 pecuaristas, 2 representantes da Organização das Cooperativas Brasileiras (OCB) e 1 proprietário de empresa fabricante de suco de laranja (Cutrale). Uma breve apresentação dos conselheiros-usineiros pesquisados se faz necessária para percebermos que, embora pouco numeroso, este grupamento carrega e traduz força político-econômica considerável no cenário brasileiro.</w:t>
      </w:r>
    </w:p>
    <w:p w:rsidR="00822877" w:rsidRDefault="00822877" w:rsidP="00822877">
      <w:pPr>
        <w:pStyle w:val="NormalWeb"/>
        <w:spacing w:before="0" w:beforeAutospacing="0" w:after="0" w:afterAutospacing="0" w:line="360" w:lineRule="auto"/>
        <w:ind w:left="66" w:firstLine="642"/>
        <w:jc w:val="both"/>
      </w:pPr>
      <w:r>
        <w:t>Luiz Otávio Gomes foi diretor do Grupo João Lyra (grupo usineiro de Alagoas) antes mesmo de integrar o CDES, compondo igualmente o conselho de administração do Grupo. Como representante dos interesses do setor, foi diretor da Associação dos Produtores Independentes de Açúcar e Álcool de Alagoas (ASSUCAL), alçando-se ao cargo de Presidente da Confederação das Associações Comerciais e Empresariais do Brasil (CACEB) e da FIEA. O conselheiro foi sócio do empresário Paulo César Farias, tesoureiro da campanha presidencial de Fernando Collor em 1989, no jornal Tribuna de Alagoas e numa concessionária de automóveis da Fiat.</w:t>
      </w:r>
      <w:r>
        <w:rPr>
          <w:rStyle w:val="Refdenotaderodap"/>
        </w:rPr>
        <w:footnoteReference w:id="236"/>
      </w:r>
    </w:p>
    <w:p w:rsidR="00822877" w:rsidRDefault="00822877" w:rsidP="00822877">
      <w:pPr>
        <w:pStyle w:val="NormalWeb"/>
        <w:spacing w:before="0" w:beforeAutospacing="0" w:after="0" w:afterAutospacing="0" w:line="360" w:lineRule="auto"/>
        <w:ind w:left="66" w:firstLine="642"/>
        <w:jc w:val="both"/>
      </w:pPr>
      <w:r>
        <w:t>Maurílio Biagi foi (e é) reconhecidamente importante empresário e organizador do setor sucroalcooleiro. Membro de uma tradicional família produtora de cana-de-açúcar e soja, Biagi é proprietário do Grupo Maubisa, uma das principais empresas do setor de cana-de-açúcar do centro-sul, e também de várias outras usinas, as quais merecem destaque a Usina Moema Açúcar e Álcool, vendida para a multinacional Bunge em 2009 e a Cevasa, vendida para também multinacional Cargill, em 2006.</w:t>
      </w:r>
      <w:r>
        <w:rPr>
          <w:rStyle w:val="Refdenotaderodap"/>
        </w:rPr>
        <w:footnoteReference w:id="237"/>
      </w:r>
      <w:r>
        <w:t xml:space="preserve"> A família Biagi também esteve à frente do grupo Santelisa Vale, segunda maior produ</w:t>
      </w:r>
      <w:r w:rsidR="00581A89">
        <w:t xml:space="preserve">tora de açúcar e álcool do país. </w:t>
      </w:r>
      <w:r>
        <w:t xml:space="preserve">40% </w:t>
      </w:r>
      <w:r w:rsidR="00581A89">
        <w:t xml:space="preserve">de participação </w:t>
      </w:r>
      <w:r>
        <w:t>d</w:t>
      </w:r>
      <w:r w:rsidR="00581A89">
        <w:t xml:space="preserve">a Santelisa </w:t>
      </w:r>
      <w:r>
        <w:t>foi adquirida pela francesa Louis Dreyfus em 2009. O BNDESpar também det</w:t>
      </w:r>
      <w:r w:rsidR="00581A89">
        <w:t>inha participações acionárias no grupo</w:t>
      </w:r>
      <w:r>
        <w:t>.</w:t>
      </w:r>
      <w:r>
        <w:rPr>
          <w:rStyle w:val="Refdenotaderodap"/>
        </w:rPr>
        <w:footnoteReference w:id="238"/>
      </w:r>
      <w:r>
        <w:t xml:space="preserve"> Dentre as “casamatas” criadas pelo setor na sociedade civil, Biagi participava da União da Indústria de Cana-de-açúcar (ÚNICA), do Conselho Superior de Meio Ambiente (COSEMA) e de Agronegócio (COSAG) da </w:t>
      </w:r>
      <w:r w:rsidR="000834BC">
        <w:t>FIESP</w:t>
      </w:r>
      <w:r>
        <w:t xml:space="preserve"> e do Conselho da Sociedade Corretora de Álcool (SCA), além de ser Presidente da ABIMAQ.</w:t>
      </w:r>
    </w:p>
    <w:p w:rsidR="00822877" w:rsidRDefault="00822877" w:rsidP="00822877">
      <w:pPr>
        <w:pStyle w:val="NormalWeb"/>
        <w:spacing w:before="0" w:beforeAutospacing="0" w:after="0" w:afterAutospacing="0" w:line="360" w:lineRule="auto"/>
        <w:ind w:left="66" w:firstLine="642"/>
        <w:jc w:val="both"/>
      </w:pPr>
      <w:r>
        <w:t>Outro conselheiro do setor, Marcos Jank, faz parte de uma elite bem-pensante e de trajetória no circuito internacional: atuou como consultor e coordenador de projetos do BM, BID, OCDE, FAO, PNUD, Fundação Hewlett (Suíça), etc. Muito embora a pesquisa não o identificou na condição de proprietário de usinas, Jank organiza e se coloca como defensor e porta-voz do setor na condição de Presidente da ÚNICA e de diretor do COSAG/</w:t>
      </w:r>
      <w:r w:rsidR="000834BC">
        <w:t>FIESP</w:t>
      </w:r>
      <w:r>
        <w:t>, em parceria com Biagi. Além disso, Jank é professor da Faculdade de Economia e Administração da Universidade de São Paulo (FEA-USP), organicamente vinculado a diversas associações, entidades, conselhos, comitês e institutos que fazem parte da Associação Brasileira de Agribusiness (ABAG), como se demonstrará adiante.</w:t>
      </w:r>
    </w:p>
    <w:p w:rsidR="00822877" w:rsidRDefault="00822877" w:rsidP="00822877">
      <w:pPr>
        <w:pStyle w:val="NormalWeb"/>
        <w:spacing w:before="0" w:beforeAutospacing="0" w:after="0" w:afterAutospacing="0" w:line="360" w:lineRule="auto"/>
        <w:ind w:left="66" w:firstLine="642"/>
        <w:jc w:val="both"/>
      </w:pPr>
      <w:r>
        <w:t>O conselheiro Carlos Farias era diretor da Agrovale – Agro Indústrias do Vale de São Francisco, da Agrivale e da Fargon (exportadora de frutas), atuando ainda no setor de construção civil. Farias presidia o Conselho Nacional das Agroindústrias Brasileira (COAGRO-CNI) e o Sindicato dos Produtores de Açúcar e Álcool da Bahia, foi vice-presidente da FIEBA e membro do Fórum Nacional do Setor Sucroalcooleiro.</w:t>
      </w:r>
    </w:p>
    <w:p w:rsidR="00822877" w:rsidRDefault="00822877" w:rsidP="00822877">
      <w:pPr>
        <w:pStyle w:val="NormalWeb"/>
        <w:spacing w:before="0" w:beforeAutospacing="0" w:after="0" w:afterAutospacing="0" w:line="360" w:lineRule="auto"/>
        <w:ind w:left="66" w:firstLine="642"/>
        <w:jc w:val="both"/>
        <w:rPr>
          <w:bCs/>
        </w:rPr>
      </w:pPr>
      <w:r>
        <w:rPr>
          <w:bCs/>
        </w:rPr>
        <w:t>Marcelo Odebrecht é Presidente da Odebrecht S/A, holding do Grupo Odebrecht. Dentre outras empresas do grupo, a Odebrecht S/A controla a Odebrecht Agroindustrial que, criada em 2007, produz e comercializa etanol e açúcar, atuando também na cogeração de energia elétrica a partir da biomassa.</w:t>
      </w:r>
      <w:r>
        <w:rPr>
          <w:rStyle w:val="Refdenotaderodap"/>
          <w:bCs/>
        </w:rPr>
        <w:footnoteReference w:id="239"/>
      </w:r>
      <w:r>
        <w:rPr>
          <w:bCs/>
        </w:rPr>
        <w:t xml:space="preserve"> A Odebrecht Agroindustrial possui 6 “unidades agroindustriais” (usinas) em quatro estados brasileiros. Dados revelados por Almeida comprovam que, em 2008, as usinas Rio Claro Agroindustrial Ltda (GO) e Agroenergia Santa Luzia Ltda (MS) receberam empréstimos do BNDES nos valores de R$ 419.513.867,00 e R$ 377.728.867,00, respectivamente.</w:t>
      </w:r>
      <w:r w:rsidR="00581A89">
        <w:rPr>
          <w:rStyle w:val="Refdenotaderodap"/>
          <w:bCs/>
        </w:rPr>
        <w:footnoteReference w:id="240"/>
      </w:r>
      <w:r>
        <w:rPr>
          <w:bCs/>
        </w:rPr>
        <w:t xml:space="preserve"> Marcelo Odebrecht é membro do conselho estratégico da </w:t>
      </w:r>
      <w:r w:rsidR="000834BC">
        <w:rPr>
          <w:bCs/>
        </w:rPr>
        <w:t>FIESP</w:t>
      </w:r>
      <w:r>
        <w:rPr>
          <w:bCs/>
        </w:rPr>
        <w:t xml:space="preserve"> e do IEDI.</w:t>
      </w:r>
    </w:p>
    <w:p w:rsidR="00822877" w:rsidRDefault="00822877" w:rsidP="00822877">
      <w:pPr>
        <w:pStyle w:val="NormalWeb"/>
        <w:spacing w:before="0" w:beforeAutospacing="0" w:after="0" w:afterAutospacing="0" w:line="360" w:lineRule="auto"/>
        <w:ind w:left="66" w:firstLine="642"/>
        <w:jc w:val="both"/>
        <w:rPr>
          <w:bCs/>
        </w:rPr>
      </w:pPr>
      <w:r>
        <w:rPr>
          <w:bCs/>
        </w:rPr>
        <w:t>José Carlos Bumlai foi outro conselheiro-usineiro que recebeu dinheiro do BNDES em 2008, no mesmo pacote de recursos enviado às usinas de Marcelo Odebrecht. O valor foi de R$ 338.079.767,00. Paulo Godoy, proprietário do Grupo Alusa, também foi agraciado por empréstimos do Banco em dezembro do mesmo ano. As usinas de sua Holding – a Usina Paulista Lavrinhas de Energia S.A, em Lavrinhas (SP), recebeu R$ 111,2 milhões e a Usina Paulista Queluz de Energia S.A, em Queluz (SP) recebeu 114,6 milhões.</w:t>
      </w:r>
      <w:r>
        <w:rPr>
          <w:rStyle w:val="Refdenotaderodap"/>
          <w:bCs/>
        </w:rPr>
        <w:footnoteReference w:id="241"/>
      </w:r>
      <w:r>
        <w:rPr>
          <w:bCs/>
        </w:rPr>
        <w:t xml:space="preserve"> No todo, os três conselheiros receberam praticamente 20% dos R$ 7.052.599.569,00 relativo aos dez maiores empréstimos diretos do BNDES para a indústria em 2008. A Fiat Automóveis, cujo </w:t>
      </w:r>
      <w:r w:rsidRPr="00AC5FD4">
        <w:rPr>
          <w:bCs/>
          <w:i/>
        </w:rPr>
        <w:t>CEO</w:t>
      </w:r>
      <w:r>
        <w:rPr>
          <w:bCs/>
        </w:rPr>
        <w:t xml:space="preserve"> ingressara no CDES em 2010, figurava dentre outras empresas receptoras destes recursos.</w:t>
      </w:r>
      <w:r>
        <w:rPr>
          <w:rStyle w:val="Refdenotaderodap"/>
          <w:bCs/>
        </w:rPr>
        <w:footnoteReference w:id="242"/>
      </w:r>
    </w:p>
    <w:p w:rsidR="00822877" w:rsidRDefault="00822877" w:rsidP="00822877">
      <w:pPr>
        <w:pStyle w:val="NormalWeb"/>
        <w:spacing w:before="0" w:beforeAutospacing="0" w:after="0" w:afterAutospacing="0" w:line="360" w:lineRule="auto"/>
        <w:ind w:left="66" w:firstLine="642"/>
        <w:jc w:val="both"/>
        <w:rPr>
          <w:bCs/>
        </w:rPr>
      </w:pPr>
      <w:r>
        <w:rPr>
          <w:bCs/>
        </w:rPr>
        <w:t>Muito provavelmente os recursos obtidos pelos conselheiros do CDES via BNDES foram advindos da sua condição de conselheiro. No caso de Bumlai, consta no Relatório de Atividades do CDES de 2007 que o referido conselheiro “questionou a baixa prioridade do BNDES para o financiamento de projeto na área de biocombustíveis”</w:t>
      </w:r>
      <w:r>
        <w:rPr>
          <w:rStyle w:val="Refdenotaderodap"/>
          <w:bCs/>
        </w:rPr>
        <w:footnoteReference w:id="243"/>
      </w:r>
      <w:r w:rsidR="009E531E">
        <w:rPr>
          <w:bCs/>
        </w:rPr>
        <w:t xml:space="preserve">perante </w:t>
      </w:r>
      <w:r>
        <w:rPr>
          <w:bCs/>
        </w:rPr>
        <w:t>os funcionários do BNDES Élvio Gaspar (Diretor de Crédito e Inclusão Social) e João Carlos Cavalcanti (Superintendente da Diretoria de Infraestrutura), ambos na condição de palestrantes da III Reunião do Grupo Temático do CDES “Agenda da Infra-estrutura para o Desenvolvimento”, realizado no Auditório do BNDES, no Rio de Janeiro. Na mesma direção, o conselheiro Antoninho Trevisan afirmou que “o BNDES poderia elaborar linhas de crédito mais adequadas para o setor, em vez de tentar enquadrar os tomadores de empréstimos nas linhas atualmente existentes”.</w:t>
      </w:r>
      <w:r>
        <w:rPr>
          <w:rStyle w:val="Refdenotaderodap"/>
          <w:bCs/>
        </w:rPr>
        <w:footnoteReference w:id="244"/>
      </w:r>
      <w:r>
        <w:rPr>
          <w:bCs/>
        </w:rPr>
        <w:t xml:space="preserve"> Os reclames de ambos surtiram efeito imediato e, um ano depois, tal linha de crédito já atendia o setor, inclusive a Usina São Fernando Açúcar e Álcool Ltda, de propriedade de Bumlai:</w:t>
      </w:r>
      <w:r>
        <w:rPr>
          <w:rStyle w:val="Refdenotaderodap"/>
          <w:bCs/>
        </w:rPr>
        <w:footnoteReference w:id="245"/>
      </w:r>
    </w:p>
    <w:p w:rsidR="00822877" w:rsidRPr="00635A4B" w:rsidRDefault="00822877" w:rsidP="00822877">
      <w:pPr>
        <w:pStyle w:val="NormalWeb"/>
        <w:spacing w:before="0" w:beforeAutospacing="0" w:after="0" w:afterAutospacing="0"/>
        <w:ind w:left="2268"/>
        <w:jc w:val="both"/>
        <w:rPr>
          <w:bCs/>
          <w:sz w:val="20"/>
          <w:szCs w:val="20"/>
        </w:rPr>
      </w:pPr>
      <w:r w:rsidRPr="00635A4B">
        <w:rPr>
          <w:bCs/>
          <w:sz w:val="20"/>
          <w:szCs w:val="20"/>
        </w:rPr>
        <w:t>Sensibilizado pelas posições e propostas dos Conselheiros, o Superintendente de Infra-estrutura do BNDES, João Carlos Carvalcanti, convidou os Conselheiros Antoninho Trevisan e José Carlos Bumlai para uma reunião, a fim de discutir com mais profundidade uma agenda de crédito para a bioenergia e os biocombustíveis. Após esse diálogo com membros do GT Agenda da Infra-estrutura com o BNDES, esse banco ampliou significativamente suas linhas de financiamento para o setor de bioenergia e biocombustíveis e criou uma superintendência para tratar especificamente deste tema.</w:t>
      </w:r>
      <w:r>
        <w:rPr>
          <w:rStyle w:val="Refdenotaderodap"/>
          <w:bCs/>
          <w:sz w:val="20"/>
          <w:szCs w:val="20"/>
        </w:rPr>
        <w:footnoteReference w:id="246"/>
      </w:r>
    </w:p>
    <w:p w:rsidR="00822877" w:rsidRDefault="00822877" w:rsidP="00822877">
      <w:pPr>
        <w:pStyle w:val="NormalWeb"/>
        <w:spacing w:before="240" w:beforeAutospacing="0" w:after="240" w:afterAutospacing="0" w:line="360" w:lineRule="auto"/>
        <w:ind w:left="66" w:firstLine="642"/>
        <w:jc w:val="both"/>
        <w:rPr>
          <w:bCs/>
        </w:rPr>
      </w:pPr>
      <w:r>
        <w:rPr>
          <w:bCs/>
        </w:rPr>
        <w:t>Conhecido como “o homem do Barba”, pecuarista e usineiro do Mato Grosso do Sul, Bumlai acumulava não apenas prestígio e acesso direto ao gabinete da Presidência da República, mas também investigação de irregularidades pelo Ministério Público em face da contratação da empreiteira Constran – da qual Bumlai havia sido do conselho diretor até 2002 – pela prefeitura de Campinas.</w:t>
      </w:r>
      <w:r>
        <w:rPr>
          <w:rStyle w:val="Refdenotaderodap"/>
          <w:bCs/>
        </w:rPr>
        <w:footnoteReference w:id="247"/>
      </w:r>
      <w:r>
        <w:rPr>
          <w:bCs/>
        </w:rPr>
        <w:t xml:space="preserve">  Em entrevista, o conselheiro revelou a importância do governo Lula para a agroindústria sucroalcooleira:</w:t>
      </w:r>
    </w:p>
    <w:p w:rsidR="00822877" w:rsidRPr="009F1811" w:rsidRDefault="00822877" w:rsidP="00822877">
      <w:pPr>
        <w:spacing w:after="0" w:line="240" w:lineRule="auto"/>
        <w:ind w:left="2268"/>
        <w:jc w:val="both"/>
        <w:rPr>
          <w:rFonts w:ascii="Times New Roman" w:eastAsia="Times New Roman" w:hAnsi="Times New Roman"/>
          <w:sz w:val="20"/>
          <w:szCs w:val="20"/>
          <w:lang w:eastAsia="pt-BR"/>
        </w:rPr>
      </w:pPr>
      <w:r>
        <w:rPr>
          <w:rFonts w:ascii="Times New Roman" w:eastAsia="Times New Roman" w:hAnsi="Times New Roman"/>
          <w:sz w:val="20"/>
          <w:szCs w:val="20"/>
          <w:lang w:eastAsia="pt-BR"/>
        </w:rPr>
        <w:t xml:space="preserve">Revista Dinheiro Rural - </w:t>
      </w:r>
      <w:r w:rsidRPr="009F1811">
        <w:rPr>
          <w:rFonts w:ascii="Times New Roman" w:eastAsia="Times New Roman" w:hAnsi="Times New Roman"/>
          <w:sz w:val="20"/>
          <w:szCs w:val="20"/>
          <w:lang w:eastAsia="pt-BR"/>
        </w:rPr>
        <w:t>O que representa para o sr. a amizade com o presidente Lula?</w:t>
      </w:r>
    </w:p>
    <w:p w:rsidR="00822877" w:rsidRPr="009F1811" w:rsidRDefault="00822877" w:rsidP="00822877">
      <w:pPr>
        <w:spacing w:after="0" w:line="240" w:lineRule="auto"/>
        <w:ind w:left="2268"/>
        <w:jc w:val="both"/>
        <w:rPr>
          <w:rFonts w:ascii="Times New Roman" w:eastAsia="Times New Roman" w:hAnsi="Times New Roman"/>
          <w:sz w:val="24"/>
          <w:szCs w:val="24"/>
          <w:lang w:eastAsia="pt-BR"/>
        </w:rPr>
      </w:pPr>
      <w:r>
        <w:rPr>
          <w:rFonts w:ascii="Times New Roman" w:eastAsia="Times New Roman" w:hAnsi="Times New Roman"/>
          <w:sz w:val="20"/>
          <w:szCs w:val="20"/>
          <w:lang w:eastAsia="pt-BR"/>
        </w:rPr>
        <w:t xml:space="preserve">Bumlai - </w:t>
      </w:r>
      <w:r w:rsidRPr="009F1811">
        <w:rPr>
          <w:rFonts w:ascii="Times New Roman" w:eastAsia="Times New Roman" w:hAnsi="Times New Roman"/>
          <w:sz w:val="20"/>
          <w:szCs w:val="20"/>
          <w:lang w:eastAsia="pt-BR"/>
        </w:rPr>
        <w:t xml:space="preserve">É um privilégio e um motivo de orgulho. Quando o conheci, apresentado pelo governador Zeca do PT, fiquei impressionado com a sua visão sobre todos os problemas brasileiros. E assim como Getúlio Vargas fez história com a Petrobras e JK com a construção de Brasília, </w:t>
      </w:r>
      <w:r w:rsidRPr="009F1811">
        <w:rPr>
          <w:rFonts w:ascii="Times New Roman" w:eastAsia="Times New Roman" w:hAnsi="Times New Roman"/>
          <w:i/>
          <w:sz w:val="20"/>
          <w:szCs w:val="20"/>
          <w:lang w:eastAsia="pt-BR"/>
        </w:rPr>
        <w:t>Lula será lembrado pelo impulso que deu aos biocombustíveis</w:t>
      </w:r>
      <w:r w:rsidRPr="009F1811">
        <w:rPr>
          <w:rFonts w:ascii="Times New Roman" w:eastAsia="Times New Roman" w:hAnsi="Times New Roman"/>
          <w:sz w:val="20"/>
          <w:szCs w:val="20"/>
          <w:lang w:eastAsia="pt-BR"/>
        </w:rPr>
        <w:t>.</w:t>
      </w:r>
      <w:r>
        <w:rPr>
          <w:rStyle w:val="Refdenotaderodap"/>
          <w:rFonts w:ascii="Times New Roman" w:eastAsia="Times New Roman" w:hAnsi="Times New Roman"/>
          <w:sz w:val="20"/>
          <w:szCs w:val="20"/>
          <w:lang w:eastAsia="pt-BR"/>
        </w:rPr>
        <w:footnoteReference w:id="248"/>
      </w:r>
    </w:p>
    <w:p w:rsidR="00822877" w:rsidRDefault="00822877" w:rsidP="00822877">
      <w:pPr>
        <w:pStyle w:val="NormalWeb"/>
        <w:spacing w:before="240" w:beforeAutospacing="0" w:after="0" w:afterAutospacing="0" w:line="360" w:lineRule="auto"/>
        <w:jc w:val="both"/>
      </w:pPr>
      <w:r>
        <w:tab/>
        <w:t xml:space="preserve">A pesquisa não encontrou relações diretas, digo, atividades empresariais do conselheiro Luiz Aubert Neto próprias do setor usineiro e/ou agropecuarista. Ele é proprietário da Aubert Engrenagens e Redutores. A empresa fornece máquinas e equipamentos para indústria sucroalcooleira, mas também para o setor metalúrgico, siderúrgico, ferroviário, </w:t>
      </w:r>
      <w:r>
        <w:rPr>
          <w:rStyle w:val="adtext"/>
        </w:rPr>
        <w:t>mineral</w:t>
      </w:r>
      <w:r>
        <w:t xml:space="preserve">, </w:t>
      </w:r>
      <w:r>
        <w:rPr>
          <w:rStyle w:val="adtext"/>
        </w:rPr>
        <w:t>papel e celulose e</w:t>
      </w:r>
      <w:r>
        <w:t xml:space="preserve"> naval.</w:t>
      </w:r>
      <w:r>
        <w:rPr>
          <w:rStyle w:val="Refdenotaderodap"/>
        </w:rPr>
        <w:footnoteReference w:id="249"/>
      </w:r>
      <w:r>
        <w:t xml:space="preserve"> Contudo, o conselheiro é Presidente da ABIMAQ e, como tal, a coisa muda de figura: a pesquisa revelou que o conselheiro associava-se como membro da Divisão de Insumos do Departamento de Agronegócio (DEAGRO) da </w:t>
      </w:r>
      <w:r w:rsidR="000834BC">
        <w:t>FIESP</w:t>
      </w:r>
      <w:r>
        <w:t>, além de fazer parte do Sistema Agrishow – feira internacional de tecnologia agrícola, vinculada à ABAG. Além disso, participava, no Estado restrito, do Conselho de Agronegócio (CONSAGRO) do Ministério de Agricultura, Pecuária e Abastecimento (MAPA). Tratava-se, portanto, de um importante membro do setor.</w:t>
      </w:r>
    </w:p>
    <w:p w:rsidR="00822877" w:rsidRDefault="00822877" w:rsidP="00822877">
      <w:pPr>
        <w:pStyle w:val="NormalWeb"/>
        <w:spacing w:before="0" w:beforeAutospacing="0" w:after="0" w:afterAutospacing="0" w:line="360" w:lineRule="auto"/>
        <w:jc w:val="both"/>
      </w:pPr>
      <w:r>
        <w:tab/>
        <w:t>Aliás, neste âmbito, alguns dos conselheiros da empresa agrícola possuíam alguma inserção no aparato estatal. Se não, vejamos: Luiz Otávio Gomes foi Secretário de Desenvolvimento Econômico de Alagoas e Secretário de Planejamento de Estado do Governo de Alagoas na gestão Theotônio Vilella (PSDB).</w:t>
      </w:r>
      <w:r>
        <w:rPr>
          <w:rStyle w:val="Refdenotaderodap"/>
        </w:rPr>
        <w:footnoteReference w:id="250"/>
      </w:r>
      <w:r>
        <w:t xml:space="preserve"> A pesquisa não encontrou vínculos (oficiais) de Maurílio Biagi Filho e de José Carlos Bumlai ao Estado restrito. Por outro lado, sabemos que Mark Jank fez parte </w:t>
      </w:r>
      <w:r w:rsidRPr="004755BE">
        <w:t xml:space="preserve">do </w:t>
      </w:r>
      <w:r w:rsidRPr="004755BE">
        <w:rPr>
          <w:color w:val="000000"/>
        </w:rPr>
        <w:t>Conselho Consultivo do Setor Privado (CONEX) da CAMEX</w:t>
      </w:r>
      <w:r>
        <w:rPr>
          <w:color w:val="000000"/>
        </w:rPr>
        <w:t xml:space="preserve">, órgão do MDIC, juntamente com os conselheiros Luiz Aubert Neto e Marcelo Odebrecht. Conselheiros-empresários de outros setores econômicos também fizeram parte </w:t>
      </w:r>
      <w:r w:rsidRPr="004755BE">
        <w:t xml:space="preserve">do </w:t>
      </w:r>
      <w:r w:rsidRPr="004755BE">
        <w:rPr>
          <w:color w:val="000000"/>
        </w:rPr>
        <w:t>Conselho Consultivo do Setor Privado (CONEX) da CAMEX</w:t>
      </w:r>
      <w:r>
        <w:rPr>
          <w:color w:val="000000"/>
        </w:rPr>
        <w:t xml:space="preserve">: Antonio Gil, Cledorvino Bellini, Robson Andrade, Roger Agnelli, Paulo Godoy e Maurício Botelho. Ainda no setor sucroalcooleiro, Carlos Farias foi </w:t>
      </w:r>
      <w:r>
        <w:t>m</w:t>
      </w:r>
      <w:r w:rsidRPr="00EE343B">
        <w:t>embro da Câmara S</w:t>
      </w:r>
      <w:r>
        <w:t xml:space="preserve">etorial dos Combustíveis do MAPA. </w:t>
      </w:r>
    </w:p>
    <w:p w:rsidR="00822877" w:rsidRPr="002D39B4" w:rsidRDefault="00822877" w:rsidP="00822877">
      <w:pPr>
        <w:pStyle w:val="NormalWeb"/>
        <w:spacing w:before="0" w:beforeAutospacing="0" w:after="0" w:afterAutospacing="0" w:line="360" w:lineRule="auto"/>
        <w:jc w:val="both"/>
      </w:pPr>
      <w:r>
        <w:tab/>
        <w:t>Pedro Teruel, deputado estadual pelo PT do MS, era e</w:t>
      </w:r>
      <w:r w:rsidRPr="002D39B4">
        <w:t xml:space="preserve">mpresário do ramo da aviação agrícola, proprietário da Teruel Viação Agrícola Ltda. </w:t>
      </w:r>
      <w:r>
        <w:t>F</w:t>
      </w:r>
      <w:r w:rsidRPr="002D39B4">
        <w:t xml:space="preserve">oi Vice-Presidente do Sindicato Nacional das Empresas de Aviação Agrícola. </w:t>
      </w:r>
      <w:r>
        <w:t>Como deputado estadual do MS</w:t>
      </w:r>
      <w:r w:rsidRPr="002D39B4">
        <w:t>, integr</w:t>
      </w:r>
      <w:r>
        <w:t>ou</w:t>
      </w:r>
      <w:r w:rsidRPr="002D39B4">
        <w:t xml:space="preserve"> as Frentes Parlamentares de Apoio ao Agronegócio e ao Coop</w:t>
      </w:r>
      <w:r>
        <w:t xml:space="preserve">erativismo </w:t>
      </w:r>
      <w:r w:rsidRPr="002D39B4">
        <w:t xml:space="preserve">e </w:t>
      </w:r>
      <w:r w:rsidR="00E5283C">
        <w:t>d</w:t>
      </w:r>
      <w:r w:rsidRPr="002D39B4">
        <w:t xml:space="preserve">e Apoio à Indústria.  </w:t>
      </w:r>
      <w:r>
        <w:t xml:space="preserve">No Estado restrito, ocupou o cargo de </w:t>
      </w:r>
      <w:r w:rsidRPr="002D39B4">
        <w:t>Secretário de Estado de Habitação e Infraestrutura do MS.</w:t>
      </w:r>
      <w:r>
        <w:t xml:space="preserve"> Foi c</w:t>
      </w:r>
      <w:r w:rsidRPr="002D39B4">
        <w:t xml:space="preserve">oordenador </w:t>
      </w:r>
      <w:r>
        <w:t>n</w:t>
      </w:r>
      <w:r w:rsidRPr="002D39B4">
        <w:t>acional da Associação Brasileira de Empresários pela Cidadania – CIVES.</w:t>
      </w:r>
    </w:p>
    <w:p w:rsidR="00822877" w:rsidRDefault="00822877" w:rsidP="00822877">
      <w:pPr>
        <w:pStyle w:val="NormalWeb"/>
        <w:spacing w:before="0" w:beforeAutospacing="0" w:after="0" w:afterAutospacing="0" w:line="360" w:lineRule="auto"/>
        <w:jc w:val="both"/>
      </w:pPr>
      <w:r>
        <w:tab/>
        <w:t>Os conselheiros Márcio Lopes de Freitas e Rozani Holler foram duas destacadas lideranças da Organização das Cooperativas Brasileiras (OCB) tendo sido, respectivamente, Presidente da OCB e representante nacional do ramo do trabalho da entidade (Cootrabalho). Nascida em 1969, fruto da unificação da Aliança Brasileira de Cooperativas (Abcoop) e da União Nacional das Associações Cooperativas (Unasco), foi apenas a partir de 1974 que a OCB inicia sua trajetória ascendente entre as entidades patronais da agroindústria.</w:t>
      </w:r>
      <w:r>
        <w:rPr>
          <w:rStyle w:val="Refdenotaderodap"/>
        </w:rPr>
        <w:footnoteReference w:id="251"/>
      </w:r>
      <w:r>
        <w:t xml:space="preserve"> Apoiada na vulgarização de premissas político-ideológicas cunhadas para legitimar o cooperativismo, tais como o de democracia e igualitarismo, a OCB construiria legitimidade como órgão de representação de classe que se imporia ao conjunto das agremiações patronais da agricultura e mesmo à sociedade civil como um todo.</w:t>
      </w:r>
      <w:r>
        <w:rPr>
          <w:rStyle w:val="Refdenotaderodap"/>
        </w:rPr>
        <w:footnoteReference w:id="252"/>
      </w:r>
      <w:r>
        <w:t xml:space="preserve"> A historiadora Sonia Regina de Mendonçasalienta que a OCB logrou inscrever aos grupos dominantes agroindustriais um novo projeto de hegemonia, qual seja, “a modernização definitiva da agricultura, mediante seu funcionamento em bases totalmente empresariais e internacionalizadas”.</w:t>
      </w:r>
      <w:r>
        <w:rPr>
          <w:rStyle w:val="Refdenotaderodap"/>
        </w:rPr>
        <w:footnoteReference w:id="253"/>
      </w:r>
      <w:r>
        <w:t xml:space="preserve"> Em detida e aprofundada pesquisa sobre as bases sociais e quadros dirigentes da OCB, Mendonça afirma que seu perfil era composto por</w:t>
      </w:r>
    </w:p>
    <w:p w:rsidR="00822877" w:rsidRPr="009171F9" w:rsidRDefault="00822877" w:rsidP="00822877">
      <w:pPr>
        <w:pStyle w:val="NormalWeb"/>
        <w:spacing w:before="0" w:beforeAutospacing="0" w:after="0" w:afterAutospacing="0"/>
        <w:ind w:left="2268"/>
        <w:jc w:val="both"/>
        <w:rPr>
          <w:sz w:val="20"/>
          <w:szCs w:val="20"/>
        </w:rPr>
      </w:pPr>
      <w:r>
        <w:rPr>
          <w:sz w:val="20"/>
          <w:szCs w:val="20"/>
        </w:rPr>
        <w:t>Agropecuaristas e, sobretudo, agroempresários, profundamente imbricados a uma agricultura plenamente caicizada e industrializada, dotados da mais moderna tecnologia e zelosos do significativo papel econômico desempenhado, desde a década de 1980, pela produção oriunda das “cooperativas” na pauta de exportações brasileiras.</w:t>
      </w:r>
      <w:r>
        <w:rPr>
          <w:rStyle w:val="Refdenotaderodap"/>
          <w:sz w:val="20"/>
          <w:szCs w:val="20"/>
        </w:rPr>
        <w:footnoteReference w:id="254"/>
      </w:r>
    </w:p>
    <w:p w:rsidR="00822877" w:rsidRDefault="00822877" w:rsidP="00822877">
      <w:pPr>
        <w:pStyle w:val="NormalWeb"/>
        <w:spacing w:before="240" w:beforeAutospacing="0" w:after="0" w:afterAutospacing="0" w:line="360" w:lineRule="auto"/>
        <w:ind w:firstLine="708"/>
        <w:jc w:val="both"/>
      </w:pPr>
      <w:r>
        <w:t xml:space="preserve">O conselheiro Pedro Teruel consta em lista divulgada pelo </w:t>
      </w:r>
      <w:r>
        <w:rPr>
          <w:i/>
        </w:rPr>
        <w:t>Informativo OCB</w:t>
      </w:r>
      <w:r>
        <w:t xml:space="preserve"> dos candidatos às eleições de 1990 que, caso eleitos, comporiam a futura Frente Parlamentar Cooperativista, comprometendo-se publicamente com a entidade.</w:t>
      </w:r>
      <w:r>
        <w:rPr>
          <w:rStyle w:val="Refdenotaderodap"/>
        </w:rPr>
        <w:footnoteReference w:id="255"/>
      </w:r>
      <w:r>
        <w:t xml:space="preserve"> A adesão de Teruel à Frente Parlamentar da OCB talvez seja situação precursora e reveladora (reforçada pela circunstância de ser o único petista - ou filiado a um partido de esquerda à época – dentre os 29 signatários de uma lista composta majoritamente por integrantes de partidos da direita) das mudanças do posicionamento de seu partido em relação à agroindústria. Situação esta coroada com a nomeação de Roberto Rodrigues, líder inconteste da OCB, para a pasta do Ministério da Agricultura do governo Lula, o que revela também a consagração desta entidade como força hegemônica da classe patronal agrícola.</w:t>
      </w:r>
    </w:p>
    <w:p w:rsidR="00822877" w:rsidRDefault="00822877" w:rsidP="00822877">
      <w:pPr>
        <w:pStyle w:val="NormalWeb"/>
        <w:spacing w:before="0" w:beforeAutospacing="0" w:after="0" w:afterAutospacing="0" w:line="360" w:lineRule="auto"/>
        <w:ind w:firstLine="708"/>
        <w:jc w:val="both"/>
      </w:pPr>
      <w:r>
        <w:t>Não poderíamos deixar de mencionar, ainda no campo das organizações da sociedade civil da burguesia agrária brasileira, a importância decisiva da Associação Brasileira de Agribusiness (ABAG). Nascida em 1993, por iniciativa da direção da OCB (precisamente por Roberto Rodrigues e Ney Bittencourt de Araújo), a ABAG trataria de justificar sua criação por meio da necessidade de se estabelecerem novos canais de representação que dessem conta da noção ampliada de agricultura por ela construída. Assim, a “agricultura” tornava-se avalista de um amplo e poderoso complexo de cunho industrial, comercial e financeiro “diante do qual urgia criar uma mega-agremiação, supra-associativa e proporcional, politicamente, à sua importância econômica”.</w:t>
      </w:r>
      <w:r>
        <w:rPr>
          <w:rStyle w:val="Refdenotaderodap"/>
        </w:rPr>
        <w:footnoteReference w:id="256"/>
      </w:r>
      <w:r>
        <w:t xml:space="preserve"> Conforme assinala Raphaela Giffoni Pinto, a ABAG</w:t>
      </w:r>
    </w:p>
    <w:p w:rsidR="00822877" w:rsidRDefault="00822877" w:rsidP="00822877">
      <w:pPr>
        <w:pStyle w:val="NormalWeb"/>
        <w:spacing w:before="0" w:beforeAutospacing="0" w:after="0" w:afterAutospacing="0"/>
        <w:ind w:left="2268"/>
        <w:jc w:val="both"/>
      </w:pPr>
      <w:r>
        <w:rPr>
          <w:sz w:val="20"/>
          <w:szCs w:val="20"/>
        </w:rPr>
        <w:t xml:space="preserve">(...) </w:t>
      </w:r>
      <w:r w:rsidRPr="00F3044B">
        <w:rPr>
          <w:sz w:val="20"/>
          <w:szCs w:val="20"/>
        </w:rPr>
        <w:t>consiste em uma entidade que agrega diversos setores ligados à produção agropecuária, abrangendo não somente segmentos responsáveis pela atividade produtiva, como também aqueles relacionados à produção de insumos e ao armazenamento, processamento, distribuição e financiamento de produtos agrícolas, além de empresas diretamente ligadas ao capital financeiro</w:t>
      </w:r>
      <w:r>
        <w:rPr>
          <w:sz w:val="20"/>
          <w:szCs w:val="20"/>
        </w:rPr>
        <w:t>.</w:t>
      </w:r>
      <w:r>
        <w:rPr>
          <w:rStyle w:val="Refdenotaderodap"/>
          <w:sz w:val="20"/>
          <w:szCs w:val="20"/>
        </w:rPr>
        <w:footnoteReference w:id="257"/>
      </w:r>
    </w:p>
    <w:p w:rsidR="00822877" w:rsidRDefault="00822877" w:rsidP="00822877">
      <w:pPr>
        <w:pStyle w:val="NormalWeb"/>
        <w:spacing w:before="240" w:beforeAutospacing="0" w:after="240" w:afterAutospacing="0" w:line="360" w:lineRule="auto"/>
        <w:ind w:firstLine="708"/>
        <w:jc w:val="both"/>
      </w:pPr>
      <w:r>
        <w:t xml:space="preserve">Conquanto não tivesse inscrito </w:t>
      </w:r>
      <w:r>
        <w:rPr>
          <w:i/>
        </w:rPr>
        <w:t xml:space="preserve">ipsis litteris </w:t>
      </w:r>
      <w:r>
        <w:t xml:space="preserve">algumas de suas lideranças (diretores e presidentes) nas plenárias do CDES ou, de melhor forma, não tenham como tal se identificado, é inequívoco que os interesses e demandas da ABAG estavam sendo defendidos e projetados por meio das empresas e entidades patronais a ela associadas presentes no CDES e de conselheiros ligados à agroindústria que frequentavam os mesmos conselhos e comissões, na sociedade civil e política, que a ABAG fazia parte. Tratava-se, portanto, de duas frentes de interconexões entre a ABAG e o CDES, expostas no quadro abaixo:   </w:t>
      </w:r>
    </w:p>
    <w:p w:rsidR="00822877" w:rsidRDefault="00822877" w:rsidP="00822877">
      <w:pPr>
        <w:pStyle w:val="NormalWeb"/>
        <w:spacing w:before="0" w:beforeAutospacing="0"/>
        <w:jc w:val="center"/>
        <w:rPr>
          <w:b/>
        </w:rPr>
      </w:pPr>
      <w:r>
        <w:rPr>
          <w:b/>
        </w:rPr>
        <w:t>Quadro 2.10</w:t>
      </w:r>
      <w:r w:rsidRPr="00281182">
        <w:rPr>
          <w:b/>
        </w:rPr>
        <w:t xml:space="preserve"> – Capilarizações</w:t>
      </w:r>
      <w:r w:rsidR="008D3EE0">
        <w:rPr>
          <w:b/>
        </w:rPr>
        <w:t xml:space="preserve"> e entrelaçamentos</w:t>
      </w:r>
      <w:r w:rsidRPr="00281182">
        <w:rPr>
          <w:b/>
        </w:rPr>
        <w:t xml:space="preserve"> da ABAG no CDES</w:t>
      </w:r>
      <w:r>
        <w:rPr>
          <w:rStyle w:val="Refdenotaderodap"/>
          <w:b/>
        </w:rPr>
        <w:footnoteReference w:id="258"/>
      </w:r>
    </w:p>
    <w:tbl>
      <w:tblPr>
        <w:tblW w:w="4914"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3019"/>
        <w:gridCol w:w="6108"/>
      </w:tblGrid>
      <w:tr w:rsidR="00822877" w:rsidRPr="008211FD" w:rsidTr="008211FD">
        <w:tc>
          <w:tcPr>
            <w:tcW w:w="1654" w:type="pct"/>
            <w:tcBorders>
              <w:top w:val="single" w:sz="8" w:space="0" w:color="4F81BD"/>
              <w:left w:val="single" w:sz="8" w:space="0" w:color="4F81BD"/>
              <w:bottom w:val="single" w:sz="18" w:space="0" w:color="4F81BD"/>
              <w:right w:val="single" w:sz="8" w:space="0" w:color="4F81BD"/>
            </w:tcBorders>
          </w:tcPr>
          <w:p w:rsidR="00822877" w:rsidRPr="008211FD" w:rsidRDefault="00822877" w:rsidP="008211FD">
            <w:pPr>
              <w:spacing w:after="0" w:line="240" w:lineRule="auto"/>
              <w:rPr>
                <w:rFonts w:ascii="Times New Roman" w:eastAsia="Times New Roman" w:hAnsi="Times New Roman"/>
                <w:b/>
                <w:bCs/>
                <w:sz w:val="18"/>
                <w:szCs w:val="18"/>
              </w:rPr>
            </w:pPr>
            <w:r w:rsidRPr="008211FD">
              <w:rPr>
                <w:rFonts w:ascii="Times New Roman" w:eastAsia="Times New Roman" w:hAnsi="Times New Roman"/>
                <w:b/>
                <w:bCs/>
                <w:sz w:val="20"/>
                <w:szCs w:val="20"/>
              </w:rPr>
              <w:t>Empresas e Entidades Associadas à ABAG e representadas no CDES</w:t>
            </w:r>
          </w:p>
        </w:tc>
        <w:tc>
          <w:tcPr>
            <w:tcW w:w="3346" w:type="pct"/>
            <w:tcBorders>
              <w:top w:val="single" w:sz="8" w:space="0" w:color="4F81BD"/>
              <w:left w:val="single" w:sz="8" w:space="0" w:color="4F81BD"/>
              <w:bottom w:val="single" w:sz="18" w:space="0" w:color="4F81BD"/>
              <w:right w:val="single" w:sz="8" w:space="0" w:color="4F81BD"/>
            </w:tcBorders>
          </w:tcPr>
          <w:p w:rsidR="00822877" w:rsidRPr="008211FD" w:rsidRDefault="00822877" w:rsidP="008211FD">
            <w:pPr>
              <w:pStyle w:val="DecimalAligned"/>
              <w:tabs>
                <w:tab w:val="clear" w:pos="360"/>
              </w:tabs>
              <w:spacing w:after="0" w:line="240" w:lineRule="auto"/>
              <w:rPr>
                <w:rFonts w:ascii="Times New Roman" w:hAnsi="Times New Roman"/>
                <w:b/>
                <w:bCs/>
                <w:sz w:val="18"/>
                <w:szCs w:val="18"/>
              </w:rPr>
            </w:pPr>
            <w:r w:rsidRPr="008211FD">
              <w:rPr>
                <w:rFonts w:ascii="Times New Roman" w:hAnsi="Times New Roman"/>
                <w:b/>
                <w:bCs/>
                <w:sz w:val="20"/>
                <w:szCs w:val="20"/>
              </w:rPr>
              <w:t>Conselhos, comissões e institutos de que a ABAG participa, junto com outros conselheiros do CDES</w:t>
            </w:r>
          </w:p>
        </w:tc>
      </w:tr>
      <w:tr w:rsidR="00822877" w:rsidRPr="008211FD" w:rsidTr="008211FD">
        <w:tc>
          <w:tcPr>
            <w:tcW w:w="1654"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8211FD">
            <w:pPr>
              <w:pStyle w:val="NormalWeb"/>
              <w:spacing w:before="0" w:beforeAutospacing="0" w:after="0" w:afterAutospacing="0"/>
              <w:jc w:val="both"/>
              <w:rPr>
                <w:b/>
                <w:bCs/>
                <w:sz w:val="20"/>
                <w:szCs w:val="20"/>
              </w:rPr>
            </w:pPr>
            <w:r w:rsidRPr="008211FD">
              <w:rPr>
                <w:b/>
                <w:bCs/>
                <w:sz w:val="20"/>
                <w:szCs w:val="20"/>
              </w:rPr>
              <w:t>Banco Itaú, Banco Santander,</w:t>
            </w:r>
          </w:p>
          <w:p w:rsidR="00822877" w:rsidRPr="008211FD" w:rsidRDefault="00822877" w:rsidP="008211FD">
            <w:pPr>
              <w:pStyle w:val="NormalWeb"/>
              <w:spacing w:before="0" w:beforeAutospacing="0" w:after="0" w:afterAutospacing="0"/>
              <w:jc w:val="both"/>
              <w:rPr>
                <w:b/>
                <w:bCs/>
                <w:sz w:val="20"/>
                <w:szCs w:val="20"/>
              </w:rPr>
            </w:pPr>
            <w:r w:rsidRPr="008211FD">
              <w:rPr>
                <w:b/>
                <w:bCs/>
                <w:sz w:val="20"/>
                <w:szCs w:val="20"/>
              </w:rPr>
              <w:t>Febraban</w:t>
            </w:r>
          </w:p>
        </w:tc>
        <w:tc>
          <w:tcPr>
            <w:tcW w:w="334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8211FD">
            <w:pPr>
              <w:pStyle w:val="NormalWeb"/>
              <w:spacing w:before="0" w:beforeAutospacing="0" w:after="0" w:afterAutospacing="0"/>
              <w:jc w:val="both"/>
              <w:rPr>
                <w:sz w:val="20"/>
                <w:szCs w:val="20"/>
              </w:rPr>
            </w:pPr>
            <w:r w:rsidRPr="008211FD">
              <w:rPr>
                <w:sz w:val="18"/>
                <w:szCs w:val="18"/>
              </w:rPr>
              <w:t>●</w:t>
            </w:r>
            <w:r w:rsidRPr="008211FD">
              <w:rPr>
                <w:sz w:val="20"/>
                <w:szCs w:val="20"/>
              </w:rPr>
              <w:t xml:space="preserve"> Conselho do Agronegócio (CONSAGRO) do MAPA</w:t>
            </w:r>
          </w:p>
          <w:p w:rsidR="00822877" w:rsidRPr="008211FD" w:rsidRDefault="00822877" w:rsidP="008211FD">
            <w:pPr>
              <w:pStyle w:val="NormalWeb"/>
              <w:spacing w:before="0" w:beforeAutospacing="0" w:after="0" w:afterAutospacing="0"/>
              <w:jc w:val="both"/>
              <w:rPr>
                <w:sz w:val="20"/>
                <w:szCs w:val="20"/>
              </w:rPr>
            </w:pPr>
            <w:r w:rsidRPr="008211FD">
              <w:rPr>
                <w:sz w:val="20"/>
                <w:szCs w:val="20"/>
              </w:rPr>
              <w:t>Conselheiro Luiz Aubert Neto</w:t>
            </w:r>
          </w:p>
        </w:tc>
      </w:tr>
      <w:tr w:rsidR="00822877" w:rsidRPr="008211FD" w:rsidTr="008211FD">
        <w:tc>
          <w:tcPr>
            <w:tcW w:w="1654" w:type="pct"/>
            <w:tcBorders>
              <w:top w:val="single" w:sz="8" w:space="0" w:color="4F81BD"/>
              <w:left w:val="single" w:sz="8" w:space="0" w:color="4F81BD"/>
              <w:bottom w:val="single" w:sz="8" w:space="0" w:color="4F81BD"/>
              <w:right w:val="single" w:sz="8" w:space="0" w:color="4F81BD"/>
            </w:tcBorders>
          </w:tcPr>
          <w:p w:rsidR="00822877" w:rsidRPr="008211FD" w:rsidRDefault="00822877" w:rsidP="008211FD">
            <w:pPr>
              <w:pStyle w:val="NormalWeb"/>
              <w:spacing w:before="0" w:beforeAutospacing="0" w:after="0" w:afterAutospacing="0"/>
              <w:jc w:val="both"/>
              <w:rPr>
                <w:b/>
                <w:bCs/>
                <w:sz w:val="20"/>
                <w:szCs w:val="20"/>
              </w:rPr>
            </w:pPr>
            <w:r w:rsidRPr="008211FD">
              <w:rPr>
                <w:b/>
                <w:bCs/>
                <w:sz w:val="20"/>
                <w:szCs w:val="20"/>
              </w:rPr>
              <w:t>Grupo Gerdau e CVRD</w:t>
            </w:r>
          </w:p>
        </w:tc>
        <w:tc>
          <w:tcPr>
            <w:tcW w:w="3346" w:type="pct"/>
            <w:tcBorders>
              <w:top w:val="single" w:sz="8" w:space="0" w:color="4F81BD"/>
              <w:left w:val="single" w:sz="8" w:space="0" w:color="4F81BD"/>
              <w:bottom w:val="single" w:sz="8" w:space="0" w:color="4F81BD"/>
              <w:right w:val="single" w:sz="8" w:space="0" w:color="4F81BD"/>
            </w:tcBorders>
          </w:tcPr>
          <w:p w:rsidR="00822877" w:rsidRPr="008211FD" w:rsidRDefault="00822877" w:rsidP="008211FD">
            <w:pPr>
              <w:pStyle w:val="NormalWeb"/>
              <w:spacing w:before="0" w:beforeAutospacing="0" w:after="0" w:afterAutospacing="0"/>
              <w:jc w:val="both"/>
              <w:rPr>
                <w:sz w:val="20"/>
                <w:szCs w:val="20"/>
              </w:rPr>
            </w:pPr>
            <w:r w:rsidRPr="008211FD">
              <w:rPr>
                <w:sz w:val="18"/>
                <w:szCs w:val="18"/>
              </w:rPr>
              <w:t>●</w:t>
            </w:r>
            <w:r w:rsidRPr="008211FD">
              <w:rPr>
                <w:sz w:val="20"/>
                <w:szCs w:val="20"/>
              </w:rPr>
              <w:t xml:space="preserve"> Conselho Superior do Agronegócio da </w:t>
            </w:r>
            <w:r w:rsidR="000834BC">
              <w:rPr>
                <w:sz w:val="20"/>
                <w:szCs w:val="20"/>
              </w:rPr>
              <w:t>FIESP</w:t>
            </w:r>
            <w:r w:rsidRPr="008211FD">
              <w:rPr>
                <w:sz w:val="20"/>
                <w:szCs w:val="20"/>
              </w:rPr>
              <w:t xml:space="preserve"> (COSAG)</w:t>
            </w:r>
          </w:p>
          <w:p w:rsidR="00822877" w:rsidRPr="008211FD" w:rsidRDefault="00822877" w:rsidP="008211FD">
            <w:pPr>
              <w:pStyle w:val="NormalWeb"/>
              <w:spacing w:before="0" w:beforeAutospacing="0" w:after="0" w:afterAutospacing="0"/>
              <w:jc w:val="both"/>
              <w:rPr>
                <w:sz w:val="20"/>
                <w:szCs w:val="20"/>
              </w:rPr>
            </w:pPr>
            <w:r w:rsidRPr="008211FD">
              <w:rPr>
                <w:sz w:val="20"/>
                <w:szCs w:val="20"/>
              </w:rPr>
              <w:t>Conselheiros Maurílio Biagi e Marcos Jank</w:t>
            </w:r>
          </w:p>
        </w:tc>
      </w:tr>
      <w:tr w:rsidR="00822877" w:rsidRPr="008211FD" w:rsidTr="008211FD">
        <w:tc>
          <w:tcPr>
            <w:tcW w:w="1654"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C62FDC" w:rsidP="008211FD">
            <w:pPr>
              <w:pStyle w:val="NormalWeb"/>
              <w:spacing w:before="0" w:beforeAutospacing="0" w:after="0" w:afterAutospacing="0"/>
              <w:jc w:val="both"/>
              <w:rPr>
                <w:b/>
                <w:bCs/>
                <w:sz w:val="20"/>
                <w:szCs w:val="20"/>
              </w:rPr>
            </w:pPr>
            <w:r>
              <w:rPr>
                <w:b/>
                <w:bCs/>
                <w:sz w:val="20"/>
                <w:szCs w:val="20"/>
              </w:rPr>
              <w:t>BM&amp;F</w:t>
            </w:r>
            <w:r w:rsidR="00822877" w:rsidRPr="008211FD">
              <w:rPr>
                <w:b/>
                <w:bCs/>
                <w:sz w:val="20"/>
                <w:szCs w:val="20"/>
              </w:rPr>
              <w:t>Bovespa</w:t>
            </w:r>
          </w:p>
        </w:tc>
        <w:tc>
          <w:tcPr>
            <w:tcW w:w="334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8211FD">
            <w:pPr>
              <w:pStyle w:val="NormalWeb"/>
              <w:spacing w:before="0" w:beforeAutospacing="0" w:after="0" w:afterAutospacing="0"/>
              <w:jc w:val="both"/>
              <w:rPr>
                <w:sz w:val="20"/>
                <w:szCs w:val="20"/>
              </w:rPr>
            </w:pPr>
            <w:r w:rsidRPr="008211FD">
              <w:rPr>
                <w:sz w:val="18"/>
                <w:szCs w:val="18"/>
              </w:rPr>
              <w:t>●</w:t>
            </w:r>
            <w:r w:rsidRPr="008211FD">
              <w:rPr>
                <w:sz w:val="20"/>
                <w:szCs w:val="20"/>
              </w:rPr>
              <w:t xml:space="preserve"> Comissão Mista Brasil-Alemanha para o Agronegócio</w:t>
            </w:r>
          </w:p>
          <w:p w:rsidR="00822877" w:rsidRPr="008211FD" w:rsidRDefault="00822877" w:rsidP="008211FD">
            <w:pPr>
              <w:pStyle w:val="NormalWeb"/>
              <w:spacing w:before="0" w:beforeAutospacing="0" w:after="0" w:afterAutospacing="0"/>
              <w:jc w:val="both"/>
              <w:rPr>
                <w:sz w:val="20"/>
                <w:szCs w:val="20"/>
              </w:rPr>
            </w:pPr>
            <w:r w:rsidRPr="008211FD">
              <w:rPr>
                <w:sz w:val="20"/>
                <w:szCs w:val="20"/>
              </w:rPr>
              <w:t>Conselheiros Marcos Jank e Márcio Lopes de Freitas</w:t>
            </w:r>
          </w:p>
        </w:tc>
      </w:tr>
      <w:tr w:rsidR="00822877" w:rsidRPr="008211FD" w:rsidTr="008211FD">
        <w:trPr>
          <w:trHeight w:val="46"/>
        </w:trPr>
        <w:tc>
          <w:tcPr>
            <w:tcW w:w="1654" w:type="pct"/>
            <w:tcBorders>
              <w:top w:val="single" w:sz="8" w:space="0" w:color="4F81BD"/>
              <w:left w:val="single" w:sz="8" w:space="0" w:color="4F81BD"/>
              <w:bottom w:val="single" w:sz="8" w:space="0" w:color="4F81BD"/>
              <w:right w:val="single" w:sz="8" w:space="0" w:color="4F81BD"/>
            </w:tcBorders>
          </w:tcPr>
          <w:p w:rsidR="00822877" w:rsidRPr="008211FD" w:rsidRDefault="00822877" w:rsidP="008211FD">
            <w:pPr>
              <w:pStyle w:val="NormalWeb"/>
              <w:spacing w:before="0" w:beforeAutospacing="0" w:after="0" w:afterAutospacing="0"/>
              <w:jc w:val="both"/>
              <w:rPr>
                <w:b/>
                <w:bCs/>
                <w:sz w:val="20"/>
                <w:szCs w:val="20"/>
              </w:rPr>
            </w:pPr>
            <w:r w:rsidRPr="008211FD">
              <w:rPr>
                <w:b/>
                <w:bCs/>
                <w:sz w:val="20"/>
                <w:szCs w:val="20"/>
              </w:rPr>
              <w:t xml:space="preserve">Grupo Maubisa </w:t>
            </w:r>
          </w:p>
        </w:tc>
        <w:tc>
          <w:tcPr>
            <w:tcW w:w="3346" w:type="pct"/>
            <w:tcBorders>
              <w:top w:val="single" w:sz="8" w:space="0" w:color="4F81BD"/>
              <w:left w:val="single" w:sz="8" w:space="0" w:color="4F81BD"/>
              <w:bottom w:val="single" w:sz="8" w:space="0" w:color="4F81BD"/>
              <w:right w:val="single" w:sz="8" w:space="0" w:color="4F81BD"/>
            </w:tcBorders>
          </w:tcPr>
          <w:p w:rsidR="00822877" w:rsidRPr="008211FD" w:rsidRDefault="00822877" w:rsidP="008211FD">
            <w:pPr>
              <w:pStyle w:val="NormalWeb"/>
              <w:spacing w:before="0" w:beforeAutospacing="0" w:after="0" w:afterAutospacing="0"/>
              <w:jc w:val="both"/>
              <w:rPr>
                <w:sz w:val="20"/>
                <w:szCs w:val="20"/>
              </w:rPr>
            </w:pPr>
            <w:r w:rsidRPr="008211FD">
              <w:rPr>
                <w:sz w:val="18"/>
                <w:szCs w:val="18"/>
              </w:rPr>
              <w:t>●</w:t>
            </w:r>
            <w:r w:rsidRPr="008211FD">
              <w:rPr>
                <w:sz w:val="20"/>
                <w:szCs w:val="20"/>
              </w:rPr>
              <w:t xml:space="preserve"> Instituto para o Agronegócio Responsável (ARES)</w:t>
            </w:r>
            <w:r w:rsidRPr="008211FD">
              <w:rPr>
                <w:rStyle w:val="Refdenotaderodap"/>
                <w:sz w:val="20"/>
                <w:szCs w:val="20"/>
              </w:rPr>
              <w:footnoteReference w:id="259"/>
            </w:r>
          </w:p>
          <w:p w:rsidR="00822877" w:rsidRPr="008211FD" w:rsidRDefault="00822877" w:rsidP="008211FD">
            <w:pPr>
              <w:pStyle w:val="NormalWeb"/>
              <w:spacing w:before="0" w:beforeAutospacing="0" w:after="0" w:afterAutospacing="0"/>
              <w:jc w:val="both"/>
              <w:rPr>
                <w:sz w:val="20"/>
                <w:szCs w:val="20"/>
              </w:rPr>
            </w:pPr>
            <w:r w:rsidRPr="008211FD">
              <w:rPr>
                <w:sz w:val="20"/>
                <w:szCs w:val="20"/>
              </w:rPr>
              <w:t>Conselheiros Marcos Jank e Márcio Lopes de Freitas</w:t>
            </w:r>
          </w:p>
        </w:tc>
      </w:tr>
      <w:tr w:rsidR="00822877" w:rsidRPr="008211FD" w:rsidTr="008211FD">
        <w:tc>
          <w:tcPr>
            <w:tcW w:w="1654"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8211FD">
            <w:pPr>
              <w:pStyle w:val="NormalWeb"/>
              <w:spacing w:before="0" w:beforeAutospacing="0" w:after="0" w:afterAutospacing="0"/>
              <w:jc w:val="both"/>
              <w:rPr>
                <w:b/>
                <w:bCs/>
                <w:sz w:val="20"/>
                <w:szCs w:val="20"/>
              </w:rPr>
            </w:pPr>
            <w:r w:rsidRPr="008211FD">
              <w:rPr>
                <w:b/>
                <w:bCs/>
                <w:sz w:val="20"/>
                <w:szCs w:val="20"/>
              </w:rPr>
              <w:t>Nestlé do Brasil</w:t>
            </w:r>
          </w:p>
        </w:tc>
        <w:tc>
          <w:tcPr>
            <w:tcW w:w="334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8211FD">
            <w:pPr>
              <w:pStyle w:val="NormalWeb"/>
              <w:spacing w:before="0" w:beforeAutospacing="0" w:after="0" w:afterAutospacing="0"/>
              <w:jc w:val="both"/>
              <w:rPr>
                <w:sz w:val="20"/>
                <w:szCs w:val="20"/>
              </w:rPr>
            </w:pPr>
            <w:r w:rsidRPr="008211FD">
              <w:rPr>
                <w:sz w:val="18"/>
                <w:szCs w:val="18"/>
              </w:rPr>
              <w:t>●</w:t>
            </w:r>
            <w:r w:rsidRPr="008211FD">
              <w:rPr>
                <w:sz w:val="20"/>
                <w:szCs w:val="20"/>
              </w:rPr>
              <w:t xml:space="preserve"> Instituto de Estudos do Agribusiness (braço técnico da ABAG)</w:t>
            </w:r>
          </w:p>
          <w:p w:rsidR="00822877" w:rsidRPr="008211FD" w:rsidRDefault="00822877" w:rsidP="008211FD">
            <w:pPr>
              <w:pStyle w:val="NormalWeb"/>
              <w:spacing w:before="0" w:beforeAutospacing="0" w:after="0" w:afterAutospacing="0"/>
              <w:jc w:val="both"/>
              <w:rPr>
                <w:sz w:val="20"/>
                <w:szCs w:val="20"/>
              </w:rPr>
            </w:pPr>
            <w:r w:rsidRPr="008211FD">
              <w:rPr>
                <w:sz w:val="20"/>
                <w:szCs w:val="20"/>
              </w:rPr>
              <w:t>Conselheiro Marcos Jank</w:t>
            </w:r>
          </w:p>
        </w:tc>
      </w:tr>
      <w:tr w:rsidR="00822877" w:rsidRPr="008211FD" w:rsidTr="008211FD">
        <w:tc>
          <w:tcPr>
            <w:tcW w:w="1654" w:type="pct"/>
            <w:tcBorders>
              <w:top w:val="single" w:sz="8" w:space="0" w:color="4F81BD"/>
              <w:left w:val="single" w:sz="8" w:space="0" w:color="4F81BD"/>
              <w:bottom w:val="single" w:sz="8" w:space="0" w:color="4F81BD"/>
              <w:right w:val="single" w:sz="8" w:space="0" w:color="4F81BD"/>
            </w:tcBorders>
          </w:tcPr>
          <w:p w:rsidR="00822877" w:rsidRPr="008211FD" w:rsidRDefault="00822877" w:rsidP="008211FD">
            <w:pPr>
              <w:pStyle w:val="NormalWeb"/>
              <w:spacing w:before="0" w:beforeAutospacing="0" w:after="0" w:afterAutospacing="0"/>
              <w:jc w:val="both"/>
              <w:rPr>
                <w:b/>
                <w:bCs/>
                <w:sz w:val="20"/>
                <w:szCs w:val="20"/>
              </w:rPr>
            </w:pPr>
            <w:r w:rsidRPr="008211FD">
              <w:rPr>
                <w:b/>
                <w:bCs/>
                <w:sz w:val="20"/>
                <w:szCs w:val="20"/>
              </w:rPr>
              <w:t>Ioschpe Maxion</w:t>
            </w:r>
          </w:p>
        </w:tc>
        <w:tc>
          <w:tcPr>
            <w:tcW w:w="3346" w:type="pct"/>
            <w:tcBorders>
              <w:top w:val="single" w:sz="8" w:space="0" w:color="4F81BD"/>
              <w:left w:val="single" w:sz="8" w:space="0" w:color="4F81BD"/>
              <w:bottom w:val="single" w:sz="8" w:space="0" w:color="4F81BD"/>
              <w:right w:val="single" w:sz="8" w:space="0" w:color="4F81BD"/>
            </w:tcBorders>
          </w:tcPr>
          <w:p w:rsidR="00822877" w:rsidRPr="008211FD" w:rsidRDefault="00822877" w:rsidP="008211FD">
            <w:pPr>
              <w:pStyle w:val="NormalWeb"/>
              <w:spacing w:before="0" w:beforeAutospacing="0" w:after="0" w:afterAutospacing="0"/>
              <w:jc w:val="both"/>
              <w:rPr>
                <w:sz w:val="20"/>
                <w:szCs w:val="20"/>
              </w:rPr>
            </w:pPr>
            <w:r w:rsidRPr="008211FD">
              <w:rPr>
                <w:sz w:val="18"/>
                <w:szCs w:val="18"/>
              </w:rPr>
              <w:t>●</w:t>
            </w:r>
            <w:r w:rsidRPr="008211FD">
              <w:rPr>
                <w:sz w:val="20"/>
                <w:szCs w:val="20"/>
              </w:rPr>
              <w:t xml:space="preserve"> Associação Brasileira de Marketing Rural e Agronegócio</w:t>
            </w:r>
          </w:p>
          <w:p w:rsidR="00822877" w:rsidRPr="008211FD" w:rsidRDefault="00822877" w:rsidP="008211FD">
            <w:pPr>
              <w:pStyle w:val="NormalWeb"/>
              <w:spacing w:before="0" w:beforeAutospacing="0" w:after="0" w:afterAutospacing="0"/>
              <w:jc w:val="both"/>
              <w:rPr>
                <w:sz w:val="20"/>
                <w:szCs w:val="20"/>
              </w:rPr>
            </w:pPr>
            <w:r w:rsidRPr="008211FD">
              <w:rPr>
                <w:sz w:val="20"/>
                <w:szCs w:val="20"/>
              </w:rPr>
              <w:t>Conselheiro Márcio Lopes de Freitas</w:t>
            </w:r>
          </w:p>
        </w:tc>
      </w:tr>
      <w:tr w:rsidR="00822877" w:rsidRPr="008211FD" w:rsidTr="008211FD">
        <w:tc>
          <w:tcPr>
            <w:tcW w:w="1654"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8211FD">
            <w:pPr>
              <w:pStyle w:val="NormalWeb"/>
              <w:spacing w:before="0" w:beforeAutospacing="0" w:after="0" w:afterAutospacing="0"/>
              <w:jc w:val="both"/>
              <w:rPr>
                <w:b/>
                <w:bCs/>
                <w:sz w:val="20"/>
                <w:szCs w:val="20"/>
              </w:rPr>
            </w:pPr>
            <w:r w:rsidRPr="008211FD">
              <w:rPr>
                <w:b/>
                <w:bCs/>
                <w:sz w:val="20"/>
                <w:szCs w:val="20"/>
              </w:rPr>
              <w:t>Price Watherhouse Coopers Brasil</w:t>
            </w:r>
          </w:p>
        </w:tc>
        <w:tc>
          <w:tcPr>
            <w:tcW w:w="334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8211FD">
            <w:pPr>
              <w:pStyle w:val="NormalWeb"/>
              <w:spacing w:before="0" w:beforeAutospacing="0" w:after="0" w:afterAutospacing="0"/>
              <w:jc w:val="both"/>
              <w:rPr>
                <w:sz w:val="20"/>
                <w:szCs w:val="20"/>
              </w:rPr>
            </w:pPr>
            <w:r w:rsidRPr="008211FD">
              <w:rPr>
                <w:sz w:val="18"/>
                <w:szCs w:val="18"/>
              </w:rPr>
              <w:t xml:space="preserve">● </w:t>
            </w:r>
            <w:r w:rsidRPr="008211FD">
              <w:rPr>
                <w:sz w:val="20"/>
                <w:szCs w:val="20"/>
              </w:rPr>
              <w:t>Sistema Agrishow – Feira Internacional em Tecnologia Agrícola</w:t>
            </w:r>
          </w:p>
          <w:p w:rsidR="00822877" w:rsidRPr="008211FD" w:rsidRDefault="00822877" w:rsidP="008211FD">
            <w:pPr>
              <w:pStyle w:val="NormalWeb"/>
              <w:spacing w:before="0" w:beforeAutospacing="0" w:after="0" w:afterAutospacing="0"/>
              <w:jc w:val="both"/>
              <w:rPr>
                <w:sz w:val="20"/>
                <w:szCs w:val="20"/>
              </w:rPr>
            </w:pPr>
            <w:r w:rsidRPr="008211FD">
              <w:rPr>
                <w:sz w:val="20"/>
                <w:szCs w:val="20"/>
              </w:rPr>
              <w:t>Conselheiro Luiz Aubert Neto</w:t>
            </w:r>
          </w:p>
        </w:tc>
      </w:tr>
      <w:tr w:rsidR="00822877" w:rsidRPr="008211FD" w:rsidTr="008211FD">
        <w:tc>
          <w:tcPr>
            <w:tcW w:w="1654" w:type="pct"/>
            <w:tcBorders>
              <w:top w:val="single" w:sz="8" w:space="0" w:color="4F81BD"/>
              <w:left w:val="single" w:sz="8" w:space="0" w:color="4F81BD"/>
              <w:bottom w:val="single" w:sz="8" w:space="0" w:color="4F81BD"/>
              <w:right w:val="single" w:sz="8" w:space="0" w:color="4F81BD"/>
            </w:tcBorders>
          </w:tcPr>
          <w:p w:rsidR="00822877" w:rsidRPr="008211FD" w:rsidRDefault="00822877" w:rsidP="008211FD">
            <w:pPr>
              <w:pStyle w:val="NormalWeb"/>
              <w:spacing w:before="0" w:beforeAutospacing="0" w:after="0" w:afterAutospacing="0"/>
              <w:jc w:val="both"/>
              <w:rPr>
                <w:b/>
                <w:bCs/>
                <w:sz w:val="20"/>
                <w:szCs w:val="20"/>
              </w:rPr>
            </w:pPr>
            <w:r w:rsidRPr="008211FD">
              <w:rPr>
                <w:b/>
                <w:bCs/>
                <w:sz w:val="20"/>
                <w:szCs w:val="20"/>
              </w:rPr>
              <w:t>União da Indústria da Cana-de-açúcar (ÚNICA)</w:t>
            </w:r>
          </w:p>
        </w:tc>
        <w:tc>
          <w:tcPr>
            <w:tcW w:w="3346" w:type="pct"/>
            <w:tcBorders>
              <w:top w:val="single" w:sz="8" w:space="0" w:color="4F81BD"/>
              <w:left w:val="single" w:sz="8" w:space="0" w:color="4F81BD"/>
              <w:bottom w:val="single" w:sz="8" w:space="0" w:color="4F81BD"/>
              <w:right w:val="single" w:sz="8" w:space="0" w:color="4F81BD"/>
            </w:tcBorders>
          </w:tcPr>
          <w:p w:rsidR="00822877" w:rsidRPr="008211FD" w:rsidRDefault="00822877" w:rsidP="008211FD">
            <w:pPr>
              <w:pStyle w:val="NormalWeb"/>
              <w:spacing w:before="0" w:beforeAutospacing="0" w:after="0" w:afterAutospacing="0"/>
              <w:jc w:val="both"/>
              <w:rPr>
                <w:sz w:val="20"/>
                <w:szCs w:val="20"/>
              </w:rPr>
            </w:pPr>
            <w:r w:rsidRPr="008211FD">
              <w:rPr>
                <w:sz w:val="18"/>
                <w:szCs w:val="18"/>
              </w:rPr>
              <w:t xml:space="preserve">● </w:t>
            </w:r>
            <w:r w:rsidRPr="008211FD">
              <w:rPr>
                <w:sz w:val="20"/>
                <w:szCs w:val="20"/>
              </w:rPr>
              <w:t xml:space="preserve">Instituto de Estudos do Comércio e Relações Internacionais </w:t>
            </w:r>
          </w:p>
          <w:p w:rsidR="00822877" w:rsidRPr="008211FD" w:rsidRDefault="00822877" w:rsidP="008211FD">
            <w:pPr>
              <w:pStyle w:val="NormalWeb"/>
              <w:spacing w:before="0" w:beforeAutospacing="0" w:after="0" w:afterAutospacing="0"/>
              <w:jc w:val="both"/>
              <w:rPr>
                <w:sz w:val="20"/>
                <w:szCs w:val="20"/>
              </w:rPr>
            </w:pPr>
            <w:r w:rsidRPr="008211FD">
              <w:rPr>
                <w:sz w:val="20"/>
                <w:szCs w:val="20"/>
              </w:rPr>
              <w:t>(ICONE)</w:t>
            </w:r>
          </w:p>
          <w:p w:rsidR="00822877" w:rsidRPr="008211FD" w:rsidRDefault="00822877" w:rsidP="008211FD">
            <w:pPr>
              <w:pStyle w:val="NormalWeb"/>
              <w:spacing w:before="0" w:beforeAutospacing="0" w:after="0" w:afterAutospacing="0"/>
              <w:jc w:val="both"/>
              <w:rPr>
                <w:sz w:val="20"/>
                <w:szCs w:val="20"/>
              </w:rPr>
            </w:pPr>
            <w:r w:rsidRPr="008211FD">
              <w:rPr>
                <w:sz w:val="20"/>
                <w:szCs w:val="20"/>
              </w:rPr>
              <w:t>Conselheiro Marcos Jank</w:t>
            </w:r>
          </w:p>
        </w:tc>
      </w:tr>
      <w:tr w:rsidR="00822877" w:rsidRPr="008211FD" w:rsidTr="008211FD">
        <w:tc>
          <w:tcPr>
            <w:tcW w:w="1654"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8211FD">
            <w:pPr>
              <w:pStyle w:val="NormalWeb"/>
              <w:spacing w:before="0" w:beforeAutospacing="0" w:after="0" w:afterAutospacing="0"/>
              <w:jc w:val="both"/>
              <w:rPr>
                <w:b/>
                <w:bCs/>
                <w:sz w:val="20"/>
                <w:szCs w:val="20"/>
              </w:rPr>
            </w:pPr>
            <w:r w:rsidRPr="008211FD">
              <w:rPr>
                <w:b/>
                <w:bCs/>
                <w:sz w:val="20"/>
                <w:szCs w:val="20"/>
              </w:rPr>
              <w:t>Organização das Cooperativas Brasileiras (OCB)</w:t>
            </w:r>
          </w:p>
        </w:tc>
        <w:tc>
          <w:tcPr>
            <w:tcW w:w="334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8211FD">
            <w:pPr>
              <w:pStyle w:val="NormalWeb"/>
              <w:spacing w:before="0" w:beforeAutospacing="0" w:after="0" w:afterAutospacing="0"/>
              <w:jc w:val="both"/>
              <w:rPr>
                <w:sz w:val="20"/>
                <w:szCs w:val="20"/>
              </w:rPr>
            </w:pPr>
            <w:r w:rsidRPr="008211FD">
              <w:rPr>
                <w:sz w:val="18"/>
                <w:szCs w:val="18"/>
              </w:rPr>
              <w:t xml:space="preserve">● </w:t>
            </w:r>
            <w:r w:rsidRPr="008211FD">
              <w:rPr>
                <w:sz w:val="20"/>
                <w:szCs w:val="20"/>
              </w:rPr>
              <w:t>Programa de Estudos e Negócios do Sistema Agroindustrial (PENSA/USP)</w:t>
            </w:r>
            <w:r w:rsidRPr="008211FD">
              <w:rPr>
                <w:rStyle w:val="Refdenotaderodap"/>
                <w:sz w:val="20"/>
                <w:szCs w:val="20"/>
              </w:rPr>
              <w:footnoteReference w:id="260"/>
            </w:r>
          </w:p>
          <w:p w:rsidR="00822877" w:rsidRPr="008211FD" w:rsidRDefault="00822877" w:rsidP="008211FD">
            <w:pPr>
              <w:pStyle w:val="NormalWeb"/>
              <w:spacing w:before="0" w:beforeAutospacing="0" w:after="0" w:afterAutospacing="0"/>
              <w:jc w:val="both"/>
              <w:rPr>
                <w:sz w:val="20"/>
                <w:szCs w:val="20"/>
              </w:rPr>
            </w:pPr>
            <w:r w:rsidRPr="008211FD">
              <w:rPr>
                <w:sz w:val="20"/>
                <w:szCs w:val="20"/>
              </w:rPr>
              <w:t>Conselheiro Marcos Jank</w:t>
            </w:r>
          </w:p>
        </w:tc>
      </w:tr>
    </w:tbl>
    <w:p w:rsidR="00CB3F9D" w:rsidRDefault="00CB3F9D" w:rsidP="00CB3F9D">
      <w:pPr>
        <w:pStyle w:val="NormalWeb"/>
        <w:spacing w:before="0" w:beforeAutospacing="0" w:after="0" w:afterAutospacing="0" w:line="360" w:lineRule="auto"/>
        <w:jc w:val="both"/>
      </w:pPr>
      <w:r>
        <w:rPr>
          <w:b/>
          <w:sz w:val="18"/>
          <w:szCs w:val="18"/>
        </w:rPr>
        <w:t>Elaboração própria</w:t>
      </w:r>
    </w:p>
    <w:p w:rsidR="00822877" w:rsidRDefault="00822877" w:rsidP="00C62FDC">
      <w:pPr>
        <w:pStyle w:val="NormalWeb"/>
        <w:spacing w:before="240" w:beforeAutospacing="0" w:after="240" w:afterAutospacing="0" w:line="360" w:lineRule="auto"/>
        <w:ind w:firstLine="708"/>
        <w:jc w:val="both"/>
      </w:pPr>
      <w:r>
        <w:t>Cada entidade associativa do empresariado rural elencada acima se reveste de especificidades próprias na divisão organizativa das classes dominantes agrárias brasileiras. Constituem, contudo, um complexo de entidades cuja teia sustenta e ramifica a ação político-ideológica e econômica dos dois principais aparelhos privados de hegemonia do patronato rural em tempos recentes (a OCB e a ABAG). Conforme Mendonça,</w:t>
      </w:r>
    </w:p>
    <w:p w:rsidR="00822877" w:rsidRPr="00A87F2F" w:rsidRDefault="00822877" w:rsidP="00822877">
      <w:pPr>
        <w:pStyle w:val="NormalWeb"/>
        <w:spacing w:before="0" w:beforeAutospacing="0" w:after="0" w:afterAutospacing="0"/>
        <w:ind w:left="2268"/>
        <w:jc w:val="both"/>
        <w:rPr>
          <w:sz w:val="20"/>
          <w:szCs w:val="20"/>
        </w:rPr>
      </w:pPr>
      <w:r>
        <w:rPr>
          <w:sz w:val="20"/>
          <w:szCs w:val="20"/>
        </w:rPr>
        <w:t xml:space="preserve">O novo projeto, hegemônico entre os segmentos patronais da “agricultura” brasileira, perpetraria tanto a potencialização da acumulação capitalista no País como um todo – e no campo em particular – quanto a facilitação da penetração do capital industrial, comercial e financeiro no Brasil (...). Diante disso, é possível afirmar que o binômio OCB/Abag contribuiu, fortemente, para a reconversão do Brasil ao </w:t>
      </w:r>
      <w:r>
        <w:rPr>
          <w:i/>
          <w:sz w:val="20"/>
          <w:szCs w:val="20"/>
        </w:rPr>
        <w:t>status</w:t>
      </w:r>
      <w:r>
        <w:rPr>
          <w:sz w:val="20"/>
          <w:szCs w:val="20"/>
        </w:rPr>
        <w:t xml:space="preserve"> de país agroexportador, na medida em que seu parque industrial foi lentamente sucateado e desnacionalizado no decorrer da década de 1990.</w:t>
      </w:r>
      <w:r>
        <w:rPr>
          <w:rStyle w:val="Refdenotaderodap"/>
          <w:sz w:val="20"/>
          <w:szCs w:val="20"/>
        </w:rPr>
        <w:footnoteReference w:id="261"/>
      </w:r>
    </w:p>
    <w:p w:rsidR="00822877" w:rsidRDefault="00822877" w:rsidP="00822877">
      <w:pPr>
        <w:pStyle w:val="NormalWeb"/>
        <w:spacing w:before="240" w:beforeAutospacing="0" w:after="0" w:afterAutospacing="0" w:line="360" w:lineRule="auto"/>
        <w:ind w:firstLine="708"/>
        <w:jc w:val="both"/>
      </w:pPr>
      <w:r>
        <w:t>A sigla “ABAG” não aparece nas centenas de perfis dos conselheiros expostos no endereço eletrônico do CDES. Todavia, ao “puxar a ponta do barbante” nos deparamos com a dimensão político-econômica que a ABAG envolve, representa e organiza. Não se trata apenas de uma teia organizativa de entidades, mas, sobretudo, no dizer de Mendonça, de um “</w:t>
      </w:r>
      <w:r w:rsidRPr="00B96E71">
        <w:rPr>
          <w:i/>
        </w:rPr>
        <w:t>pool</w:t>
      </w:r>
      <w:r>
        <w:t xml:space="preserve"> de grandes empresas produtoras de tecnologia agrícola de ponta” e do “predomínio evidente das grandes empresas alimentadoras do agronegócio”.</w:t>
      </w:r>
      <w:r>
        <w:rPr>
          <w:rStyle w:val="Refdenotaderodap"/>
        </w:rPr>
        <w:footnoteReference w:id="262"/>
      </w:r>
    </w:p>
    <w:p w:rsidR="00822877" w:rsidRDefault="00822877" w:rsidP="00822877">
      <w:pPr>
        <w:pStyle w:val="NormalWeb"/>
        <w:spacing w:before="0" w:beforeAutospacing="0" w:after="0" w:afterAutospacing="0" w:line="360" w:lineRule="auto"/>
        <w:ind w:firstLine="708"/>
        <w:jc w:val="both"/>
      </w:pPr>
      <w:r>
        <w:t xml:space="preserve">Diante disso, é possível afirmar que o CDES abrigava uma amostra, embora bastante minoritária, das frações agrárias da classe dominante. Leia-se minoritária em termos de representação numérica </w:t>
      </w:r>
      <w:r>
        <w:rPr>
          <w:i/>
        </w:rPr>
        <w:t xml:space="preserve">direta </w:t>
      </w:r>
      <w:r>
        <w:t xml:space="preserve">de conselheiros e numa leitura </w:t>
      </w:r>
      <w:r>
        <w:rPr>
          <w:i/>
        </w:rPr>
        <w:t>restrita</w:t>
      </w:r>
      <w:r>
        <w:t xml:space="preserve"> de seu entendimento: não do conjunto das forças econômico-sociais envolvido com elas, quer dizer, da expressão da imbricação de capitais de frações diversas no “campo”, conforme mostra o quadro 2.10 acima. </w:t>
      </w:r>
      <w:r w:rsidRPr="00526BC3">
        <w:t>Ne</w:t>
      </w:r>
      <w:r>
        <w:t xml:space="preserve">ste, não é preciso muito esforço para perceber o papel de intelectuais orgânicos assumidos por conselheiros como Márcio Lopes de Freitas e, principalmente, Marcos Jank. </w:t>
      </w:r>
    </w:p>
    <w:p w:rsidR="00822877" w:rsidRDefault="00822877" w:rsidP="00822877">
      <w:pPr>
        <w:pStyle w:val="NormalWeb"/>
        <w:spacing w:before="0" w:beforeAutospacing="0" w:after="0" w:afterAutospacing="0" w:line="360" w:lineRule="auto"/>
        <w:ind w:firstLine="708"/>
        <w:jc w:val="both"/>
      </w:pPr>
      <w:r>
        <w:t>Uma sumária investigação sobre o conselheiro Jank revelou estreita e militante presença em vários eventos (fóruns, encontros, seminários) e institutos e entidades patrocinadas pela ABAG. Foi bastante comum encontrá-lo colocando-se como porta-voz e defensor dos interesses do “agronegócio” em algumas ocasiões. Uma das quais nos interessa mais de perto foi o debate acerca da reprimarização e da desindustrialização na última década, por ocasião do Encontro Nacional de Comércio Exterior.</w:t>
      </w:r>
      <w:r>
        <w:rPr>
          <w:rStyle w:val="Refdenotaderodap"/>
        </w:rPr>
        <w:footnoteReference w:id="263"/>
      </w:r>
    </w:p>
    <w:p w:rsidR="00A82989" w:rsidRDefault="00822877" w:rsidP="00A82989">
      <w:pPr>
        <w:pStyle w:val="NormalWeb"/>
        <w:spacing w:before="0" w:beforeAutospacing="0" w:after="0" w:afterAutospacing="0" w:line="360" w:lineRule="auto"/>
        <w:ind w:firstLine="708"/>
        <w:jc w:val="both"/>
      </w:pPr>
      <w:r>
        <w:t xml:space="preserve">Divergindo dos comentários do diretor da </w:t>
      </w:r>
      <w:r w:rsidR="000834BC">
        <w:t>FIESP</w:t>
      </w:r>
      <w:r>
        <w:t xml:space="preserve">, Roberto Giannetti da Fonseca e do vice-presidente da Associação de Comércio Exterior do Brasil (AEB), José Augusto de Castro, Jank saiu em defesa do setor ao afirmar que exportar alimentos e energia não é “uma volta ao passado”, pois, segundo ele “para um grão de soja é preciso uma quantidade imensa de máquinas, químicas, processamento”, acionando o conceito de “agronegócio” construído pela OCB/ABAG a fim de mobilizar argumentos em favor do setor. Não haveria que se falar, segundo Jank, em que aumento do peso das </w:t>
      </w:r>
      <w:r>
        <w:rPr>
          <w:i/>
        </w:rPr>
        <w:t>commodities</w:t>
      </w:r>
      <w:r>
        <w:t xml:space="preserve"> na pauta de exportações causaria desindustrialização: “não há sinais de desindustrialização </w:t>
      </w:r>
      <w:r>
        <w:rPr>
          <w:i/>
        </w:rPr>
        <w:t>e o Brasil está indo apenas na direção de sua vocação e do que é esperado”.</w:t>
      </w:r>
      <w:r>
        <w:t xml:space="preserve"> Segundo a reportagem, Jank ainda afirmou que “a indústria de </w:t>
      </w:r>
      <w:r>
        <w:rPr>
          <w:i/>
        </w:rPr>
        <w:t>commodities</w:t>
      </w:r>
      <w:r>
        <w:t xml:space="preserve"> é altamente desenvolvida em tecnologia e que, por distorções da cadeia produtiva, é muitas vezes mais lucrativa do que a indústria de transformação”.</w:t>
      </w:r>
      <w:r>
        <w:rPr>
          <w:rStyle w:val="Refdenotaderodap"/>
        </w:rPr>
        <w:footnoteReference w:id="264"/>
      </w:r>
      <w:r>
        <w:t xml:space="preserve"> “Há distorções que beneficiam o produto básico. O manufaturado nem sempre é tão lucrativo”,</w:t>
      </w:r>
      <w:r>
        <w:rPr>
          <w:rStyle w:val="Refdenotaderodap"/>
        </w:rPr>
        <w:footnoteReference w:id="265"/>
      </w:r>
      <w:r>
        <w:t xml:space="preserve"> argumentou.</w:t>
      </w:r>
    </w:p>
    <w:p w:rsidR="00822877" w:rsidRDefault="00822877" w:rsidP="00F60BB0">
      <w:pPr>
        <w:pStyle w:val="NormalWeb"/>
        <w:spacing w:before="0" w:beforeAutospacing="0" w:after="240" w:afterAutospacing="0" w:line="360" w:lineRule="auto"/>
        <w:ind w:firstLine="708"/>
        <w:jc w:val="both"/>
      </w:pPr>
      <w:r>
        <w:t xml:space="preserve">O contra-ataque de Jank permite perceber uma das frentes de construção de um discurso hegemônico do “agronegócio”, agora transposto à indústria de </w:t>
      </w:r>
      <w:r>
        <w:rPr>
          <w:i/>
        </w:rPr>
        <w:t>commodities</w:t>
      </w:r>
      <w:r>
        <w:t>: lucratividade, competência, êxito, competitividade, modernização, vocação agrária do país (própria do ruralismo), são algumas idéias-chaves mobilizadas. Na “cadeia produtiva” da indústria destaca-se a “alta tecnologia desenvolvida” e o lucro envolvidos, apresentando-a a partir de uma visão homogeneizadora a partir dos de cima, dos grandes grupos e acionistas controladores, camuflando dramáticas desigualdades, formas de exploração e subalternização dos pequenos produtores e fornecedores. Permite também perceber as disputas entre as frações das classes dominantes pela apropriação do excedente econômico, pelo melhor posicionamento na estrutura econômico-social do país e também as fissuras existentes no bloco do poder.</w:t>
      </w:r>
    </w:p>
    <w:p w:rsidR="006F620B" w:rsidRPr="003F3EC6" w:rsidRDefault="006F620B" w:rsidP="006F620B">
      <w:pPr>
        <w:pStyle w:val="NormalWeb"/>
        <w:spacing w:before="0" w:beforeAutospacing="0" w:after="240" w:afterAutospacing="0" w:line="360" w:lineRule="auto"/>
        <w:ind w:firstLine="708"/>
        <w:jc w:val="both"/>
        <w:rPr>
          <w:b/>
        </w:rPr>
      </w:pPr>
      <w:r w:rsidRPr="003F3EC6">
        <w:rPr>
          <w:b/>
        </w:rPr>
        <w:t>2.3.3.3 – Sumári</w:t>
      </w:r>
      <w:r w:rsidR="00366569" w:rsidRPr="003F3EC6">
        <w:rPr>
          <w:b/>
        </w:rPr>
        <w:t xml:space="preserve">a reflexão sobre </w:t>
      </w:r>
      <w:r w:rsidR="005674C0" w:rsidRPr="003F3EC6">
        <w:rPr>
          <w:b/>
        </w:rPr>
        <w:t>o debate</w:t>
      </w:r>
      <w:r w:rsidR="00B20A74" w:rsidRPr="003F3EC6">
        <w:rPr>
          <w:b/>
        </w:rPr>
        <w:t xml:space="preserve"> da commoditização</w:t>
      </w:r>
    </w:p>
    <w:p w:rsidR="005A0195" w:rsidRDefault="00822877" w:rsidP="00822877">
      <w:pPr>
        <w:pStyle w:val="NormalWeb"/>
        <w:spacing w:before="0" w:beforeAutospacing="0" w:after="0" w:afterAutospacing="0" w:line="360" w:lineRule="auto"/>
        <w:ind w:firstLine="708"/>
        <w:jc w:val="both"/>
      </w:pPr>
      <w:r>
        <w:t>Existe consistente e ampla literatura econômica que defende a hipótese de que o Brasil atravessa, desde meados da década de 1980, um processo de desindustrialização</w:t>
      </w:r>
      <w:r w:rsidR="003156B9">
        <w:t>,</w:t>
      </w:r>
      <w:r>
        <w:t xml:space="preserve"> acelerado nos anos 90, mantido e aprofundado na primeira década do século XXI. Coligado a isto, advoga que o advento do processo de reprimarização da pauta exportadora, impulsionada por uma conjuntura i</w:t>
      </w:r>
      <w:r w:rsidR="003156B9">
        <w:t>nternacional bastante favorável</w:t>
      </w:r>
      <w:r>
        <w:t>, evidencia</w:t>
      </w:r>
      <w:r w:rsidR="00132E62">
        <w:t>ria</w:t>
      </w:r>
      <w:r>
        <w:t xml:space="preserve"> a ascensão de uma fração </w:t>
      </w:r>
      <w:r w:rsidR="003156B9">
        <w:t xml:space="preserve">produtora e </w:t>
      </w:r>
      <w:r>
        <w:t xml:space="preserve">exportadora de </w:t>
      </w:r>
      <w:r>
        <w:rPr>
          <w:i/>
        </w:rPr>
        <w:t>commodities</w:t>
      </w:r>
      <w:r>
        <w:t xml:space="preserve"> e, neste particular, o “agronegócio” assum</w:t>
      </w:r>
      <w:r w:rsidR="00132E62">
        <w:t>iria</w:t>
      </w:r>
      <w:r>
        <w:t xml:space="preserve"> posição fundamental</w:t>
      </w:r>
      <w:r w:rsidR="005A0195">
        <w:t>.</w:t>
      </w:r>
    </w:p>
    <w:p w:rsidR="00132E62" w:rsidRPr="003F3EC6" w:rsidRDefault="00132E62" w:rsidP="00822877">
      <w:pPr>
        <w:pStyle w:val="NormalWeb"/>
        <w:spacing w:before="0" w:beforeAutospacing="0" w:after="0" w:afterAutospacing="0" w:line="360" w:lineRule="auto"/>
        <w:ind w:firstLine="708"/>
        <w:jc w:val="both"/>
      </w:pPr>
      <w:r w:rsidRPr="003F3EC6">
        <w:t>Por mais relevante que seja, o debate sobre a reprimarização e a desindustrialização</w:t>
      </w:r>
      <w:r w:rsidR="00B20A74" w:rsidRPr="003F3EC6">
        <w:t xml:space="preserve"> escapa do escopo desta tese. Neste item, pretendemos </w:t>
      </w:r>
      <w:r w:rsidR="00D04387" w:rsidRPr="003F3EC6">
        <w:t>tecer algumas considerações da</w:t>
      </w:r>
      <w:r w:rsidR="00B20A74" w:rsidRPr="003F3EC6">
        <w:t xml:space="preserve"> extrema complexificação dessas relações:</w:t>
      </w:r>
      <w:r w:rsidR="00D04387" w:rsidRPr="003F3EC6">
        <w:t xml:space="preserve">partindo do estudo de caso das empresas e grupos econômicos representados no CDES, apesar de uma parte dos seus investimentos e participações corporativas envolver setores e atividades voltadas à commoditização, </w:t>
      </w:r>
      <w:r w:rsidR="00035058" w:rsidRPr="003F3EC6">
        <w:t xml:space="preserve">percebemos claramente </w:t>
      </w:r>
      <w:r w:rsidR="00F60BB0" w:rsidRPr="003F3EC6">
        <w:t>a</w:t>
      </w:r>
      <w:r w:rsidR="00035058" w:rsidRPr="003F3EC6">
        <w:t xml:space="preserve"> elas não se limita: </w:t>
      </w:r>
      <w:r w:rsidR="00A82989" w:rsidRPr="003F3EC6">
        <w:t xml:space="preserve">investigamos como </w:t>
      </w:r>
      <w:r w:rsidR="00035058" w:rsidRPr="003F3EC6">
        <w:t>os setores do capital se ramifica</w:t>
      </w:r>
      <w:r w:rsidR="00A82989" w:rsidRPr="003F3EC6">
        <w:t>ra</w:t>
      </w:r>
      <w:r w:rsidR="00F60BB0" w:rsidRPr="003F3EC6">
        <w:t>m e se interp</w:t>
      </w:r>
      <w:r w:rsidR="00035058" w:rsidRPr="003F3EC6">
        <w:t>enetra</w:t>
      </w:r>
      <w:r w:rsidR="00A82989" w:rsidRPr="003F3EC6">
        <w:t>ra</w:t>
      </w:r>
      <w:r w:rsidR="00035058" w:rsidRPr="003F3EC6">
        <w:t xml:space="preserve">m, principalmente quando </w:t>
      </w:r>
      <w:r w:rsidR="00F60BB0" w:rsidRPr="003F3EC6">
        <w:t>se tratam de grandes capitais monopolistas.</w:t>
      </w:r>
    </w:p>
    <w:p w:rsidR="003156B9" w:rsidRDefault="00830F34" w:rsidP="003156B9">
      <w:pPr>
        <w:pStyle w:val="NormalWeb"/>
        <w:spacing w:before="0" w:beforeAutospacing="0" w:after="0" w:afterAutospacing="0" w:line="360" w:lineRule="auto"/>
        <w:ind w:firstLine="708"/>
        <w:jc w:val="both"/>
      </w:pPr>
      <w:r>
        <w:t>A</w:t>
      </w:r>
      <w:r w:rsidR="00822877">
        <w:t xml:space="preserve"> complexidade assumida pela configuração da propriedade agrária no Brasil nas décadas mais recentes, principalmente no pós-64 com o surgimento dos complexos agroindustriais (CAIs), torna complicad</w:t>
      </w:r>
      <w:r w:rsidR="003156B9">
        <w:t>a</w:t>
      </w:r>
      <w:r w:rsidR="00822877">
        <w:t xml:space="preserve"> a rígida separação entre os grupos ou agentes econômicos que compõe a fração industrial e a agrária. O surgimento de um “novo patronato agrário”, advindo do processo de dominação direta do capital sobre a terra, significou alterações na composição social das classes dominantes vinculadas ao campo. Mendonça menciona que tal processo derivou em redefinições de conceitos, como o de “latifúndio”, “que passaria a conotar não mais o tradicional coronel detentor de terras improdutivas, </w:t>
      </w:r>
      <w:r w:rsidR="00822877" w:rsidRPr="005A0195">
        <w:rPr>
          <w:i/>
        </w:rPr>
        <w:t>mas sim os grandes grupos econômicos de distintas extrações – sobretudo a burguesia financeira</w:t>
      </w:r>
      <w:r w:rsidR="00822877">
        <w:t xml:space="preserve"> – e em fase de extrema concentração de seus negócios”. </w:t>
      </w:r>
      <w:r w:rsidR="00822877">
        <w:rPr>
          <w:rStyle w:val="Refdenotaderodap"/>
        </w:rPr>
        <w:footnoteReference w:id="266"/>
      </w:r>
    </w:p>
    <w:p w:rsidR="003156B9" w:rsidRDefault="00822877" w:rsidP="003156B9">
      <w:pPr>
        <w:pStyle w:val="NormalWeb"/>
        <w:spacing w:before="0" w:beforeAutospacing="0" w:after="0" w:afterAutospacing="0" w:line="360" w:lineRule="auto"/>
        <w:ind w:firstLine="708"/>
        <w:jc w:val="both"/>
      </w:pPr>
      <w:r>
        <w:t>Ora, s</w:t>
      </w:r>
      <w:r w:rsidR="003156B9">
        <w:t xml:space="preserve">ob esta perspectiva, tratar da commoditização </w:t>
      </w:r>
      <w:r>
        <w:t>da pauta exportadora e da desindustrialização como relativa perda político-econômica da posição da fração industrial faz sentido apenas parcialmente, ou seja, se obscurecermos a concepção de que a própria fração industrial não é um bloco monolít</w:t>
      </w:r>
      <w:r w:rsidR="005674C0">
        <w:t xml:space="preserve">ico na formação dos capitais que a compõe </w:t>
      </w:r>
      <w:r>
        <w:t xml:space="preserve">e </w:t>
      </w:r>
      <w:r w:rsidR="005674C0">
        <w:t xml:space="preserve">na formulação de </w:t>
      </w:r>
      <w:r>
        <w:t>interesses. Mendonça destaca que o setor agroexportador brasileiro há tempos associou-se às demais frações do capital, caracterizando-se como “</w:t>
      </w:r>
      <w:r w:rsidRPr="00AD69DB">
        <w:rPr>
          <w:i/>
        </w:rPr>
        <w:t>pool</w:t>
      </w:r>
      <w:r>
        <w:t xml:space="preserve"> de grandes empresas” da qual a OCB e a ABAG (cf. amostra no quadro 2.10) foram constituídas.</w:t>
      </w:r>
    </w:p>
    <w:p w:rsidR="00822877" w:rsidRDefault="00822877" w:rsidP="003156B9">
      <w:pPr>
        <w:pStyle w:val="NormalWeb"/>
        <w:spacing w:before="0" w:beforeAutospacing="0" w:after="0" w:afterAutospacing="0" w:line="360" w:lineRule="auto"/>
        <w:ind w:firstLine="708"/>
        <w:jc w:val="both"/>
      </w:pPr>
      <w:r>
        <w:t xml:space="preserve">A intenção é a de alertar para o cuidado que devemos ter ao tratar das configurações das classes e frações de classes dominantes nas relações de produção capitalistas mais recentes. Trata-se, sem dúvidas, de um debate espinhoso, ao qual somente podemos enunciar e levantar algumas problematizações. O debate remete às considerações iniciais deste trabalho, qual seja, a da </w:t>
      </w:r>
      <w:r w:rsidRPr="00273CA7">
        <w:rPr>
          <w:i/>
        </w:rPr>
        <w:t>relativa soldagem</w:t>
      </w:r>
      <w:r>
        <w:t xml:space="preserve"> entre as diferentes frações de classe na fase do capitalismo monopolista.</w:t>
      </w:r>
    </w:p>
    <w:p w:rsidR="00593F82" w:rsidRDefault="00822877" w:rsidP="00822877">
      <w:pPr>
        <w:pStyle w:val="NormalWeb"/>
        <w:spacing w:before="0" w:beforeAutospacing="0" w:after="0" w:afterAutospacing="0" w:line="360" w:lineRule="auto"/>
        <w:ind w:firstLine="708"/>
        <w:jc w:val="both"/>
      </w:pPr>
      <w:r>
        <w:t>No âmbito propriamente da nossa pesquisa, a investigação acerca dos grupos e firmas representados pelos empresários do CDES deixou suficientemente claro que</w:t>
      </w:r>
      <w:r w:rsidR="00E62FC9">
        <w:t xml:space="preserve"> os grandes capitais, </w:t>
      </w:r>
      <w:r w:rsidR="009B283B">
        <w:t xml:space="preserve">de </w:t>
      </w:r>
      <w:r w:rsidR="00E62FC9">
        <w:t xml:space="preserve">diferentes origens, </w:t>
      </w:r>
      <w:r w:rsidR="00E62FC9" w:rsidRPr="005A0195">
        <w:rPr>
          <w:i/>
        </w:rPr>
        <w:t>s</w:t>
      </w:r>
      <w:r w:rsidRPr="005A0195">
        <w:rPr>
          <w:i/>
        </w:rPr>
        <w:t xml:space="preserve">e capilarizavam </w:t>
      </w:r>
      <w:r w:rsidR="00E62FC9" w:rsidRPr="005A0195">
        <w:rPr>
          <w:i/>
        </w:rPr>
        <w:t xml:space="preserve">e se entrelaçavam </w:t>
      </w:r>
      <w:r w:rsidRPr="005A0195">
        <w:rPr>
          <w:i/>
        </w:rPr>
        <w:t>em divers</w:t>
      </w:r>
      <w:r w:rsidR="003E1B1C">
        <w:rPr>
          <w:i/>
        </w:rPr>
        <w:t>a</w:t>
      </w:r>
      <w:r w:rsidRPr="005A0195">
        <w:rPr>
          <w:i/>
        </w:rPr>
        <w:t xml:space="preserve">s </w:t>
      </w:r>
      <w:r w:rsidR="003E1B1C">
        <w:rPr>
          <w:i/>
        </w:rPr>
        <w:t xml:space="preserve">atividades dos </w:t>
      </w:r>
      <w:r w:rsidRPr="005A0195">
        <w:rPr>
          <w:i/>
        </w:rPr>
        <w:t>setores econômicos de distintas frações dominantes</w:t>
      </w:r>
      <w:r>
        <w:t>.</w:t>
      </w:r>
    </w:p>
    <w:p w:rsidR="003E1B1C" w:rsidRDefault="00822877" w:rsidP="003E1B1C">
      <w:pPr>
        <w:pStyle w:val="NormalWeb"/>
        <w:spacing w:before="0" w:beforeAutospacing="0" w:after="0" w:afterAutospacing="0" w:line="360" w:lineRule="auto"/>
        <w:ind w:firstLine="708"/>
        <w:jc w:val="both"/>
      </w:pPr>
      <w:r>
        <w:t xml:space="preserve"> Como seria enfadonho e cansativo listar as participações de cada conselheiro-empresário nos mais distintos setores – o que significaria inverter o quadro 2.7 -, penso que é mais eficaz expor os resultados a que chegamos acerca do que poderíamos designar de “grau de capilarização</w:t>
      </w:r>
      <w:r w:rsidR="005A0195">
        <w:t xml:space="preserve"> e de entrelaç</w:t>
      </w:r>
      <w:r w:rsidR="00593F82">
        <w:t>a</w:t>
      </w:r>
      <w:r w:rsidR="005A0195">
        <w:t>mento</w:t>
      </w:r>
      <w:r w:rsidR="005674C0">
        <w:t>” destes empresários, a partir do exame da classificação do quadro da 2.7 (CNAE):</w:t>
      </w:r>
    </w:p>
    <w:p w:rsidR="003E1B1C" w:rsidRPr="003F3EC6" w:rsidRDefault="00593F82" w:rsidP="00FA1601">
      <w:pPr>
        <w:pStyle w:val="NormalWeb"/>
        <w:numPr>
          <w:ilvl w:val="0"/>
          <w:numId w:val="18"/>
        </w:numPr>
        <w:spacing w:before="0" w:beforeAutospacing="0" w:after="0" w:afterAutospacing="0" w:line="360" w:lineRule="auto"/>
        <w:ind w:left="709"/>
        <w:jc w:val="both"/>
      </w:pPr>
      <w:r w:rsidRPr="003F3EC6">
        <w:t xml:space="preserve">dos </w:t>
      </w:r>
      <w:r w:rsidR="00DB0016" w:rsidRPr="003F3EC6">
        <w:t>8</w:t>
      </w:r>
      <w:r w:rsidR="00536204">
        <w:t>8</w:t>
      </w:r>
      <w:r w:rsidR="00822877" w:rsidRPr="003F3EC6">
        <w:t xml:space="preserve"> empresários que compuseram o CDES</w:t>
      </w:r>
      <w:r w:rsidRPr="003F3EC6">
        <w:t xml:space="preserve"> entre 2003 e 2010</w:t>
      </w:r>
      <w:r w:rsidR="00822877" w:rsidRPr="003F3EC6">
        <w:t xml:space="preserve">, </w:t>
      </w:r>
      <w:r w:rsidR="00536204">
        <w:t>84</w:t>
      </w:r>
      <w:r w:rsidR="00822877" w:rsidRPr="003F3EC6">
        <w:t xml:space="preserve"> credenciavam-se como empresários </w:t>
      </w:r>
      <w:r w:rsidR="00822877" w:rsidRPr="003F3EC6">
        <w:rPr>
          <w:i/>
        </w:rPr>
        <w:t>strictu sensu</w:t>
      </w:r>
      <w:r w:rsidR="00822877" w:rsidRPr="003F3EC6">
        <w:t xml:space="preserve">, isto é, ou eram lideranças de entidades associativas empresariais </w:t>
      </w:r>
      <w:r w:rsidR="00822877" w:rsidRPr="003F3EC6">
        <w:rPr>
          <w:i/>
        </w:rPr>
        <w:t>corporativas</w:t>
      </w:r>
      <w:r w:rsidR="00822877" w:rsidRPr="003F3EC6">
        <w:t xml:space="preserve"> e/ou eram prepostos ou s</w:t>
      </w:r>
      <w:r w:rsidR="00CA0999">
        <w:t>o</w:t>
      </w:r>
      <w:r w:rsidR="00822877" w:rsidRPr="003F3EC6">
        <w:t>ciosproprietários diretos dos meios de produção;</w:t>
      </w:r>
      <w:r w:rsidR="00822877" w:rsidRPr="003F3EC6">
        <w:rPr>
          <w:rStyle w:val="Refdenotaderodap"/>
        </w:rPr>
        <w:footnoteReference w:id="267"/>
      </w:r>
    </w:p>
    <w:p w:rsidR="003E1B1C" w:rsidRPr="003F3EC6" w:rsidRDefault="003E1B1C" w:rsidP="00FA1601">
      <w:pPr>
        <w:pStyle w:val="NormalWeb"/>
        <w:numPr>
          <w:ilvl w:val="0"/>
          <w:numId w:val="18"/>
        </w:numPr>
        <w:spacing w:before="0" w:beforeAutospacing="0" w:after="0" w:afterAutospacing="0" w:line="360" w:lineRule="auto"/>
        <w:ind w:left="709"/>
        <w:jc w:val="both"/>
      </w:pPr>
      <w:r w:rsidRPr="003F3EC6">
        <w:t>destes 8</w:t>
      </w:r>
      <w:r w:rsidR="00536204">
        <w:t>4</w:t>
      </w:r>
      <w:r w:rsidRPr="003F3EC6">
        <w:t xml:space="preserve"> empresários, </w:t>
      </w:r>
      <w:r w:rsidR="001A453F">
        <w:t>76</w:t>
      </w:r>
      <w:r w:rsidRPr="003F3EC6">
        <w:t xml:space="preserve"> não estavam vinculados diretamente ao capital portador de juros (banqueiros) </w:t>
      </w:r>
      <w:r w:rsidRPr="003F3EC6">
        <w:rPr>
          <w:i/>
        </w:rPr>
        <w:t>par excellence</w:t>
      </w:r>
      <w:r w:rsidRPr="003F3EC6">
        <w:t xml:space="preserve">, isto é, não se apropriavam do mais-valor </w:t>
      </w:r>
      <w:r w:rsidR="0019114D">
        <w:t>através de</w:t>
      </w:r>
      <w:r w:rsidRPr="003F3EC6">
        <w:t xml:space="preserve"> atividades </w:t>
      </w:r>
      <w:r w:rsidR="0019114D">
        <w:rPr>
          <w:i/>
        </w:rPr>
        <w:t xml:space="preserve">exclusivamente </w:t>
      </w:r>
      <w:r w:rsidR="005C2153" w:rsidRPr="003F3EC6">
        <w:t>monetárias</w:t>
      </w:r>
      <w:r w:rsidRPr="003F3EC6">
        <w:t>.</w:t>
      </w:r>
      <w:r w:rsidR="00F23F84" w:rsidRPr="003F3EC6">
        <w:t xml:space="preserve"> O entrelaçamento entre o capital monetário (ou portador de juros) e o capital industrial (produtor de mais-valor) no CDES será objeto de análise mais adiante</w:t>
      </w:r>
      <w:r w:rsidR="009B283B" w:rsidRPr="003F3EC6">
        <w:t xml:space="preserve">, mas parte dele já foi </w:t>
      </w:r>
      <w:r w:rsidR="00035058" w:rsidRPr="003F3EC6">
        <w:t>explicitado</w:t>
      </w:r>
      <w:r w:rsidR="009B283B" w:rsidRPr="003F3EC6">
        <w:t xml:space="preserve"> quando tratamos da ABAG</w:t>
      </w:r>
      <w:r w:rsidR="00F23F84" w:rsidRPr="003F3EC6">
        <w:t>.</w:t>
      </w:r>
    </w:p>
    <w:p w:rsidR="00F23F84" w:rsidRPr="003F3EC6" w:rsidRDefault="00593F82" w:rsidP="00FA1601">
      <w:pPr>
        <w:pStyle w:val="NormalWeb"/>
        <w:numPr>
          <w:ilvl w:val="0"/>
          <w:numId w:val="18"/>
        </w:numPr>
        <w:spacing w:before="0" w:beforeAutospacing="0" w:after="0" w:afterAutospacing="0" w:line="360" w:lineRule="auto"/>
        <w:ind w:left="709"/>
        <w:jc w:val="both"/>
      </w:pPr>
      <w:r w:rsidRPr="003F3EC6">
        <w:t>destes 7</w:t>
      </w:r>
      <w:r w:rsidR="001A453F">
        <w:t>6</w:t>
      </w:r>
      <w:r w:rsidRPr="003F3EC6">
        <w:t xml:space="preserve"> empresários</w:t>
      </w:r>
      <w:r w:rsidR="005C2153" w:rsidRPr="003F3EC6">
        <w:t xml:space="preserve"> da fração não monetária</w:t>
      </w:r>
      <w:r w:rsidRPr="003F3EC6">
        <w:t>, 3</w:t>
      </w:r>
      <w:r w:rsidR="00536204">
        <w:t>8</w:t>
      </w:r>
      <w:r w:rsidR="00822877" w:rsidRPr="003F3EC6">
        <w:t xml:space="preserve"> (</w:t>
      </w:r>
      <w:r w:rsidR="00536204">
        <w:t>50</w:t>
      </w:r>
      <w:r w:rsidR="00822877" w:rsidRPr="003F3EC6">
        <w:t>%) registravam participação em apenas um</w:t>
      </w:r>
      <w:r w:rsidRPr="003F3EC6">
        <w:t>a atividade</w:t>
      </w:r>
      <w:r w:rsidR="00822877" w:rsidRPr="003F3EC6">
        <w:t xml:space="preserve"> econômic</w:t>
      </w:r>
      <w:r w:rsidRPr="003F3EC6">
        <w:t>a</w:t>
      </w:r>
      <w:r w:rsidR="00822877" w:rsidRPr="003F3EC6">
        <w:t>;</w:t>
      </w:r>
    </w:p>
    <w:p w:rsidR="00822877" w:rsidRPr="003F3EC6" w:rsidRDefault="00822877" w:rsidP="00FA1601">
      <w:pPr>
        <w:pStyle w:val="NormalWeb"/>
        <w:numPr>
          <w:ilvl w:val="0"/>
          <w:numId w:val="18"/>
        </w:numPr>
        <w:spacing w:before="0" w:beforeAutospacing="0" w:after="0" w:afterAutospacing="0" w:line="360" w:lineRule="auto"/>
        <w:ind w:left="709"/>
        <w:jc w:val="both"/>
      </w:pPr>
      <w:r w:rsidRPr="003F3EC6">
        <w:t xml:space="preserve">dos demais </w:t>
      </w:r>
      <w:r w:rsidR="00536204">
        <w:t>38</w:t>
      </w:r>
      <w:r w:rsidRPr="003F3EC6">
        <w:t xml:space="preserve"> empresários</w:t>
      </w:r>
      <w:r w:rsidR="00536204">
        <w:t>,</w:t>
      </w:r>
      <w:r w:rsidR="004423D7">
        <w:t xml:space="preserve"> 2</w:t>
      </w:r>
      <w:r w:rsidR="00536204">
        <w:t>2</w:t>
      </w:r>
      <w:r w:rsidR="00593F82" w:rsidRPr="003F3EC6">
        <w:t>(</w:t>
      </w:r>
      <w:r w:rsidR="00641388">
        <w:t>29</w:t>
      </w:r>
      <w:r w:rsidR="009E4D02" w:rsidRPr="003F3EC6">
        <w:t>%</w:t>
      </w:r>
      <w:r w:rsidR="00641388">
        <w:t xml:space="preserve"> do total de 76</w:t>
      </w:r>
      <w:r w:rsidR="009E4D02" w:rsidRPr="003F3EC6">
        <w:t xml:space="preserve">) </w:t>
      </w:r>
      <w:r w:rsidRPr="003F3EC6">
        <w:t xml:space="preserve">tinham participação em 2 </w:t>
      </w:r>
      <w:r w:rsidR="009E4D02" w:rsidRPr="003F3EC6">
        <w:t>atividades econômicas, 11(1</w:t>
      </w:r>
      <w:r w:rsidR="00641388">
        <w:t>4</w:t>
      </w:r>
      <w:r w:rsidR="009E4D02" w:rsidRPr="003F3EC6">
        <w:t xml:space="preserve">%) </w:t>
      </w:r>
      <w:r w:rsidRPr="003F3EC6">
        <w:t xml:space="preserve">em 3 </w:t>
      </w:r>
      <w:r w:rsidR="00A02A11" w:rsidRPr="003F3EC6">
        <w:t>atividades econômica</w:t>
      </w:r>
      <w:r w:rsidRPr="003F3EC6">
        <w:t xml:space="preserve">s, </w:t>
      </w:r>
      <w:r w:rsidR="00641388">
        <w:t>2 (2</w:t>
      </w:r>
      <w:r w:rsidR="009E4D02" w:rsidRPr="003F3EC6">
        <w:t xml:space="preserve">%)  em 4 </w:t>
      </w:r>
      <w:r w:rsidR="005C2153" w:rsidRPr="003F3EC6">
        <w:t>atividades</w:t>
      </w:r>
      <w:r w:rsidR="009E4D02" w:rsidRPr="003F3EC6">
        <w:t xml:space="preserve"> e, por fim, </w:t>
      </w:r>
      <w:r w:rsidR="00A02A11" w:rsidRPr="003F3EC6">
        <w:t>4</w:t>
      </w:r>
      <w:r w:rsidRPr="003F3EC6">
        <w:t xml:space="preserve"> empresários </w:t>
      </w:r>
      <w:r w:rsidR="009E4D02" w:rsidRPr="003F3EC6">
        <w:t>(</w:t>
      </w:r>
      <w:r w:rsidR="00641388">
        <w:t>5</w:t>
      </w:r>
      <w:r w:rsidR="009E4D02" w:rsidRPr="003F3EC6">
        <w:t xml:space="preserve">%) </w:t>
      </w:r>
      <w:r w:rsidRPr="003F3EC6">
        <w:t xml:space="preserve">atuavam em 5 </w:t>
      </w:r>
      <w:r w:rsidR="005C2153" w:rsidRPr="003F3EC6">
        <w:t>atividades</w:t>
      </w:r>
      <w:r w:rsidRPr="003F3EC6">
        <w:t xml:space="preserve"> econômic</w:t>
      </w:r>
      <w:r w:rsidR="005C2153" w:rsidRPr="003F3EC6">
        <w:t>a</w:t>
      </w:r>
      <w:r w:rsidRPr="003F3EC6">
        <w:t>s</w:t>
      </w:r>
      <w:r w:rsidR="009B2C01">
        <w:t xml:space="preserve"> diferenciadas</w:t>
      </w:r>
      <w:r w:rsidR="0019114D">
        <w:t xml:space="preserve">, totalizando 105 participações. </w:t>
      </w:r>
      <w:r w:rsidRPr="003F3EC6">
        <w:t>Vale a pena sempre lembrar que este quantitativo vislumbra a situação do grupo, firma e entidade a qual se vinculavam.</w:t>
      </w:r>
    </w:p>
    <w:p w:rsidR="00822877" w:rsidRPr="003E7862" w:rsidRDefault="00822877" w:rsidP="00822877">
      <w:pPr>
        <w:pStyle w:val="NormalWeb"/>
        <w:spacing w:before="0" w:beforeAutospacing="0" w:after="0" w:afterAutospacing="0" w:line="360" w:lineRule="auto"/>
        <w:ind w:firstLine="708"/>
        <w:jc w:val="both"/>
      </w:pPr>
      <w:r>
        <w:t xml:space="preserve">Cabe ainda observar que mitigamos ou subestimamos o percentual de capilarizações </w:t>
      </w:r>
      <w:r w:rsidR="00A02A11">
        <w:t xml:space="preserve">e de entrelaçamentos </w:t>
      </w:r>
      <w:r>
        <w:t xml:space="preserve">dos empresários ao </w:t>
      </w:r>
      <w:r w:rsidR="000740DA">
        <w:t xml:space="preserve">não ter meios de como contabilizaras inúmeras conexões estabelecidas pelo </w:t>
      </w:r>
      <w:r>
        <w:t xml:space="preserve">setor </w:t>
      </w:r>
      <w:r w:rsidR="000740DA">
        <w:t xml:space="preserve">bancário e financeiro não bancário, </w:t>
      </w:r>
      <w:r w:rsidR="00F118DE" w:rsidRPr="003F3EC6">
        <w:t>quando sabemos que o capital monetário condensa e exprime a forma monopólica e concentradora da propriedade</w:t>
      </w:r>
      <w:r w:rsidR="00FD6C69" w:rsidRPr="003F3EC6">
        <w:t xml:space="preserve"> e dos recursos sociais de produção.</w:t>
      </w:r>
      <w:r w:rsidRPr="003F3EC6">
        <w:t xml:space="preserve"> Esta</w:t>
      </w:r>
      <w:r>
        <w:t xml:space="preserve"> verdadeira anomalia foi aplicada em </w:t>
      </w:r>
      <w:r w:rsidR="001A453F">
        <w:t>oito</w:t>
      </w:r>
      <w:r>
        <w:t xml:space="preserve"> importantes conselheiros-</w:t>
      </w:r>
      <w:r w:rsidR="001A453F">
        <w:t>empresários</w:t>
      </w:r>
      <w:r>
        <w:t xml:space="preserve">: </w:t>
      </w:r>
      <w:r w:rsidRPr="00406554">
        <w:t>Gustavo Martin Garat</w:t>
      </w:r>
      <w:r>
        <w:t xml:space="preserve"> (Executivo do Citibank), </w:t>
      </w:r>
      <w:r w:rsidRPr="00406554">
        <w:t>Márcio Arthur Cypriano</w:t>
      </w:r>
      <w:r>
        <w:t xml:space="preserve"> (Presidente do Bradesco), </w:t>
      </w:r>
      <w:r w:rsidRPr="00406554">
        <w:t>Milu Villela</w:t>
      </w:r>
      <w:r>
        <w:t xml:space="preserve"> (S</w:t>
      </w:r>
      <w:r w:rsidR="00CA0999">
        <w:t>o</w:t>
      </w:r>
      <w:r>
        <w:t xml:space="preserve">cioacionista do Banco Itaú), </w:t>
      </w:r>
      <w:r w:rsidRPr="00406554">
        <w:t>Roberto Egydio Setúbal</w:t>
      </w:r>
      <w:r w:rsidR="00406554">
        <w:t xml:space="preserve"> (Presidente do Banco Itaú), </w:t>
      </w:r>
      <w:r w:rsidR="00406554" w:rsidRPr="00406554">
        <w:t>Gabriel Ferreira(</w:t>
      </w:r>
      <w:r w:rsidR="00406554" w:rsidRPr="00406554">
        <w:rPr>
          <w:color w:val="000000"/>
        </w:rPr>
        <w:t>Diretor da E. Johnston Participações Ltda, holding controladora do Unibanco)</w:t>
      </w:r>
      <w:r w:rsidR="00406554">
        <w:rPr>
          <w:color w:val="000000"/>
        </w:rPr>
        <w:t xml:space="preserve">, </w:t>
      </w:r>
      <w:r w:rsidR="00406554" w:rsidRPr="00406554">
        <w:rPr>
          <w:color w:val="000000"/>
        </w:rPr>
        <w:t>Fábio Barbosa</w:t>
      </w:r>
      <w:r w:rsidR="00406554">
        <w:rPr>
          <w:color w:val="000000"/>
        </w:rPr>
        <w:t xml:space="preserve"> (Presidente do Santander), Marcelo </w:t>
      </w:r>
      <w:r w:rsidR="00406554" w:rsidRPr="00406554">
        <w:rPr>
          <w:color w:val="000000"/>
        </w:rPr>
        <w:t>Giufrida (</w:t>
      </w:r>
      <w:r w:rsidR="00406554" w:rsidRPr="00406554">
        <w:t>Presidente do Banco BNP Paribas)</w:t>
      </w:r>
      <w:r w:rsidR="001A453F">
        <w:t xml:space="preserve"> e João Elísio Ferraz de Campos (Presidente do Conselho de Administração da Centauro Vida e Previdência S.A.)</w:t>
      </w:r>
      <w:r w:rsidR="00406554">
        <w:t>.</w:t>
      </w:r>
      <w:r>
        <w:t xml:space="preserve">Tal </w:t>
      </w:r>
      <w:r w:rsidR="00E62FC9">
        <w:t>procedimento, de certo, minimizou</w:t>
      </w:r>
      <w:r>
        <w:t xml:space="preserve"> o grau de capilarização</w:t>
      </w:r>
      <w:r w:rsidR="00E62FC9">
        <w:t xml:space="preserve"> e de entrelaçamento</w:t>
      </w:r>
      <w:r>
        <w:t>, especialmente quando se trata da articulação com a fração industrial</w:t>
      </w:r>
      <w:r w:rsidR="00E62FC9">
        <w:t xml:space="preserve"> (produtora de valor), porém a análise de todos os desdobramentos dos investimentos deste setor ultrapassaria os limites propostos pela pesquisa.</w:t>
      </w:r>
    </w:p>
    <w:p w:rsidR="00822877" w:rsidRPr="003F3EC6" w:rsidRDefault="00FD6C69" w:rsidP="00005FEB">
      <w:pPr>
        <w:pStyle w:val="NormalWeb"/>
        <w:spacing w:before="0" w:beforeAutospacing="0" w:after="0" w:afterAutospacing="0" w:line="360" w:lineRule="auto"/>
        <w:ind w:firstLine="708"/>
        <w:jc w:val="both"/>
      </w:pPr>
      <w:r w:rsidRPr="003F3EC6">
        <w:t>Computando</w:t>
      </w:r>
      <w:r w:rsidR="00F118DE" w:rsidRPr="003F3EC6">
        <w:t xml:space="preserve"> o</w:t>
      </w:r>
      <w:r w:rsidRPr="003F3EC6">
        <w:t xml:space="preserve">s </w:t>
      </w:r>
      <w:r w:rsidR="008D305F">
        <w:t xml:space="preserve">empresários dos </w:t>
      </w:r>
      <w:r w:rsidRPr="003F3EC6">
        <w:t xml:space="preserve">setores </w:t>
      </w:r>
      <w:r w:rsidR="009B2C01">
        <w:t>voltados à produção de valor</w:t>
      </w:r>
      <w:r w:rsidR="00822877" w:rsidRPr="003F3EC6">
        <w:t>, é</w:t>
      </w:r>
      <w:r w:rsidR="005C2153" w:rsidRPr="003F3EC6">
        <w:t xml:space="preserve"> revelador o fato de que 5</w:t>
      </w:r>
      <w:r w:rsidR="00910072">
        <w:t>0</w:t>
      </w:r>
      <w:r w:rsidR="004A0973">
        <w:t xml:space="preserve">% </w:t>
      </w:r>
      <w:r w:rsidR="008D305F">
        <w:t>deles</w:t>
      </w:r>
      <w:r w:rsidR="00822877" w:rsidRPr="003F3EC6">
        <w:t xml:space="preserve"> correspondessem a </w:t>
      </w:r>
      <w:r w:rsidR="009B2C01">
        <w:t>105</w:t>
      </w:r>
      <w:r w:rsidR="00822877" w:rsidRPr="003F3EC6">
        <w:t xml:space="preserve"> (</w:t>
      </w:r>
      <w:r w:rsidR="009B2C01">
        <w:t>72</w:t>
      </w:r>
      <w:r w:rsidR="005C2153" w:rsidRPr="003F3EC6">
        <w:t>%</w:t>
      </w:r>
      <w:r w:rsidR="00813A28">
        <w:t>) das 147</w:t>
      </w:r>
      <w:r w:rsidR="00822877" w:rsidRPr="003F3EC6">
        <w:t xml:space="preserve"> inserções/participações nas atividades econômicas expostas no quadro 2.7.  Isto </w:t>
      </w:r>
      <w:r w:rsidR="00E62FC9" w:rsidRPr="003F3EC6">
        <w:t>mostra</w:t>
      </w:r>
      <w:r w:rsidR="005C2153" w:rsidRPr="003F3EC6">
        <w:t xml:space="preserve">que </w:t>
      </w:r>
      <w:r w:rsidR="008D305F">
        <w:t xml:space="preserve">43% </w:t>
      </w:r>
      <w:r w:rsidR="00591349">
        <w:t xml:space="preserve">do total (38 de 88 conselheiros-empresários) </w:t>
      </w:r>
      <w:r w:rsidR="008D305F">
        <w:t xml:space="preserve">de </w:t>
      </w:r>
      <w:r w:rsidR="005C2153" w:rsidRPr="003F3EC6">
        <w:t>empresários atu</w:t>
      </w:r>
      <w:r w:rsidR="009F21C7" w:rsidRPr="003F3EC6">
        <w:t>a</w:t>
      </w:r>
      <w:r w:rsidR="00591349">
        <w:t>ntes</w:t>
      </w:r>
      <w:r w:rsidR="005C2153" w:rsidRPr="003F3EC6">
        <w:t xml:space="preserve"> no Conselho entre 2003 e 2010 particip</w:t>
      </w:r>
      <w:r w:rsidR="009F21C7" w:rsidRPr="003F3EC6">
        <w:t>ava</w:t>
      </w:r>
      <w:r w:rsidR="00591349">
        <w:t>m</w:t>
      </w:r>
      <w:r w:rsidR="005C2153" w:rsidRPr="003F3EC6">
        <w:t xml:space="preserve"> de grupos e firmas</w:t>
      </w:r>
      <w:r w:rsidR="009F21C7" w:rsidRPr="003F3EC6">
        <w:t xml:space="preserve"> que </w:t>
      </w:r>
      <w:r w:rsidR="005E2211" w:rsidRPr="003F3EC6">
        <w:t>expandia</w:t>
      </w:r>
      <w:r w:rsidR="003F3EC6" w:rsidRPr="003F3EC6">
        <w:t>m</w:t>
      </w:r>
      <w:r w:rsidR="005E2211" w:rsidRPr="003F3EC6">
        <w:t>, diversificava</w:t>
      </w:r>
      <w:r w:rsidR="003F3EC6" w:rsidRPr="003F3EC6">
        <w:t>m</w:t>
      </w:r>
      <w:r w:rsidR="005E2211" w:rsidRPr="003F3EC6">
        <w:t xml:space="preserve"> e interpenetrava</w:t>
      </w:r>
      <w:r w:rsidR="003F3EC6" w:rsidRPr="003F3EC6">
        <w:t>m</w:t>
      </w:r>
      <w:r w:rsidR="005E2211" w:rsidRPr="003F3EC6">
        <w:t xml:space="preserve"> atividades e investimentos em setores econômicos diferenciados. Tais interconexões </w:t>
      </w:r>
      <w:r w:rsidR="00822877" w:rsidRPr="003F3EC6">
        <w:t xml:space="preserve">não apenas </w:t>
      </w:r>
      <w:r w:rsidR="005E2211" w:rsidRPr="003F3EC6">
        <w:t>se restringia</w:t>
      </w:r>
      <w:r w:rsidR="00F60BB0" w:rsidRPr="003F3EC6">
        <w:t>m</w:t>
      </w:r>
      <w:r w:rsidR="005E2211" w:rsidRPr="003F3EC6">
        <w:t xml:space="preserve"> ao domínio econômico, mas também nas esferas da sociedade civil empresarial, pois a grande maioria comparecia em seus APH’s como intelectuais orgânicos</w:t>
      </w:r>
      <w:r w:rsidR="00822877" w:rsidRPr="003F3EC6">
        <w:t xml:space="preserve">.Não obstante – e isto é muito importante para o objetivo que nos trouxe até este ponto -, um segmento empresarial não desprezível – </w:t>
      </w:r>
      <w:r w:rsidR="00E62FC9" w:rsidRPr="003F3EC6">
        <w:t>de</w:t>
      </w:r>
      <w:r w:rsidR="00607D0D" w:rsidRPr="003F3EC6">
        <w:t xml:space="preserve"> 27</w:t>
      </w:r>
      <w:r w:rsidR="00822877" w:rsidRPr="003F3EC6">
        <w:t xml:space="preserve"> empresários</w:t>
      </w:r>
      <w:r w:rsidR="00E62FC9" w:rsidRPr="003F3EC6">
        <w:t xml:space="preserve">, </w:t>
      </w:r>
      <w:r w:rsidR="00607D0D" w:rsidRPr="003F3EC6">
        <w:t>ou seja, pouco menos de</w:t>
      </w:r>
      <w:r w:rsidR="00822877" w:rsidRPr="003F3EC6">
        <w:t xml:space="preserve"> um terço do total </w:t>
      </w:r>
      <w:r w:rsidR="00591349">
        <w:t>(31</w:t>
      </w:r>
      <w:r w:rsidR="00607D0D" w:rsidRPr="003F3EC6">
        <w:t xml:space="preserve">%) </w:t>
      </w:r>
      <w:r w:rsidR="002B1E6A">
        <w:t>-, vinculava</w:t>
      </w:r>
      <w:r w:rsidR="00822877" w:rsidRPr="003F3EC6">
        <w:t xml:space="preserve">-se a grupos, firmas e entidades </w:t>
      </w:r>
      <w:r w:rsidR="00607D0D" w:rsidRPr="003F3EC6">
        <w:t xml:space="preserve">que traziam no seu portfólio de investimentos atividades voltadas à produção e exportação de </w:t>
      </w:r>
      <w:r w:rsidR="00822877" w:rsidRPr="003F3EC6">
        <w:rPr>
          <w:i/>
        </w:rPr>
        <w:t>commodities</w:t>
      </w:r>
      <w:r w:rsidR="00822877" w:rsidRPr="003F3EC6">
        <w:t xml:space="preserve">. </w:t>
      </w:r>
    </w:p>
    <w:p w:rsidR="00822877" w:rsidRDefault="00607D0D" w:rsidP="00822877">
      <w:pPr>
        <w:pStyle w:val="NormalWeb"/>
        <w:spacing w:before="0" w:beforeAutospacing="0" w:after="0" w:afterAutospacing="0" w:line="360" w:lineRule="auto"/>
        <w:ind w:firstLine="708"/>
        <w:jc w:val="both"/>
      </w:pPr>
      <w:r>
        <w:t>N</w:t>
      </w:r>
      <w:r w:rsidR="00822877">
        <w:t xml:space="preserve">ão estamos afirmando que esta ou aquela fração de classe presente no CDES direcionava suas atividades para a indústria de </w:t>
      </w:r>
      <w:r w:rsidR="00822877">
        <w:rPr>
          <w:i/>
        </w:rPr>
        <w:t xml:space="preserve">commodities </w:t>
      </w:r>
      <w:r w:rsidR="00822877" w:rsidRPr="00607D0D">
        <w:rPr>
          <w:i/>
        </w:rPr>
        <w:t>tout court</w:t>
      </w:r>
      <w:r w:rsidR="00822877">
        <w:t xml:space="preserve">, mas sim que, dentre o seu conjunto, e a partir da classificação adotada no quadro 2.8, verificamos </w:t>
      </w:r>
      <w:r>
        <w:t xml:space="preserve">que empresários dos grandes grupos e firmas representados no CDES </w:t>
      </w:r>
      <w:r w:rsidR="00822877">
        <w:t>volta</w:t>
      </w:r>
      <w:r>
        <w:t>vam-se</w:t>
      </w:r>
      <w:r w:rsidR="00822877" w:rsidRPr="00F63433">
        <w:rPr>
          <w:i/>
        </w:rPr>
        <w:t>também</w:t>
      </w:r>
      <w:r w:rsidR="00822877">
        <w:t xml:space="preserve"> para ela.</w:t>
      </w:r>
      <w:r w:rsidR="00E62FC9">
        <w:t xml:space="preserve"> N</w:t>
      </w:r>
      <w:r w:rsidR="00822877">
        <w:t xml:space="preserve">o CDES, as distintas frações de classe em presença (excluindo a comercial e a de serviços) buscavam valorizar seus capitais engrossando as fileiras da </w:t>
      </w:r>
      <w:r w:rsidR="00E62FC9">
        <w:t>commoditização</w:t>
      </w:r>
      <w:r>
        <w:t>, valendo-se da elevação dos seus preços nas praças internacionais</w:t>
      </w:r>
      <w:r w:rsidR="0027411E">
        <w:t xml:space="preserve">. Em outros termos, os setores industriais (produtores de valor) </w:t>
      </w:r>
      <w:r w:rsidR="002B1E6A">
        <w:t xml:space="preserve">e bancários </w:t>
      </w:r>
      <w:r w:rsidR="0027411E">
        <w:t>vinculavam-se de uma ou outra maneira ao processo de commoditização.</w:t>
      </w:r>
    </w:p>
    <w:p w:rsidR="00822877" w:rsidRDefault="00822877" w:rsidP="00901D02">
      <w:pPr>
        <w:pStyle w:val="NormalWeb"/>
        <w:spacing w:before="0" w:beforeAutospacing="0" w:after="240" w:afterAutospacing="0" w:line="360" w:lineRule="auto"/>
        <w:ind w:firstLine="708"/>
        <w:jc w:val="both"/>
      </w:pPr>
      <w:r>
        <w:t xml:space="preserve">É neste sentido que o CDES era objeto e sujeito, acomodação e ação, destino e origem simultâneos do “fazer-se” de parte das classes dominantes no Brasil. Ele era expressão das relações de forças sociais e econômicas em luta e disputa no Brasil, mas também parecia ser </w:t>
      </w:r>
      <w:r>
        <w:rPr>
          <w:i/>
        </w:rPr>
        <w:t xml:space="preserve">lócus </w:t>
      </w:r>
      <w:r>
        <w:t xml:space="preserve">de ação política, de intervenção e de consensualização entre as frações dominantes. Era espaço potencialmente simultâneo de preparação (não no sentido de formulação “estratégica”, mas de adequação “tática” e ação conjunta) e de intervenção direta (debatiam políticas públicas de Estado </w:t>
      </w:r>
      <w:r>
        <w:rPr>
          <w:i/>
        </w:rPr>
        <w:t xml:space="preserve">no próprio </w:t>
      </w:r>
      <w:r w:rsidRPr="007974A8">
        <w:rPr>
          <w:i/>
        </w:rPr>
        <w:t>Estado</w:t>
      </w:r>
      <w:r w:rsidRPr="007974A8">
        <w:t>restrito</w:t>
      </w:r>
      <w:r>
        <w:t>).</w:t>
      </w:r>
    </w:p>
    <w:p w:rsidR="00822877" w:rsidRDefault="00822877" w:rsidP="00822877">
      <w:pPr>
        <w:spacing w:line="240" w:lineRule="auto"/>
        <w:jc w:val="both"/>
        <w:rPr>
          <w:rFonts w:ascii="Times New Roman" w:hAnsi="Times New Roman"/>
          <w:b/>
          <w:sz w:val="24"/>
          <w:szCs w:val="24"/>
        </w:rPr>
      </w:pPr>
      <w:r w:rsidRPr="0081574D">
        <w:rPr>
          <w:rFonts w:ascii="Times New Roman" w:hAnsi="Times New Roman"/>
          <w:b/>
          <w:sz w:val="24"/>
          <w:szCs w:val="24"/>
        </w:rPr>
        <w:t>2</w:t>
      </w:r>
      <w:r w:rsidRPr="008F1E2D">
        <w:rPr>
          <w:rFonts w:ascii="Times New Roman" w:hAnsi="Times New Roman"/>
          <w:b/>
          <w:sz w:val="24"/>
          <w:szCs w:val="24"/>
        </w:rPr>
        <w:t>.3.</w:t>
      </w:r>
      <w:r w:rsidR="00DE37D0">
        <w:rPr>
          <w:rFonts w:ascii="Times New Roman" w:hAnsi="Times New Roman"/>
          <w:b/>
          <w:sz w:val="24"/>
          <w:szCs w:val="24"/>
        </w:rPr>
        <w:t>4</w:t>
      </w:r>
      <w:r w:rsidRPr="008F1E2D">
        <w:rPr>
          <w:rFonts w:ascii="Times New Roman" w:hAnsi="Times New Roman"/>
          <w:b/>
          <w:sz w:val="24"/>
          <w:szCs w:val="24"/>
        </w:rPr>
        <w:t xml:space="preserve"> – Grupos</w:t>
      </w:r>
      <w:r>
        <w:rPr>
          <w:rFonts w:ascii="Times New Roman" w:hAnsi="Times New Roman"/>
          <w:b/>
          <w:sz w:val="24"/>
          <w:szCs w:val="24"/>
        </w:rPr>
        <w:t xml:space="preserve"> bancários, setores financeiros não bancários e associações da sociedade civil no CDES (2003-2006)</w:t>
      </w:r>
    </w:p>
    <w:p w:rsidR="00822877" w:rsidRPr="00480A0B" w:rsidRDefault="00774149" w:rsidP="00822877">
      <w:pPr>
        <w:spacing w:line="360" w:lineRule="auto"/>
        <w:jc w:val="both"/>
        <w:rPr>
          <w:rFonts w:ascii="Times New Roman" w:hAnsi="Times New Roman"/>
          <w:sz w:val="24"/>
          <w:szCs w:val="24"/>
        </w:rPr>
      </w:pPr>
      <w:r>
        <w:rPr>
          <w:rFonts w:ascii="Times New Roman" w:hAnsi="Times New Roman"/>
          <w:b/>
          <w:sz w:val="24"/>
          <w:szCs w:val="24"/>
        </w:rPr>
        <w:tab/>
        <w:t>2.3.</w:t>
      </w:r>
      <w:r w:rsidR="00DE37D0">
        <w:rPr>
          <w:rFonts w:ascii="Times New Roman" w:hAnsi="Times New Roman"/>
          <w:b/>
          <w:sz w:val="24"/>
          <w:szCs w:val="24"/>
        </w:rPr>
        <w:t>4</w:t>
      </w:r>
      <w:r w:rsidR="00822877">
        <w:rPr>
          <w:rFonts w:ascii="Times New Roman" w:hAnsi="Times New Roman"/>
          <w:b/>
          <w:sz w:val="24"/>
          <w:szCs w:val="24"/>
        </w:rPr>
        <w:t>.1 – Os grupos bancários no CDES</w:t>
      </w:r>
    </w:p>
    <w:p w:rsidR="00822877" w:rsidRPr="006A4B6B" w:rsidRDefault="00822877" w:rsidP="00822877">
      <w:pPr>
        <w:spacing w:after="0" w:line="360" w:lineRule="auto"/>
        <w:jc w:val="both"/>
        <w:rPr>
          <w:sz w:val="20"/>
          <w:szCs w:val="20"/>
        </w:rPr>
      </w:pPr>
      <w:r>
        <w:rPr>
          <w:rFonts w:ascii="Times New Roman" w:hAnsi="Times New Roman"/>
          <w:sz w:val="24"/>
          <w:szCs w:val="24"/>
        </w:rPr>
        <w:tab/>
      </w:r>
      <w:r w:rsidRPr="00B70920">
        <w:rPr>
          <w:rFonts w:ascii="Times New Roman" w:hAnsi="Times New Roman"/>
          <w:sz w:val="24"/>
          <w:szCs w:val="24"/>
        </w:rPr>
        <w:t xml:space="preserve">Estamos lidando, como se percebe, com uma significativa parcela das frações do grande capital </w:t>
      </w:r>
      <w:r>
        <w:rPr>
          <w:rFonts w:ascii="Times New Roman" w:hAnsi="Times New Roman"/>
          <w:sz w:val="24"/>
          <w:szCs w:val="24"/>
        </w:rPr>
        <w:t xml:space="preserve">do país </w:t>
      </w:r>
      <w:r w:rsidRPr="00B70920">
        <w:rPr>
          <w:rFonts w:ascii="Times New Roman" w:hAnsi="Times New Roman"/>
          <w:sz w:val="24"/>
          <w:szCs w:val="24"/>
        </w:rPr>
        <w:t xml:space="preserve">no CDES. Ainda que se apresentem como representantes deste ou daquele setor da economia, bem sabemos que a dinâmica recente do capitalismo no Brasil não nos autoriza a segmentá-los. Muito pelo contrário, tais frações estão emaranhadas numa rede capilar de participações acionárias de todo tipo e origem, buscando incessantes valorizações do valor. </w:t>
      </w:r>
    </w:p>
    <w:p w:rsidR="00822877" w:rsidRPr="00023DAA" w:rsidRDefault="00822877" w:rsidP="00822877">
      <w:pPr>
        <w:spacing w:after="0" w:line="360" w:lineRule="auto"/>
        <w:jc w:val="both"/>
        <w:rPr>
          <w:sz w:val="20"/>
          <w:szCs w:val="20"/>
        </w:rPr>
      </w:pPr>
      <w:r>
        <w:rPr>
          <w:rFonts w:ascii="Times New Roman" w:hAnsi="Times New Roman"/>
          <w:sz w:val="24"/>
          <w:szCs w:val="24"/>
        </w:rPr>
        <w:tab/>
        <w:t xml:space="preserve">Aliás, o próprio conceito de “grupo econômico” se define pela agregação de empresas que atuam em diversos setores da economia. Porém, alertamos que o que está por detrás desta interpenetração patrimonial de empresas é precisamente a mixórdia de capitais de origens distintas, deixando claro que “não é a atividade pessoal do proprietário que caracteriza ou descaracteriza a propriedade do capital mas a </w:t>
      </w:r>
      <w:r>
        <w:rPr>
          <w:rFonts w:ascii="Times New Roman" w:hAnsi="Times New Roman"/>
          <w:i/>
          <w:sz w:val="24"/>
          <w:szCs w:val="24"/>
        </w:rPr>
        <w:t>relação social</w:t>
      </w:r>
      <w:r>
        <w:rPr>
          <w:rFonts w:ascii="Times New Roman" w:hAnsi="Times New Roman"/>
          <w:sz w:val="24"/>
          <w:szCs w:val="24"/>
        </w:rPr>
        <w:t xml:space="preserve"> que envolve”.</w:t>
      </w:r>
      <w:r>
        <w:rPr>
          <w:rStyle w:val="Refdenotaderodap"/>
          <w:rFonts w:ascii="Times New Roman" w:hAnsi="Times New Roman"/>
          <w:sz w:val="24"/>
          <w:szCs w:val="24"/>
        </w:rPr>
        <w:footnoteReference w:id="268"/>
      </w:r>
      <w:r>
        <w:rPr>
          <w:rFonts w:ascii="Times New Roman" w:hAnsi="Times New Roman"/>
          <w:sz w:val="24"/>
          <w:szCs w:val="24"/>
        </w:rPr>
        <w:t xml:space="preserve"> Reunindo diversidade de interesses, tal relação não está imune nem </w:t>
      </w:r>
      <w:r w:rsidR="002B1E6A">
        <w:rPr>
          <w:rFonts w:ascii="Times New Roman" w:hAnsi="Times New Roman"/>
          <w:sz w:val="24"/>
          <w:szCs w:val="24"/>
        </w:rPr>
        <w:t>a</w:t>
      </w:r>
      <w:r>
        <w:rPr>
          <w:rFonts w:ascii="Times New Roman" w:hAnsi="Times New Roman"/>
          <w:sz w:val="24"/>
          <w:szCs w:val="24"/>
        </w:rPr>
        <w:t xml:space="preserve"> conflitos nem </w:t>
      </w:r>
      <w:r w:rsidR="002B1E6A">
        <w:rPr>
          <w:rFonts w:ascii="Times New Roman" w:hAnsi="Times New Roman"/>
          <w:sz w:val="24"/>
          <w:szCs w:val="24"/>
        </w:rPr>
        <w:t>a</w:t>
      </w:r>
      <w:r>
        <w:rPr>
          <w:rFonts w:ascii="Times New Roman" w:hAnsi="Times New Roman"/>
          <w:sz w:val="24"/>
          <w:szCs w:val="24"/>
        </w:rPr>
        <w:t xml:space="preserve"> redes de solidariedade, </w:t>
      </w:r>
      <w:r w:rsidRPr="005C720C">
        <w:rPr>
          <w:rFonts w:ascii="Times New Roman" w:hAnsi="Times New Roman"/>
          <w:sz w:val="24"/>
          <w:szCs w:val="24"/>
        </w:rPr>
        <w:t xml:space="preserve">a depender das correlações de forças no âmbito das próprias frações burguesas em particular e das relações de </w:t>
      </w:r>
      <w:r>
        <w:rPr>
          <w:rFonts w:ascii="Times New Roman" w:hAnsi="Times New Roman"/>
          <w:sz w:val="24"/>
          <w:szCs w:val="24"/>
        </w:rPr>
        <w:t>(re)</w:t>
      </w:r>
      <w:r w:rsidRPr="005C720C">
        <w:rPr>
          <w:rFonts w:ascii="Times New Roman" w:hAnsi="Times New Roman"/>
          <w:sz w:val="24"/>
          <w:szCs w:val="24"/>
        </w:rPr>
        <w:t>produção capitalistas em geral</w:t>
      </w:r>
      <w:r>
        <w:rPr>
          <w:rFonts w:ascii="Times New Roman" w:hAnsi="Times New Roman"/>
          <w:i/>
          <w:sz w:val="24"/>
          <w:szCs w:val="24"/>
        </w:rPr>
        <w:t xml:space="preserve">. </w:t>
      </w:r>
    </w:p>
    <w:p w:rsidR="00822877" w:rsidRDefault="00822877" w:rsidP="00822877">
      <w:pPr>
        <w:spacing w:line="360" w:lineRule="auto"/>
        <w:jc w:val="both"/>
        <w:rPr>
          <w:rFonts w:ascii="Times New Roman" w:hAnsi="Times New Roman"/>
          <w:sz w:val="24"/>
          <w:szCs w:val="24"/>
        </w:rPr>
      </w:pPr>
      <w:r>
        <w:rPr>
          <w:rFonts w:ascii="Times New Roman" w:hAnsi="Times New Roman"/>
          <w:sz w:val="24"/>
          <w:szCs w:val="24"/>
        </w:rPr>
        <w:tab/>
        <w:t xml:space="preserve">Os empresários que investigamos, atuantes nos grupos econômicos presentes no CDES, se encontravam também em muitas e diversificadas associações da sociedade civil. Porém, o que nos importa aqui destacar são os grandes grupos </w:t>
      </w:r>
      <w:r w:rsidR="0025434D">
        <w:rPr>
          <w:rFonts w:ascii="Times New Roman" w:hAnsi="Times New Roman"/>
          <w:sz w:val="24"/>
          <w:szCs w:val="24"/>
        </w:rPr>
        <w:t>bancários por excelência.S</w:t>
      </w:r>
      <w:r>
        <w:rPr>
          <w:rFonts w:ascii="Times New Roman" w:hAnsi="Times New Roman"/>
          <w:sz w:val="24"/>
          <w:szCs w:val="24"/>
        </w:rPr>
        <w:t xml:space="preserve">uas atividades, como grandes </w:t>
      </w:r>
      <w:r>
        <w:rPr>
          <w:rFonts w:ascii="Times New Roman" w:hAnsi="Times New Roman"/>
          <w:i/>
          <w:sz w:val="24"/>
          <w:szCs w:val="24"/>
        </w:rPr>
        <w:t>holdings</w:t>
      </w:r>
      <w:r w:rsidR="0025434D">
        <w:rPr>
          <w:rFonts w:ascii="Times New Roman" w:hAnsi="Times New Roman"/>
          <w:sz w:val="24"/>
          <w:szCs w:val="24"/>
        </w:rPr>
        <w:t xml:space="preserve"> os credencia</w:t>
      </w:r>
      <w:r>
        <w:rPr>
          <w:rFonts w:ascii="Times New Roman" w:hAnsi="Times New Roman"/>
          <w:sz w:val="24"/>
          <w:szCs w:val="24"/>
        </w:rPr>
        <w:t>m como partícipes (acionistas, s</w:t>
      </w:r>
      <w:r w:rsidR="00CA0999">
        <w:rPr>
          <w:rFonts w:ascii="Times New Roman" w:hAnsi="Times New Roman"/>
          <w:sz w:val="24"/>
          <w:szCs w:val="24"/>
        </w:rPr>
        <w:t>o</w:t>
      </w:r>
      <w:r>
        <w:rPr>
          <w:rFonts w:ascii="Times New Roman" w:hAnsi="Times New Roman"/>
          <w:sz w:val="24"/>
          <w:szCs w:val="24"/>
        </w:rPr>
        <w:t xml:space="preserve">ciosproprietários, CEO’s, diretores e/ou membros de conselhos de administração, etc) de muitos outros setores não </w:t>
      </w:r>
      <w:r w:rsidR="0025434D">
        <w:rPr>
          <w:rFonts w:ascii="Times New Roman" w:hAnsi="Times New Roman"/>
          <w:sz w:val="24"/>
          <w:szCs w:val="24"/>
        </w:rPr>
        <w:t>bancários da atividade econômica, constituindo, especialmente aqui, elemento importante para averiguar a pertinência da categoria “capital financeiro”.</w:t>
      </w:r>
      <w:r>
        <w:rPr>
          <w:rFonts w:ascii="Times New Roman" w:hAnsi="Times New Roman"/>
          <w:sz w:val="24"/>
          <w:szCs w:val="24"/>
        </w:rPr>
        <w:t xml:space="preserve"> O quadro abaixo mostra a vinculação de muitos empres</w:t>
      </w:r>
      <w:r w:rsidR="00A617DC">
        <w:rPr>
          <w:rFonts w:ascii="Times New Roman" w:hAnsi="Times New Roman"/>
          <w:sz w:val="24"/>
          <w:szCs w:val="24"/>
        </w:rPr>
        <w:t xml:space="preserve">ários com os grupos </w:t>
      </w:r>
      <w:r w:rsidR="0025434D">
        <w:rPr>
          <w:rFonts w:ascii="Times New Roman" w:hAnsi="Times New Roman"/>
          <w:sz w:val="24"/>
          <w:szCs w:val="24"/>
        </w:rPr>
        <w:t>bancários</w:t>
      </w:r>
      <w:r>
        <w:rPr>
          <w:rFonts w:ascii="Times New Roman" w:hAnsi="Times New Roman"/>
          <w:sz w:val="24"/>
          <w:szCs w:val="24"/>
        </w:rPr>
        <w:t xml:space="preserve"> mais destacados no Brasil. </w:t>
      </w:r>
    </w:p>
    <w:p w:rsidR="00822877" w:rsidRDefault="00822877" w:rsidP="00822877">
      <w:pPr>
        <w:spacing w:line="360" w:lineRule="auto"/>
        <w:jc w:val="center"/>
        <w:rPr>
          <w:rFonts w:ascii="Times New Roman" w:hAnsi="Times New Roman"/>
          <w:b/>
          <w:sz w:val="24"/>
          <w:szCs w:val="24"/>
        </w:rPr>
      </w:pPr>
      <w:r>
        <w:rPr>
          <w:rFonts w:ascii="Times New Roman" w:hAnsi="Times New Roman"/>
          <w:b/>
          <w:sz w:val="24"/>
          <w:szCs w:val="24"/>
        </w:rPr>
        <w:t>Quadro 2.11 – A presença de Grupos Bancários Privados no CDES (2003-2006)</w:t>
      </w:r>
      <w:r w:rsidR="00294168">
        <w:rPr>
          <w:rStyle w:val="Refdenotaderodap"/>
          <w:rFonts w:ascii="Times New Roman" w:hAnsi="Times New Roman"/>
          <w:b/>
          <w:sz w:val="24"/>
          <w:szCs w:val="24"/>
        </w:rPr>
        <w:footnoteReference w:id="269"/>
      </w:r>
    </w:p>
    <w:tbl>
      <w:tblPr>
        <w:tblW w:w="4877"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870"/>
        <w:gridCol w:w="6189"/>
      </w:tblGrid>
      <w:tr w:rsidR="00822877" w:rsidRPr="008211FD" w:rsidTr="00CE3680">
        <w:tc>
          <w:tcPr>
            <w:tcW w:w="1584" w:type="pct"/>
            <w:tcBorders>
              <w:top w:val="single" w:sz="8" w:space="0" w:color="4F81BD"/>
              <w:left w:val="single" w:sz="8" w:space="0" w:color="4F81BD"/>
              <w:bottom w:val="single" w:sz="18" w:space="0" w:color="4F81BD"/>
              <w:right w:val="single" w:sz="8" w:space="0" w:color="4F81BD"/>
            </w:tcBorders>
          </w:tcPr>
          <w:p w:rsidR="00822877" w:rsidRPr="008211FD" w:rsidRDefault="00822877" w:rsidP="00AE175F">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Conselheiros</w:t>
            </w:r>
            <w:r w:rsidR="009974F5" w:rsidRPr="008211FD">
              <w:rPr>
                <w:rStyle w:val="Refdenotaderodap"/>
                <w:rFonts w:ascii="Times New Roman" w:eastAsia="Times New Roman" w:hAnsi="Times New Roman"/>
                <w:b/>
                <w:bCs/>
                <w:sz w:val="20"/>
                <w:szCs w:val="20"/>
              </w:rPr>
              <w:footnoteReference w:id="270"/>
            </w:r>
          </w:p>
        </w:tc>
        <w:tc>
          <w:tcPr>
            <w:tcW w:w="3416" w:type="pct"/>
            <w:tcBorders>
              <w:top w:val="single" w:sz="8" w:space="0" w:color="4F81BD"/>
              <w:left w:val="single" w:sz="8" w:space="0" w:color="4F81BD"/>
              <w:bottom w:val="single" w:sz="18" w:space="0" w:color="4F81BD"/>
              <w:right w:val="single" w:sz="8" w:space="0" w:color="4F81BD"/>
            </w:tcBorders>
          </w:tcPr>
          <w:p w:rsidR="00822877" w:rsidRPr="008211FD" w:rsidRDefault="00822877" w:rsidP="009B3650">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 xml:space="preserve">Vinculações com Grupos </w:t>
            </w:r>
            <w:r w:rsidR="009B3650" w:rsidRPr="008211FD">
              <w:rPr>
                <w:rFonts w:ascii="Times New Roman" w:eastAsia="Times New Roman" w:hAnsi="Times New Roman"/>
                <w:b/>
                <w:bCs/>
                <w:sz w:val="20"/>
                <w:szCs w:val="20"/>
              </w:rPr>
              <w:t>Bancários</w:t>
            </w:r>
            <w:r w:rsidRPr="008211FD">
              <w:rPr>
                <w:rFonts w:ascii="Times New Roman" w:eastAsia="Times New Roman" w:hAnsi="Times New Roman"/>
                <w:b/>
                <w:bCs/>
                <w:sz w:val="20"/>
                <w:szCs w:val="20"/>
              </w:rPr>
              <w:t xml:space="preserve"> Privados</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1) Benjamin Steinbruch</w:t>
            </w:r>
          </w:p>
        </w:tc>
        <w:tc>
          <w:tcPr>
            <w:tcW w:w="341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Proprietário do Banco Fibra (Grupo Vicunha).</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2) Eduardo Eugênio Gouvea Vieira</w:t>
            </w:r>
          </w:p>
        </w:tc>
        <w:tc>
          <w:tcPr>
            <w:tcW w:w="3416"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 xml:space="preserve">Foi Membro do Conselho de Administração do Banco Sogeral S.A. (1987-1999). </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3) Fabio Coletti Barbosa</w:t>
            </w:r>
          </w:p>
        </w:tc>
        <w:tc>
          <w:tcPr>
            <w:tcW w:w="341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Presidente do ABN AMRO Bank (1996) e Presidente do Banco Real (1998), após fusão entre os dois bancos. Presidente do Grupo Santander Brasil (2008), após fusão entre este e o Banco Real. Citibank (1986-1993).</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4) Fernando Roberto Moreira Salles</w:t>
            </w:r>
          </w:p>
        </w:tc>
        <w:tc>
          <w:tcPr>
            <w:tcW w:w="3416"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Presidente do Conselho de Administração da E. Johnston Representação e Participação S. A. (Holding controladora da Unibanco Holdings).</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5) Gabriel Ferreira</w:t>
            </w:r>
          </w:p>
        </w:tc>
        <w:tc>
          <w:tcPr>
            <w:tcW w:w="341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Membro do Conselho de Administração do Unibanco e Diretor da E. Johnston Representação e Participações S.A.</w:t>
            </w:r>
          </w:p>
        </w:tc>
      </w:tr>
      <w:tr w:rsidR="00822877" w:rsidRPr="00DD31B9" w:rsidTr="00CE3680">
        <w:tc>
          <w:tcPr>
            <w:tcW w:w="1584"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6) Gustavo Carlos Marin Garat</w:t>
            </w:r>
          </w:p>
        </w:tc>
        <w:tc>
          <w:tcPr>
            <w:tcW w:w="3416"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both"/>
              <w:rPr>
                <w:rFonts w:ascii="Times New Roman" w:hAnsi="Times New Roman"/>
                <w:sz w:val="20"/>
                <w:szCs w:val="20"/>
                <w:lang w:val="en-US"/>
              </w:rPr>
            </w:pPr>
            <w:r w:rsidRPr="008211FD">
              <w:rPr>
                <w:rFonts w:ascii="Times New Roman" w:hAnsi="Times New Roman"/>
                <w:sz w:val="20"/>
                <w:szCs w:val="20"/>
                <w:lang w:val="en-US"/>
              </w:rPr>
              <w:t xml:space="preserve">Executivo do Corporate &amp; Investment Bank and Consumer Bank no Citbank Brasil. </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7) Jorge Gerdau Johannpeter</w:t>
            </w:r>
          </w:p>
        </w:tc>
        <w:tc>
          <w:tcPr>
            <w:tcW w:w="341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Proprietário do Banco Gerdau (Grupo Gerdau).</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lang w:val="en-US"/>
              </w:rPr>
            </w:pPr>
            <w:r w:rsidRPr="008211FD">
              <w:rPr>
                <w:rFonts w:ascii="Times New Roman" w:eastAsia="Times New Roman" w:hAnsi="Times New Roman"/>
                <w:bCs/>
                <w:sz w:val="20"/>
                <w:szCs w:val="20"/>
                <w:lang w:val="en-US"/>
              </w:rPr>
              <w:t>8) Márcio Artur Cypriano</w:t>
            </w:r>
          </w:p>
        </w:tc>
        <w:tc>
          <w:tcPr>
            <w:tcW w:w="3416"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both"/>
              <w:rPr>
                <w:rFonts w:ascii="Times New Roman" w:hAnsi="Times New Roman"/>
                <w:sz w:val="20"/>
                <w:szCs w:val="20"/>
                <w:lang w:val="en-US"/>
              </w:rPr>
            </w:pPr>
            <w:r w:rsidRPr="008211FD">
              <w:rPr>
                <w:rFonts w:ascii="Times New Roman" w:hAnsi="Times New Roman"/>
                <w:sz w:val="20"/>
                <w:szCs w:val="20"/>
                <w:lang w:val="en-US"/>
              </w:rPr>
              <w:t>Presidente do Bradesco.</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lang w:val="en-US"/>
              </w:rPr>
            </w:pPr>
            <w:r w:rsidRPr="008211FD">
              <w:rPr>
                <w:rFonts w:ascii="Times New Roman" w:eastAsia="Times New Roman" w:hAnsi="Times New Roman"/>
                <w:bCs/>
                <w:sz w:val="20"/>
                <w:szCs w:val="20"/>
                <w:lang w:val="en-US"/>
              </w:rPr>
              <w:t>9) Miguel João Jorge Filho</w:t>
            </w:r>
          </w:p>
        </w:tc>
        <w:tc>
          <w:tcPr>
            <w:tcW w:w="341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Vice-presidente Executivo de RH e de Assuntos Corporativos do Grupo Santander Banespa.</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lang w:val="en-US"/>
              </w:rPr>
            </w:pPr>
            <w:r w:rsidRPr="008211FD">
              <w:rPr>
                <w:rFonts w:ascii="Times New Roman" w:eastAsia="Times New Roman" w:hAnsi="Times New Roman"/>
                <w:bCs/>
                <w:sz w:val="20"/>
                <w:szCs w:val="20"/>
                <w:lang w:val="en-US"/>
              </w:rPr>
              <w:t>10) Milu Villela</w:t>
            </w:r>
          </w:p>
        </w:tc>
        <w:tc>
          <w:tcPr>
            <w:tcW w:w="3416"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Vice-Presidente do Conselho de Administração do Itaú Unibanco Holding S.A.</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lang w:val="en-US"/>
              </w:rPr>
            </w:pPr>
            <w:r w:rsidRPr="008211FD">
              <w:rPr>
                <w:rFonts w:ascii="Times New Roman" w:eastAsia="Times New Roman" w:hAnsi="Times New Roman"/>
                <w:bCs/>
                <w:sz w:val="20"/>
                <w:szCs w:val="20"/>
                <w:lang w:val="en-US"/>
              </w:rPr>
              <w:t>11) Roberto Egydio Setubal</w:t>
            </w:r>
          </w:p>
        </w:tc>
        <w:tc>
          <w:tcPr>
            <w:tcW w:w="341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Presidente e Diretor Geral do Banco Itaú. Trabalhou no CitiBank (1983-1984).</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lang w:val="en-US"/>
              </w:rPr>
            </w:pPr>
            <w:r w:rsidRPr="008211FD">
              <w:rPr>
                <w:rFonts w:ascii="Times New Roman" w:eastAsia="Times New Roman" w:hAnsi="Times New Roman"/>
                <w:bCs/>
                <w:sz w:val="20"/>
                <w:szCs w:val="20"/>
                <w:lang w:val="en-US"/>
              </w:rPr>
              <w:t>12) Roger Agnelli</w:t>
            </w:r>
          </w:p>
        </w:tc>
        <w:tc>
          <w:tcPr>
            <w:tcW w:w="3416"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Foi Diretor Executivo do Banco Bradesco (1988-2000).</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lang w:val="en-US"/>
              </w:rPr>
            </w:pPr>
            <w:r w:rsidRPr="008211FD">
              <w:rPr>
                <w:rFonts w:ascii="Times New Roman" w:eastAsia="Times New Roman" w:hAnsi="Times New Roman"/>
                <w:bCs/>
                <w:sz w:val="20"/>
                <w:szCs w:val="20"/>
                <w:lang w:val="en-US"/>
              </w:rPr>
              <w:t>13) Viviane Senna</w:t>
            </w:r>
          </w:p>
        </w:tc>
        <w:tc>
          <w:tcPr>
            <w:tcW w:w="341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Membro dos comitês de orientação e investimentos sociais dos bancos Itaú e Unibanco. Membro do Conselho Consultivo do Citibank Brasil.</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lang w:val="en-US"/>
              </w:rPr>
            </w:pPr>
            <w:r w:rsidRPr="008211FD">
              <w:rPr>
                <w:rFonts w:ascii="Times New Roman" w:eastAsia="Times New Roman" w:hAnsi="Times New Roman"/>
                <w:bCs/>
                <w:sz w:val="20"/>
                <w:szCs w:val="20"/>
                <w:lang w:val="en-US"/>
              </w:rPr>
              <w:t>14) Waldemar Verdi Junior</w:t>
            </w:r>
          </w:p>
        </w:tc>
        <w:tc>
          <w:tcPr>
            <w:tcW w:w="3416"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Membro do Conselho de Administração do Banco Dibens S/A.</w:t>
            </w:r>
          </w:p>
        </w:tc>
      </w:tr>
    </w:tbl>
    <w:p w:rsidR="00CB3F9D" w:rsidRDefault="00CB3F9D" w:rsidP="00822877">
      <w:pPr>
        <w:spacing w:after="0" w:line="360" w:lineRule="auto"/>
        <w:jc w:val="both"/>
        <w:rPr>
          <w:rFonts w:ascii="Times New Roman" w:hAnsi="Times New Roman"/>
          <w:sz w:val="24"/>
          <w:szCs w:val="24"/>
        </w:rPr>
      </w:pPr>
      <w:r>
        <w:rPr>
          <w:rFonts w:ascii="Times New Roman" w:hAnsi="Times New Roman"/>
          <w:b/>
          <w:sz w:val="18"/>
          <w:szCs w:val="18"/>
        </w:rPr>
        <w:t>Elaboração própria</w:t>
      </w:r>
      <w:r w:rsidR="002B1E6A">
        <w:rPr>
          <w:rFonts w:ascii="Times New Roman" w:hAnsi="Times New Roman"/>
          <w:b/>
          <w:sz w:val="18"/>
          <w:szCs w:val="18"/>
        </w:rPr>
        <w:t>.</w:t>
      </w:r>
      <w:r w:rsidR="00822877">
        <w:rPr>
          <w:rFonts w:ascii="Times New Roman" w:hAnsi="Times New Roman"/>
          <w:sz w:val="24"/>
          <w:szCs w:val="24"/>
        </w:rPr>
        <w:tab/>
      </w:r>
    </w:p>
    <w:p w:rsidR="00822877" w:rsidRDefault="00822877" w:rsidP="00CB3F9D">
      <w:pPr>
        <w:spacing w:before="240" w:after="0" w:line="360" w:lineRule="auto"/>
        <w:ind w:firstLine="708"/>
        <w:jc w:val="both"/>
        <w:rPr>
          <w:rFonts w:ascii="Times New Roman" w:hAnsi="Times New Roman"/>
          <w:sz w:val="24"/>
          <w:szCs w:val="24"/>
        </w:rPr>
      </w:pPr>
      <w:r>
        <w:rPr>
          <w:rFonts w:ascii="Times New Roman" w:hAnsi="Times New Roman"/>
          <w:sz w:val="24"/>
          <w:szCs w:val="24"/>
        </w:rPr>
        <w:t xml:space="preserve">Para confeccionar este quadro foi pesquisada a atuação profissional dos conselheiros do CDES de 2003 até 2006. Nos casos de Eduardo Eugênio Gouvea Vieira e Roger Agnelli retrocedemos um pouco no tempo a fim de abarcar suas ligações com o setor </w:t>
      </w:r>
      <w:r w:rsidR="0025434D">
        <w:rPr>
          <w:rFonts w:ascii="Times New Roman" w:hAnsi="Times New Roman"/>
          <w:sz w:val="24"/>
          <w:szCs w:val="24"/>
        </w:rPr>
        <w:t>bancário, para além de suas atividades nos setores</w:t>
      </w:r>
      <w:r w:rsidR="005A6771">
        <w:rPr>
          <w:rFonts w:ascii="Times New Roman" w:hAnsi="Times New Roman"/>
          <w:sz w:val="24"/>
          <w:szCs w:val="24"/>
        </w:rPr>
        <w:t xml:space="preserve"> de distribuição de derivados de petróleo e mineração</w:t>
      </w:r>
      <w:r w:rsidR="00A9016D">
        <w:rPr>
          <w:rFonts w:ascii="Times New Roman" w:hAnsi="Times New Roman"/>
          <w:sz w:val="24"/>
          <w:szCs w:val="24"/>
        </w:rPr>
        <w:t>, respectivamente</w:t>
      </w:r>
      <w:r w:rsidR="005A6771">
        <w:rPr>
          <w:rFonts w:ascii="Times New Roman" w:hAnsi="Times New Roman"/>
          <w:sz w:val="24"/>
          <w:szCs w:val="24"/>
        </w:rPr>
        <w:t>.</w:t>
      </w:r>
      <w:r w:rsidR="00294168">
        <w:rPr>
          <w:rFonts w:ascii="Times New Roman" w:hAnsi="Times New Roman"/>
          <w:sz w:val="24"/>
          <w:szCs w:val="24"/>
        </w:rPr>
        <w:t xml:space="preserve">Às </w:t>
      </w:r>
      <w:r>
        <w:rPr>
          <w:rFonts w:ascii="Times New Roman" w:hAnsi="Times New Roman"/>
          <w:sz w:val="24"/>
          <w:szCs w:val="24"/>
        </w:rPr>
        <w:t>exceções dos bancos Fibra, Sogeral, Dibens e Gerdau, de pequeno e médio porte</w:t>
      </w:r>
      <w:r w:rsidR="005A6771">
        <w:rPr>
          <w:rFonts w:ascii="Times New Roman" w:hAnsi="Times New Roman"/>
          <w:sz w:val="24"/>
          <w:szCs w:val="24"/>
        </w:rPr>
        <w:t>s, 10 conselheiros-banqueiros</w:t>
      </w:r>
      <w:r w:rsidR="00294168">
        <w:rPr>
          <w:rFonts w:ascii="Times New Roman" w:hAnsi="Times New Roman"/>
          <w:sz w:val="24"/>
          <w:szCs w:val="24"/>
        </w:rPr>
        <w:t xml:space="preserve">detinham </w:t>
      </w:r>
      <w:r>
        <w:rPr>
          <w:rFonts w:ascii="Times New Roman" w:hAnsi="Times New Roman"/>
          <w:sz w:val="24"/>
          <w:szCs w:val="24"/>
        </w:rPr>
        <w:t xml:space="preserve">ligações orgânicas com grandes bancos </w:t>
      </w:r>
      <w:r w:rsidR="009B3650">
        <w:rPr>
          <w:rFonts w:ascii="Times New Roman" w:hAnsi="Times New Roman"/>
          <w:sz w:val="24"/>
          <w:szCs w:val="24"/>
        </w:rPr>
        <w:t xml:space="preserve">de origem </w:t>
      </w:r>
      <w:r>
        <w:rPr>
          <w:rFonts w:ascii="Times New Roman" w:hAnsi="Times New Roman"/>
          <w:sz w:val="24"/>
          <w:szCs w:val="24"/>
        </w:rPr>
        <w:t xml:space="preserve">nacionais e estrangeiros atuantes na economia brasileira, expressando cerca de 11% do total de conselheiros presentes no CDES e 21% dos empresários.  Encontramos a inserção deles na Presidência, Vice-Presidência, Diretorias e em Conselhos de Administração de grandes grupos </w:t>
      </w:r>
      <w:r w:rsidR="005A6771">
        <w:rPr>
          <w:rFonts w:ascii="Times New Roman" w:hAnsi="Times New Roman"/>
          <w:sz w:val="24"/>
          <w:szCs w:val="24"/>
        </w:rPr>
        <w:t xml:space="preserve">bancários </w:t>
      </w:r>
      <w:r>
        <w:rPr>
          <w:rFonts w:ascii="Times New Roman" w:hAnsi="Times New Roman"/>
          <w:sz w:val="24"/>
          <w:szCs w:val="24"/>
        </w:rPr>
        <w:t>privados.</w:t>
      </w:r>
    </w:p>
    <w:p w:rsidR="00822877" w:rsidRDefault="00822877" w:rsidP="00822877">
      <w:pPr>
        <w:spacing w:line="360" w:lineRule="auto"/>
        <w:jc w:val="both"/>
        <w:rPr>
          <w:rFonts w:ascii="Times New Roman" w:hAnsi="Times New Roman"/>
          <w:sz w:val="24"/>
          <w:szCs w:val="24"/>
        </w:rPr>
      </w:pPr>
      <w:r>
        <w:rPr>
          <w:rFonts w:ascii="Times New Roman" w:hAnsi="Times New Roman"/>
          <w:sz w:val="24"/>
          <w:szCs w:val="24"/>
        </w:rPr>
        <w:tab/>
        <w:t xml:space="preserve">Não há dúvidas de que o grande capital </w:t>
      </w:r>
      <w:r w:rsidR="005A6771">
        <w:rPr>
          <w:rFonts w:ascii="Times New Roman" w:hAnsi="Times New Roman"/>
          <w:sz w:val="24"/>
          <w:szCs w:val="24"/>
        </w:rPr>
        <w:t>bancário</w:t>
      </w:r>
      <w:r>
        <w:rPr>
          <w:rFonts w:ascii="Times New Roman" w:hAnsi="Times New Roman"/>
          <w:sz w:val="24"/>
          <w:szCs w:val="24"/>
        </w:rPr>
        <w:t xml:space="preserve"> presente no CDES representava a ponta de lança dos setores mais dinâmicos do capitalismo brasileiro. De acordo com o levantamento feito a partir da referida Revista “Balanço Anual 2004” da Gazeta Mercantil, as seis instituições bancárias privadas (Itaú, Bradesco, Santander/Banespa, Unibanco, ABN AMRO e Citibank) figuradas no CDES apareceram em destacadas posições em relação ao patrimônio líquido de 300 grupos econômicos listados. Informações tabuladas em Minella, colhidas junto ao Banco Central, dão conta de que as mesmas instituições eram vistas entre os dez maiores bancos privados por operações de crédito em 2005.</w:t>
      </w:r>
      <w:r>
        <w:rPr>
          <w:rStyle w:val="Refdenotaderodap"/>
          <w:rFonts w:ascii="Times New Roman" w:hAnsi="Times New Roman"/>
          <w:sz w:val="24"/>
          <w:szCs w:val="24"/>
        </w:rPr>
        <w:footnoteReference w:id="271"/>
      </w:r>
    </w:p>
    <w:p w:rsidR="00822877" w:rsidRDefault="00822877" w:rsidP="00822877">
      <w:pPr>
        <w:jc w:val="center"/>
        <w:rPr>
          <w:rFonts w:ascii="Times New Roman" w:hAnsi="Times New Roman"/>
          <w:b/>
          <w:sz w:val="24"/>
          <w:szCs w:val="24"/>
        </w:rPr>
      </w:pPr>
      <w:r>
        <w:rPr>
          <w:rFonts w:ascii="Times New Roman" w:hAnsi="Times New Roman"/>
          <w:b/>
          <w:sz w:val="24"/>
          <w:szCs w:val="24"/>
        </w:rPr>
        <w:t>Quadro 2.12 – Origem do controle acionário e ranking (PL) dos Grupos Bancários Privados presentes no CDES</w:t>
      </w:r>
    </w:p>
    <w:tbl>
      <w:tblPr>
        <w:tblW w:w="4877"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116"/>
        <w:gridCol w:w="1926"/>
        <w:gridCol w:w="2301"/>
        <w:gridCol w:w="2716"/>
      </w:tblGrid>
      <w:tr w:rsidR="00822877" w:rsidRPr="008211FD" w:rsidTr="00CE3680">
        <w:tc>
          <w:tcPr>
            <w:tcW w:w="1168"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jc w:val="both"/>
              <w:rPr>
                <w:rFonts w:ascii="Times New Roman" w:eastAsia="Times New Roman" w:hAnsi="Times New Roman"/>
                <w:b/>
                <w:bCs/>
                <w:sz w:val="20"/>
                <w:szCs w:val="20"/>
              </w:rPr>
            </w:pPr>
            <w:r w:rsidRPr="008211FD">
              <w:rPr>
                <w:rFonts w:ascii="Times New Roman" w:eastAsia="Times New Roman" w:hAnsi="Times New Roman"/>
                <w:b/>
                <w:bCs/>
                <w:sz w:val="20"/>
                <w:szCs w:val="20"/>
              </w:rPr>
              <w:t xml:space="preserve">Grupos </w:t>
            </w:r>
            <w:r w:rsidR="005A6771" w:rsidRPr="008211FD">
              <w:rPr>
                <w:rFonts w:ascii="Times New Roman" w:eastAsia="Times New Roman" w:hAnsi="Times New Roman"/>
                <w:b/>
                <w:bCs/>
                <w:sz w:val="20"/>
                <w:szCs w:val="20"/>
              </w:rPr>
              <w:t>Bancários</w:t>
            </w:r>
          </w:p>
          <w:p w:rsidR="00822877" w:rsidRPr="008211FD" w:rsidRDefault="00822877" w:rsidP="00CE3680">
            <w:pPr>
              <w:spacing w:after="0" w:line="240" w:lineRule="auto"/>
              <w:jc w:val="both"/>
              <w:rPr>
                <w:rFonts w:ascii="Times New Roman" w:eastAsia="Times New Roman" w:hAnsi="Times New Roman"/>
                <w:b/>
                <w:bCs/>
                <w:sz w:val="20"/>
                <w:szCs w:val="20"/>
              </w:rPr>
            </w:pPr>
            <w:r w:rsidRPr="008211FD">
              <w:rPr>
                <w:rFonts w:ascii="Times New Roman" w:eastAsia="Times New Roman" w:hAnsi="Times New Roman"/>
                <w:b/>
                <w:bCs/>
                <w:sz w:val="20"/>
                <w:szCs w:val="20"/>
              </w:rPr>
              <w:t>presentes no CDES</w:t>
            </w:r>
          </w:p>
        </w:tc>
        <w:tc>
          <w:tcPr>
            <w:tcW w:w="1063"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jc w:val="center"/>
              <w:rPr>
                <w:rFonts w:ascii="Times New Roman" w:eastAsia="Times New Roman" w:hAnsi="Times New Roman"/>
                <w:b/>
                <w:bCs/>
                <w:sz w:val="20"/>
                <w:szCs w:val="20"/>
              </w:rPr>
            </w:pPr>
            <w:r w:rsidRPr="008211FD">
              <w:rPr>
                <w:rFonts w:ascii="Times New Roman" w:eastAsia="Times New Roman" w:hAnsi="Times New Roman"/>
                <w:b/>
                <w:bCs/>
                <w:sz w:val="20"/>
                <w:szCs w:val="20"/>
              </w:rPr>
              <w:t>Nº Conselheiros no CDES</w:t>
            </w:r>
            <w:r w:rsidRPr="008211FD">
              <w:rPr>
                <w:rStyle w:val="Refdenotaderodap"/>
                <w:b/>
                <w:bCs/>
              </w:rPr>
              <w:footnoteReference w:id="272"/>
            </w:r>
          </w:p>
        </w:tc>
        <w:tc>
          <w:tcPr>
            <w:tcW w:w="1270"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jc w:val="center"/>
              <w:rPr>
                <w:rFonts w:ascii="Times New Roman" w:eastAsia="Times New Roman" w:hAnsi="Times New Roman"/>
                <w:b/>
                <w:bCs/>
                <w:sz w:val="20"/>
                <w:szCs w:val="20"/>
              </w:rPr>
            </w:pPr>
            <w:r w:rsidRPr="008211FD">
              <w:rPr>
                <w:rFonts w:ascii="Times New Roman" w:eastAsia="Times New Roman" w:hAnsi="Times New Roman"/>
                <w:b/>
                <w:bCs/>
                <w:sz w:val="20"/>
                <w:szCs w:val="20"/>
              </w:rPr>
              <w:t>Controle</w:t>
            </w:r>
          </w:p>
        </w:tc>
        <w:tc>
          <w:tcPr>
            <w:tcW w:w="1499"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ind w:firstLine="23"/>
              <w:jc w:val="center"/>
              <w:rPr>
                <w:rFonts w:ascii="Times New Roman" w:eastAsia="Times New Roman" w:hAnsi="Times New Roman"/>
                <w:b/>
                <w:bCs/>
                <w:sz w:val="20"/>
                <w:szCs w:val="20"/>
              </w:rPr>
            </w:pPr>
            <w:r w:rsidRPr="008211FD">
              <w:rPr>
                <w:rFonts w:ascii="Times New Roman" w:eastAsia="Times New Roman" w:hAnsi="Times New Roman"/>
                <w:b/>
                <w:bCs/>
                <w:sz w:val="20"/>
                <w:szCs w:val="20"/>
              </w:rPr>
              <w:t>Ranking 2004</w:t>
            </w:r>
          </w:p>
          <w:p w:rsidR="00822877" w:rsidRPr="008211FD" w:rsidRDefault="00822877" w:rsidP="00CE3680">
            <w:pPr>
              <w:spacing w:after="0" w:line="240" w:lineRule="auto"/>
              <w:ind w:firstLine="23"/>
              <w:jc w:val="center"/>
              <w:rPr>
                <w:rFonts w:ascii="Times New Roman" w:eastAsia="Times New Roman" w:hAnsi="Times New Roman"/>
                <w:b/>
                <w:bCs/>
                <w:sz w:val="20"/>
                <w:szCs w:val="20"/>
              </w:rPr>
            </w:pPr>
            <w:r w:rsidRPr="008211FD">
              <w:rPr>
                <w:rFonts w:ascii="Times New Roman" w:eastAsia="Times New Roman" w:hAnsi="Times New Roman"/>
                <w:b/>
                <w:bCs/>
                <w:sz w:val="20"/>
                <w:szCs w:val="20"/>
              </w:rPr>
              <w:t>PL (R$ MIL)</w:t>
            </w:r>
          </w:p>
        </w:tc>
      </w:tr>
      <w:tr w:rsidR="00822877" w:rsidRPr="008211FD" w:rsidTr="00CE3680">
        <w:tc>
          <w:tcPr>
            <w:tcW w:w="1168"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both"/>
              <w:rPr>
                <w:rFonts w:ascii="Times New Roman" w:eastAsia="Times New Roman" w:hAnsi="Times New Roman"/>
                <w:b/>
                <w:bCs/>
                <w:sz w:val="20"/>
                <w:szCs w:val="20"/>
              </w:rPr>
            </w:pPr>
            <w:r w:rsidRPr="008211FD">
              <w:rPr>
                <w:rFonts w:ascii="Times New Roman" w:eastAsia="Times New Roman" w:hAnsi="Times New Roman"/>
                <w:bCs/>
                <w:sz w:val="20"/>
                <w:szCs w:val="20"/>
              </w:rPr>
              <w:t>Itaúsa</w:t>
            </w:r>
          </w:p>
        </w:tc>
        <w:tc>
          <w:tcPr>
            <w:tcW w:w="1063"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3</w:t>
            </w:r>
          </w:p>
        </w:tc>
        <w:tc>
          <w:tcPr>
            <w:tcW w:w="1270"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Nacional</w:t>
            </w:r>
          </w:p>
        </w:tc>
        <w:tc>
          <w:tcPr>
            <w:tcW w:w="1499"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left="-35" w:firstLine="23"/>
              <w:jc w:val="center"/>
              <w:rPr>
                <w:rFonts w:ascii="Times New Roman" w:hAnsi="Times New Roman"/>
                <w:sz w:val="20"/>
                <w:szCs w:val="20"/>
              </w:rPr>
            </w:pPr>
            <w:r w:rsidRPr="008211FD">
              <w:rPr>
                <w:rFonts w:ascii="Times New Roman" w:hAnsi="Times New Roman"/>
                <w:sz w:val="20"/>
                <w:szCs w:val="20"/>
              </w:rPr>
              <w:t>6º lugar – 14.759.584</w:t>
            </w:r>
          </w:p>
        </w:tc>
      </w:tr>
      <w:tr w:rsidR="00822877" w:rsidRPr="008211FD" w:rsidTr="00CE3680">
        <w:tc>
          <w:tcPr>
            <w:tcW w:w="1168"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both"/>
              <w:rPr>
                <w:rFonts w:ascii="Times New Roman" w:eastAsia="Times New Roman" w:hAnsi="Times New Roman"/>
                <w:b/>
                <w:bCs/>
                <w:sz w:val="20"/>
                <w:szCs w:val="20"/>
              </w:rPr>
            </w:pPr>
            <w:r w:rsidRPr="008211FD">
              <w:rPr>
                <w:rFonts w:ascii="Times New Roman" w:eastAsia="Times New Roman" w:hAnsi="Times New Roman"/>
                <w:bCs/>
                <w:sz w:val="20"/>
                <w:szCs w:val="20"/>
              </w:rPr>
              <w:t>Bradesco</w:t>
            </w:r>
          </w:p>
        </w:tc>
        <w:tc>
          <w:tcPr>
            <w:tcW w:w="1063"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2</w:t>
            </w:r>
          </w:p>
        </w:tc>
        <w:tc>
          <w:tcPr>
            <w:tcW w:w="1270"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Nacional</w:t>
            </w:r>
          </w:p>
        </w:tc>
        <w:tc>
          <w:tcPr>
            <w:tcW w:w="1499"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left="-35" w:firstLine="23"/>
              <w:jc w:val="center"/>
              <w:rPr>
                <w:rFonts w:ascii="Times New Roman" w:hAnsi="Times New Roman"/>
                <w:sz w:val="20"/>
                <w:szCs w:val="20"/>
              </w:rPr>
            </w:pPr>
            <w:r w:rsidRPr="008211FD">
              <w:rPr>
                <w:rFonts w:ascii="Times New Roman" w:hAnsi="Times New Roman"/>
                <w:sz w:val="20"/>
                <w:szCs w:val="20"/>
                <w:lang w:val="pt-PT"/>
              </w:rPr>
              <w:t>7º lugar – 13.659.609</w:t>
            </w:r>
          </w:p>
        </w:tc>
      </w:tr>
      <w:tr w:rsidR="00822877" w:rsidRPr="008211FD" w:rsidTr="00CE3680">
        <w:tc>
          <w:tcPr>
            <w:tcW w:w="1168"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both"/>
              <w:rPr>
                <w:rFonts w:ascii="Times New Roman" w:eastAsia="Times New Roman" w:hAnsi="Times New Roman"/>
                <w:b/>
                <w:bCs/>
                <w:sz w:val="20"/>
                <w:szCs w:val="20"/>
              </w:rPr>
            </w:pPr>
            <w:r w:rsidRPr="008211FD">
              <w:rPr>
                <w:rFonts w:ascii="Times New Roman" w:eastAsia="Times New Roman" w:hAnsi="Times New Roman"/>
                <w:bCs/>
                <w:sz w:val="20"/>
                <w:szCs w:val="20"/>
              </w:rPr>
              <w:t>Santander/Banespa</w:t>
            </w:r>
          </w:p>
        </w:tc>
        <w:tc>
          <w:tcPr>
            <w:tcW w:w="1063"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1</w:t>
            </w:r>
          </w:p>
        </w:tc>
        <w:tc>
          <w:tcPr>
            <w:tcW w:w="1270"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Estrangeiro</w:t>
            </w:r>
          </w:p>
        </w:tc>
        <w:tc>
          <w:tcPr>
            <w:tcW w:w="1499"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left="-35" w:firstLine="23"/>
              <w:jc w:val="center"/>
              <w:rPr>
                <w:rFonts w:ascii="Times New Roman" w:hAnsi="Times New Roman"/>
                <w:sz w:val="20"/>
                <w:szCs w:val="20"/>
                <w:lang w:val="pt-PT"/>
              </w:rPr>
            </w:pPr>
            <w:r w:rsidRPr="008211FD">
              <w:rPr>
                <w:rFonts w:ascii="Times New Roman" w:hAnsi="Times New Roman"/>
                <w:sz w:val="20"/>
                <w:szCs w:val="20"/>
                <w:lang w:val="pt-PT"/>
              </w:rPr>
              <w:t>14º lugar – 7.997.120</w:t>
            </w:r>
          </w:p>
        </w:tc>
      </w:tr>
      <w:tr w:rsidR="00822877" w:rsidRPr="008211FD" w:rsidTr="00CE3680">
        <w:tc>
          <w:tcPr>
            <w:tcW w:w="1168"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both"/>
              <w:rPr>
                <w:rFonts w:ascii="Times New Roman" w:eastAsia="Times New Roman" w:hAnsi="Times New Roman"/>
                <w:b/>
                <w:bCs/>
                <w:sz w:val="20"/>
                <w:szCs w:val="20"/>
                <w:lang w:val="en-US"/>
              </w:rPr>
            </w:pPr>
            <w:r w:rsidRPr="008211FD">
              <w:rPr>
                <w:rFonts w:ascii="Times New Roman" w:eastAsia="Times New Roman" w:hAnsi="Times New Roman"/>
                <w:bCs/>
                <w:sz w:val="20"/>
                <w:szCs w:val="20"/>
                <w:lang w:val="en-US"/>
              </w:rPr>
              <w:t>Unibanco</w:t>
            </w:r>
          </w:p>
        </w:tc>
        <w:tc>
          <w:tcPr>
            <w:tcW w:w="1063"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3</w:t>
            </w:r>
          </w:p>
        </w:tc>
        <w:tc>
          <w:tcPr>
            <w:tcW w:w="1270"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Participação estrangeira</w:t>
            </w:r>
          </w:p>
        </w:tc>
        <w:tc>
          <w:tcPr>
            <w:tcW w:w="1499"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lang w:val="pt-PT"/>
              </w:rPr>
              <w:t>15º lugar – 7.991.561</w:t>
            </w:r>
          </w:p>
        </w:tc>
      </w:tr>
      <w:tr w:rsidR="00822877" w:rsidRPr="008211FD" w:rsidTr="00CE3680">
        <w:tc>
          <w:tcPr>
            <w:tcW w:w="1168"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both"/>
              <w:rPr>
                <w:rFonts w:ascii="Times New Roman" w:eastAsia="Times New Roman" w:hAnsi="Times New Roman"/>
                <w:b/>
                <w:bCs/>
                <w:sz w:val="20"/>
                <w:szCs w:val="20"/>
                <w:lang w:val="en-US"/>
              </w:rPr>
            </w:pPr>
            <w:r w:rsidRPr="008211FD">
              <w:rPr>
                <w:rFonts w:ascii="Times New Roman" w:eastAsia="Times New Roman" w:hAnsi="Times New Roman"/>
                <w:bCs/>
                <w:sz w:val="20"/>
                <w:szCs w:val="20"/>
                <w:lang w:val="en-US"/>
              </w:rPr>
              <w:t xml:space="preserve">ABN Amro </w:t>
            </w:r>
          </w:p>
        </w:tc>
        <w:tc>
          <w:tcPr>
            <w:tcW w:w="1063"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1</w:t>
            </w:r>
          </w:p>
        </w:tc>
        <w:tc>
          <w:tcPr>
            <w:tcW w:w="1270"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Estrangeiro</w:t>
            </w:r>
          </w:p>
        </w:tc>
        <w:tc>
          <w:tcPr>
            <w:tcW w:w="1499"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lang w:val="pt-PT"/>
              </w:rPr>
            </w:pPr>
            <w:r w:rsidRPr="008211FD">
              <w:rPr>
                <w:rFonts w:ascii="Times New Roman" w:hAnsi="Times New Roman"/>
                <w:sz w:val="20"/>
                <w:szCs w:val="20"/>
                <w:lang w:val="pt-PT"/>
              </w:rPr>
              <w:t>17º lugar – 7.138.513</w:t>
            </w:r>
          </w:p>
        </w:tc>
      </w:tr>
      <w:tr w:rsidR="00822877" w:rsidRPr="008211FD" w:rsidTr="00CE3680">
        <w:tc>
          <w:tcPr>
            <w:tcW w:w="1168"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both"/>
              <w:rPr>
                <w:rFonts w:ascii="Times New Roman" w:eastAsia="Times New Roman" w:hAnsi="Times New Roman"/>
                <w:b/>
                <w:bCs/>
                <w:sz w:val="20"/>
                <w:szCs w:val="20"/>
                <w:lang w:val="en-US"/>
              </w:rPr>
            </w:pPr>
            <w:r w:rsidRPr="008211FD">
              <w:rPr>
                <w:rFonts w:ascii="Times New Roman" w:eastAsia="Times New Roman" w:hAnsi="Times New Roman"/>
                <w:bCs/>
                <w:sz w:val="20"/>
                <w:szCs w:val="20"/>
                <w:lang w:val="en-US"/>
              </w:rPr>
              <w:t>Citibank</w:t>
            </w:r>
          </w:p>
        </w:tc>
        <w:tc>
          <w:tcPr>
            <w:tcW w:w="1063"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2</w:t>
            </w:r>
          </w:p>
        </w:tc>
        <w:tc>
          <w:tcPr>
            <w:tcW w:w="1270"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Estrangeiro</w:t>
            </w:r>
          </w:p>
        </w:tc>
        <w:tc>
          <w:tcPr>
            <w:tcW w:w="1499"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lang w:val="pt-PT"/>
              </w:rPr>
            </w:pPr>
            <w:r w:rsidRPr="008211FD">
              <w:rPr>
                <w:rFonts w:ascii="Times New Roman" w:hAnsi="Times New Roman"/>
                <w:sz w:val="20"/>
                <w:szCs w:val="20"/>
              </w:rPr>
              <w:t>35º - 3.290.287</w:t>
            </w:r>
          </w:p>
        </w:tc>
      </w:tr>
    </w:tbl>
    <w:p w:rsidR="00CB3F9D" w:rsidRDefault="00CB3F9D" w:rsidP="00822877">
      <w:pPr>
        <w:spacing w:line="360" w:lineRule="auto"/>
        <w:jc w:val="both"/>
        <w:rPr>
          <w:rFonts w:ascii="Times New Roman" w:hAnsi="Times New Roman"/>
          <w:sz w:val="24"/>
          <w:szCs w:val="24"/>
        </w:rPr>
      </w:pPr>
      <w:r>
        <w:rPr>
          <w:rFonts w:ascii="Times New Roman" w:hAnsi="Times New Roman"/>
          <w:b/>
          <w:sz w:val="18"/>
          <w:szCs w:val="18"/>
        </w:rPr>
        <w:t>Elaboração própria</w:t>
      </w:r>
      <w:r w:rsidR="00C62FDC">
        <w:rPr>
          <w:rFonts w:ascii="Times New Roman" w:hAnsi="Times New Roman"/>
          <w:b/>
          <w:sz w:val="18"/>
          <w:szCs w:val="18"/>
        </w:rPr>
        <w:t xml:space="preserve">. </w:t>
      </w:r>
    </w:p>
    <w:p w:rsidR="00822877" w:rsidRPr="00414D01" w:rsidRDefault="00822877" w:rsidP="00822877">
      <w:pPr>
        <w:spacing w:before="240" w:line="360" w:lineRule="auto"/>
        <w:jc w:val="both"/>
        <w:rPr>
          <w:rFonts w:ascii="Times New Roman" w:hAnsi="Times New Roman"/>
          <w:sz w:val="24"/>
          <w:szCs w:val="24"/>
        </w:rPr>
      </w:pPr>
      <w:r>
        <w:rPr>
          <w:rFonts w:ascii="Times New Roman" w:hAnsi="Times New Roman"/>
          <w:sz w:val="24"/>
          <w:szCs w:val="24"/>
        </w:rPr>
        <w:tab/>
        <w:t>Um dos aspectos mais importantes a ser destacado é a existência de concentração de grandes recursos em poucas instituições. Segundo dados trazidos pelo comunicado da presidência do IPEA houve, desde o início da década de 1990, juntamente com avanços tecnológicos e sofisticação de serviços, uma maior concentração bancária e crescimento do capital estrangeiro no setor. Somente em dez anos (1996-2006) a participação dos 20 maiores bancos no total de ativos aumentou 20%, passando de 72% para mais de 86%.</w:t>
      </w:r>
      <w:r>
        <w:rPr>
          <w:rStyle w:val="Refdenotaderodap"/>
          <w:rFonts w:ascii="Times New Roman" w:hAnsi="Times New Roman"/>
          <w:sz w:val="24"/>
          <w:szCs w:val="24"/>
        </w:rPr>
        <w:footnoteReference w:id="273"/>
      </w:r>
      <w:r w:rsidR="005A6771">
        <w:rPr>
          <w:rFonts w:ascii="Times New Roman" w:hAnsi="Times New Roman"/>
          <w:sz w:val="24"/>
          <w:szCs w:val="24"/>
        </w:rPr>
        <w:t>O</w:t>
      </w:r>
      <w:r>
        <w:rPr>
          <w:rFonts w:ascii="Times New Roman" w:hAnsi="Times New Roman"/>
          <w:sz w:val="24"/>
          <w:szCs w:val="24"/>
        </w:rPr>
        <w:t xml:space="preserve"> comunicado alerta para a redução em 32,2% da quantidade de bancos em operação no Brasil (156 instituições) entre 1996 e 2007, enquanto Alemanha e EUA registram, respectivamente, 2.130 e 7.282 bancos.</w:t>
      </w:r>
      <w:r>
        <w:rPr>
          <w:rStyle w:val="Refdenotaderodap"/>
          <w:rFonts w:ascii="Times New Roman" w:hAnsi="Times New Roman"/>
          <w:sz w:val="24"/>
          <w:szCs w:val="24"/>
        </w:rPr>
        <w:footnoteReference w:id="274"/>
      </w:r>
      <w:r w:rsidR="009B3650" w:rsidRPr="00414D01">
        <w:rPr>
          <w:rFonts w:ascii="Times New Roman" w:hAnsi="Times New Roman"/>
          <w:sz w:val="24"/>
          <w:szCs w:val="24"/>
        </w:rPr>
        <w:t xml:space="preserve">Lênin </w:t>
      </w:r>
      <w:r w:rsidR="008E5BE7" w:rsidRPr="00414D01">
        <w:rPr>
          <w:rFonts w:ascii="Times New Roman" w:hAnsi="Times New Roman"/>
          <w:sz w:val="24"/>
          <w:szCs w:val="24"/>
        </w:rPr>
        <w:t>alertou</w:t>
      </w:r>
      <w:r w:rsidR="009B3650" w:rsidRPr="00414D01">
        <w:rPr>
          <w:rFonts w:ascii="Times New Roman" w:hAnsi="Times New Roman"/>
          <w:sz w:val="24"/>
          <w:szCs w:val="24"/>
        </w:rPr>
        <w:t xml:space="preserve"> há quase um século </w:t>
      </w:r>
      <w:r w:rsidR="000E1E28" w:rsidRPr="00414D01">
        <w:rPr>
          <w:rFonts w:ascii="Times New Roman" w:hAnsi="Times New Roman"/>
          <w:sz w:val="24"/>
          <w:szCs w:val="24"/>
        </w:rPr>
        <w:t xml:space="preserve">(1916) </w:t>
      </w:r>
      <w:r w:rsidR="009B3650" w:rsidRPr="00414D01">
        <w:rPr>
          <w:rFonts w:ascii="Times New Roman" w:hAnsi="Times New Roman"/>
          <w:sz w:val="24"/>
          <w:szCs w:val="24"/>
        </w:rPr>
        <w:t xml:space="preserve">a dimensão concentracionista e monopolista </w:t>
      </w:r>
      <w:r w:rsidR="000E1E28" w:rsidRPr="00414D01">
        <w:rPr>
          <w:rFonts w:ascii="Times New Roman" w:hAnsi="Times New Roman"/>
          <w:sz w:val="24"/>
          <w:szCs w:val="24"/>
        </w:rPr>
        <w:t xml:space="preserve">que </w:t>
      </w:r>
      <w:r w:rsidR="009B3650" w:rsidRPr="00414D01">
        <w:rPr>
          <w:rFonts w:ascii="Times New Roman" w:hAnsi="Times New Roman"/>
          <w:sz w:val="24"/>
          <w:szCs w:val="24"/>
        </w:rPr>
        <w:t>os bancos</w:t>
      </w:r>
      <w:r w:rsidR="000E1E28" w:rsidRPr="00414D01">
        <w:rPr>
          <w:rFonts w:ascii="Times New Roman" w:hAnsi="Times New Roman"/>
          <w:sz w:val="24"/>
          <w:szCs w:val="24"/>
        </w:rPr>
        <w:t xml:space="preserve"> assumiam</w:t>
      </w:r>
      <w:r w:rsidR="009B3650" w:rsidRPr="00414D01">
        <w:rPr>
          <w:rFonts w:ascii="Times New Roman" w:hAnsi="Times New Roman"/>
          <w:sz w:val="24"/>
          <w:szCs w:val="24"/>
        </w:rPr>
        <w:t>:</w:t>
      </w:r>
    </w:p>
    <w:p w:rsidR="009B3650" w:rsidRPr="00414D01" w:rsidRDefault="009B3650" w:rsidP="000E1E28">
      <w:pPr>
        <w:spacing w:line="240" w:lineRule="auto"/>
        <w:ind w:left="2268"/>
        <w:jc w:val="both"/>
        <w:rPr>
          <w:rFonts w:ascii="Times New Roman" w:hAnsi="Times New Roman"/>
          <w:sz w:val="20"/>
          <w:szCs w:val="20"/>
        </w:rPr>
      </w:pPr>
      <w:r w:rsidRPr="00414D01">
        <w:rPr>
          <w:rFonts w:ascii="Times New Roman" w:hAnsi="Times New Roman"/>
          <w:sz w:val="20"/>
          <w:szCs w:val="20"/>
        </w:rPr>
        <w:t xml:space="preserve">Sublinhamos a indicação relativa aos bancos “ligados” [bancos sob controle </w:t>
      </w:r>
      <w:r w:rsidR="000E1E28" w:rsidRPr="00414D01">
        <w:rPr>
          <w:rFonts w:ascii="Times New Roman" w:hAnsi="Times New Roman"/>
          <w:sz w:val="20"/>
          <w:szCs w:val="20"/>
        </w:rPr>
        <w:t xml:space="preserve">de </w:t>
      </w:r>
      <w:r w:rsidRPr="00414D01">
        <w:rPr>
          <w:rFonts w:ascii="Times New Roman" w:hAnsi="Times New Roman"/>
          <w:sz w:val="20"/>
          <w:szCs w:val="20"/>
        </w:rPr>
        <w:t>outros maiores] porque se refere a uma das características mais importantes da concentração capitalist</w:t>
      </w:r>
      <w:r w:rsidR="00AA584B" w:rsidRPr="00414D01">
        <w:rPr>
          <w:rFonts w:ascii="Times New Roman" w:hAnsi="Times New Roman"/>
          <w:sz w:val="20"/>
          <w:szCs w:val="20"/>
        </w:rPr>
        <w:t>a</w:t>
      </w:r>
      <w:r w:rsidRPr="00414D01">
        <w:rPr>
          <w:rFonts w:ascii="Times New Roman" w:hAnsi="Times New Roman"/>
          <w:sz w:val="20"/>
          <w:szCs w:val="20"/>
        </w:rPr>
        <w:t xml:space="preserve"> moderna. Os grandes estabelecimentos, particularmente os bancos, não só absorvem diretamente os pequenos como os “incorporam”, subordinam, incluem-nos no “seu” grupo, no seu </w:t>
      </w:r>
      <w:r w:rsidR="000E1E28" w:rsidRPr="00414D01">
        <w:rPr>
          <w:rFonts w:ascii="Times New Roman" w:hAnsi="Times New Roman"/>
          <w:sz w:val="20"/>
          <w:szCs w:val="20"/>
        </w:rPr>
        <w:t>“consórcio” (...) por meio da “participação no seu capital, da compra ou da troca de ações, do sistema de créditos, etc., etc.</w:t>
      </w:r>
      <w:r w:rsidR="000E1E28" w:rsidRPr="00414D01">
        <w:rPr>
          <w:rStyle w:val="Refdenotaderodap"/>
          <w:rFonts w:ascii="Times New Roman" w:hAnsi="Times New Roman"/>
          <w:sz w:val="20"/>
          <w:szCs w:val="20"/>
        </w:rPr>
        <w:footnoteReference w:id="275"/>
      </w:r>
    </w:p>
    <w:p w:rsidR="00822877" w:rsidRDefault="00822877" w:rsidP="00414D01">
      <w:pPr>
        <w:spacing w:before="240" w:after="0" w:line="360" w:lineRule="auto"/>
        <w:ind w:firstLine="708"/>
        <w:jc w:val="both"/>
        <w:rPr>
          <w:rFonts w:ascii="Times New Roman" w:hAnsi="Times New Roman"/>
          <w:sz w:val="24"/>
          <w:szCs w:val="24"/>
        </w:rPr>
      </w:pPr>
      <w:r>
        <w:rPr>
          <w:rFonts w:ascii="Times New Roman" w:hAnsi="Times New Roman"/>
          <w:sz w:val="24"/>
          <w:szCs w:val="24"/>
        </w:rPr>
        <w:t xml:space="preserve">No que tange ao CDES, tal concentração era bem visível se pensarmos que somente seis grandes grupos </w:t>
      </w:r>
      <w:r w:rsidR="005A6771">
        <w:rPr>
          <w:rFonts w:ascii="Times New Roman" w:hAnsi="Times New Roman"/>
          <w:sz w:val="24"/>
          <w:szCs w:val="24"/>
        </w:rPr>
        <w:t>bancários</w:t>
      </w:r>
      <w:r>
        <w:rPr>
          <w:rFonts w:ascii="Times New Roman" w:hAnsi="Times New Roman"/>
          <w:sz w:val="24"/>
          <w:szCs w:val="24"/>
        </w:rPr>
        <w:t xml:space="preserve"> (24% do total de 25 grandes grupos econômicos nele representados) somavam R$ 54.836.674.000,00 de Patrimônio Líquido, isto é, 44,6% dos R$ 122.790.245.000,00 do total de Patrimônios Líquidos contabilizados no exercício de 2003 de todos os grupos presentes.</w:t>
      </w:r>
      <w:r>
        <w:rPr>
          <w:rStyle w:val="Refdenotaderodap"/>
          <w:rFonts w:ascii="Times New Roman" w:hAnsi="Times New Roman"/>
          <w:sz w:val="24"/>
          <w:szCs w:val="24"/>
        </w:rPr>
        <w:footnoteReference w:id="276"/>
      </w:r>
      <w:r>
        <w:rPr>
          <w:rFonts w:ascii="Times New Roman" w:hAnsi="Times New Roman"/>
          <w:sz w:val="24"/>
          <w:szCs w:val="24"/>
        </w:rPr>
        <w:t xml:space="preserve"> Gigantescas somas nas mãos de restritíssimos grupos </w:t>
      </w:r>
      <w:r w:rsidR="005A6771">
        <w:rPr>
          <w:rFonts w:ascii="Times New Roman" w:hAnsi="Times New Roman"/>
          <w:sz w:val="24"/>
          <w:szCs w:val="24"/>
        </w:rPr>
        <w:t>bancários</w:t>
      </w:r>
      <w:r>
        <w:rPr>
          <w:rFonts w:ascii="Times New Roman" w:hAnsi="Times New Roman"/>
          <w:sz w:val="24"/>
          <w:szCs w:val="24"/>
        </w:rPr>
        <w:t xml:space="preserve"> mostravam a importância deles como atores privilegiados das operações econômicas em esfera global, o calibre corporativo – o “poder de fogo” – </w:t>
      </w:r>
      <w:r w:rsidR="009E531E">
        <w:rPr>
          <w:rFonts w:ascii="Times New Roman" w:hAnsi="Times New Roman"/>
          <w:sz w:val="24"/>
          <w:szCs w:val="24"/>
        </w:rPr>
        <w:t>ante</w:t>
      </w:r>
      <w:r>
        <w:rPr>
          <w:rFonts w:ascii="Times New Roman" w:hAnsi="Times New Roman"/>
          <w:sz w:val="24"/>
          <w:szCs w:val="24"/>
        </w:rPr>
        <w:t xml:space="preserve"> a seus concorrentes, sua influência sobre as políticas governamentais e seu papel no mundo do entretenimento e da cultura.</w:t>
      </w:r>
      <w:r>
        <w:rPr>
          <w:rStyle w:val="Refdenotaderodap"/>
          <w:rFonts w:ascii="Times New Roman" w:hAnsi="Times New Roman"/>
          <w:sz w:val="24"/>
          <w:szCs w:val="24"/>
        </w:rPr>
        <w:footnoteReference w:id="277"/>
      </w:r>
      <w:r>
        <w:rPr>
          <w:rFonts w:ascii="Times New Roman" w:hAnsi="Times New Roman"/>
          <w:sz w:val="24"/>
          <w:szCs w:val="24"/>
        </w:rPr>
        <w:t xml:space="preserve"> Segundo Ary César Minella</w:t>
      </w:r>
    </w:p>
    <w:p w:rsidR="00822877" w:rsidRPr="00650B12" w:rsidRDefault="00822877" w:rsidP="00822877">
      <w:pPr>
        <w:spacing w:line="240" w:lineRule="auto"/>
        <w:ind w:left="2268"/>
        <w:jc w:val="both"/>
        <w:rPr>
          <w:rFonts w:ascii="Times New Roman" w:hAnsi="Times New Roman"/>
          <w:sz w:val="20"/>
          <w:szCs w:val="20"/>
        </w:rPr>
      </w:pPr>
      <w:r>
        <w:rPr>
          <w:rFonts w:ascii="Times New Roman" w:hAnsi="Times New Roman"/>
          <w:sz w:val="20"/>
          <w:szCs w:val="20"/>
        </w:rPr>
        <w:t>Seu poder sobre os mercados e a sociedade em geral e sua capacidade de instituir valores, de se transformar assim em um instrumento político e de controlar substantivos fluxos de capitais garante-lhes condições de vetar decisões de regulação pública, relativizar o poder do Estado e afetar a economia de diversos países. Os bancos que atuam no Brasil não são diferentes. Eles estão inseridos, ou mesmo constituem, no núcleo central de grupos econômicos cujo papel é determinante em questões econômicas e políticas de maior relevância.</w:t>
      </w:r>
      <w:r>
        <w:rPr>
          <w:rStyle w:val="Refdenotaderodap"/>
          <w:rFonts w:ascii="Times New Roman" w:hAnsi="Times New Roman"/>
          <w:sz w:val="20"/>
          <w:szCs w:val="20"/>
        </w:rPr>
        <w:footnoteReference w:id="278"/>
      </w:r>
    </w:p>
    <w:p w:rsidR="00822877" w:rsidRPr="00414D01" w:rsidRDefault="00822877" w:rsidP="00822877">
      <w:pPr>
        <w:spacing w:after="0" w:line="360" w:lineRule="auto"/>
        <w:ind w:firstLine="708"/>
        <w:jc w:val="both"/>
        <w:rPr>
          <w:rFonts w:ascii="Times New Roman" w:hAnsi="Times New Roman"/>
          <w:sz w:val="24"/>
          <w:szCs w:val="24"/>
        </w:rPr>
      </w:pPr>
      <w:r>
        <w:rPr>
          <w:rFonts w:ascii="Times New Roman" w:hAnsi="Times New Roman"/>
          <w:sz w:val="24"/>
          <w:szCs w:val="24"/>
        </w:rPr>
        <w:t xml:space="preserve">Muito embora tais assertivas sejam válidas para o estudo de grandes setores </w:t>
      </w:r>
      <w:r w:rsidR="00A9016D">
        <w:rPr>
          <w:rFonts w:ascii="Times New Roman" w:hAnsi="Times New Roman"/>
          <w:sz w:val="24"/>
          <w:szCs w:val="24"/>
        </w:rPr>
        <w:t>bancário-</w:t>
      </w:r>
      <w:r>
        <w:rPr>
          <w:rFonts w:ascii="Times New Roman" w:hAnsi="Times New Roman"/>
          <w:sz w:val="24"/>
          <w:szCs w:val="24"/>
        </w:rPr>
        <w:t xml:space="preserve">financeiros nas relações econômicas em geral, </w:t>
      </w:r>
      <w:r w:rsidR="005A6771">
        <w:rPr>
          <w:rFonts w:ascii="Times New Roman" w:hAnsi="Times New Roman"/>
          <w:sz w:val="24"/>
          <w:szCs w:val="24"/>
        </w:rPr>
        <w:t xml:space="preserve">reservaremos a avaliação de seu papel no Conselho para a análise das </w:t>
      </w:r>
      <w:r>
        <w:rPr>
          <w:rFonts w:ascii="Times New Roman" w:hAnsi="Times New Roman"/>
          <w:sz w:val="24"/>
          <w:szCs w:val="24"/>
        </w:rPr>
        <w:t xml:space="preserve">Atas das reuniões, relatórios e outros </w:t>
      </w:r>
      <w:r w:rsidR="005A6771">
        <w:rPr>
          <w:rFonts w:ascii="Times New Roman" w:hAnsi="Times New Roman"/>
          <w:sz w:val="24"/>
          <w:szCs w:val="24"/>
        </w:rPr>
        <w:t>documentos publicados pelo CDES. Veremos</w:t>
      </w:r>
      <w:r w:rsidR="00A9016D">
        <w:rPr>
          <w:rFonts w:ascii="Times New Roman" w:hAnsi="Times New Roman"/>
          <w:sz w:val="24"/>
          <w:szCs w:val="24"/>
        </w:rPr>
        <w:t>, no capítulo 3,</w:t>
      </w:r>
      <w:r>
        <w:rPr>
          <w:rFonts w:ascii="Times New Roman" w:hAnsi="Times New Roman"/>
          <w:sz w:val="24"/>
          <w:szCs w:val="24"/>
        </w:rPr>
        <w:t xml:space="preserve"> como </w:t>
      </w:r>
      <w:r w:rsidR="00AA584B">
        <w:rPr>
          <w:rFonts w:ascii="Times New Roman" w:hAnsi="Times New Roman"/>
          <w:sz w:val="24"/>
          <w:szCs w:val="24"/>
        </w:rPr>
        <w:t xml:space="preserve">eles se relacionavam </w:t>
      </w:r>
      <w:r>
        <w:rPr>
          <w:rFonts w:ascii="Times New Roman" w:hAnsi="Times New Roman"/>
          <w:sz w:val="24"/>
          <w:szCs w:val="24"/>
        </w:rPr>
        <w:t xml:space="preserve">com os demais conselheiros-empresários e outros setores não empresariais para </w:t>
      </w:r>
      <w:r w:rsidR="005A6771">
        <w:rPr>
          <w:rFonts w:ascii="Times New Roman" w:hAnsi="Times New Roman"/>
          <w:sz w:val="24"/>
          <w:szCs w:val="24"/>
        </w:rPr>
        <w:t>expressar</w:t>
      </w:r>
      <w:r w:rsidR="00A9016D">
        <w:rPr>
          <w:rFonts w:ascii="Times New Roman" w:hAnsi="Times New Roman"/>
          <w:sz w:val="24"/>
          <w:szCs w:val="24"/>
        </w:rPr>
        <w:t xml:space="preserve"> suas demandas – e rechaçar outras -</w:t>
      </w:r>
      <w:r>
        <w:rPr>
          <w:rFonts w:ascii="Times New Roman" w:hAnsi="Times New Roman"/>
          <w:sz w:val="24"/>
          <w:szCs w:val="24"/>
        </w:rPr>
        <w:t xml:space="preserve"> num fórum que se apresentava consensual, concertativo das forças sociais que o compunham. Contudo, a inserção dos conselheiros-</w:t>
      </w:r>
      <w:r w:rsidR="005A6771">
        <w:rPr>
          <w:rFonts w:ascii="Times New Roman" w:hAnsi="Times New Roman"/>
          <w:sz w:val="24"/>
          <w:szCs w:val="24"/>
        </w:rPr>
        <w:t>banqueiros</w:t>
      </w:r>
      <w:r>
        <w:rPr>
          <w:rFonts w:ascii="Times New Roman" w:hAnsi="Times New Roman"/>
          <w:sz w:val="24"/>
          <w:szCs w:val="24"/>
        </w:rPr>
        <w:t xml:space="preserve"> de tal monta </w:t>
      </w:r>
      <w:r w:rsidR="005A6771">
        <w:rPr>
          <w:rFonts w:ascii="Times New Roman" w:hAnsi="Times New Roman"/>
          <w:sz w:val="24"/>
          <w:szCs w:val="24"/>
        </w:rPr>
        <w:t>no CDES</w:t>
      </w:r>
      <w:r>
        <w:rPr>
          <w:rFonts w:ascii="Times New Roman" w:hAnsi="Times New Roman"/>
          <w:sz w:val="24"/>
          <w:szCs w:val="24"/>
        </w:rPr>
        <w:t xml:space="preserve"> foi pelo menos indicativa da atuação militante como organizadores das frações as quais pertenciam – intelectuais orgânicos – </w:t>
      </w:r>
      <w:r w:rsidR="005A6771">
        <w:rPr>
          <w:rFonts w:ascii="Times New Roman" w:hAnsi="Times New Roman"/>
          <w:sz w:val="24"/>
          <w:szCs w:val="24"/>
        </w:rPr>
        <w:t>para</w:t>
      </w:r>
      <w:r>
        <w:rPr>
          <w:rFonts w:ascii="Times New Roman" w:hAnsi="Times New Roman"/>
          <w:sz w:val="24"/>
          <w:szCs w:val="24"/>
        </w:rPr>
        <w:t xml:space="preserve"> converter </w:t>
      </w:r>
      <w:r w:rsidR="00AA584B">
        <w:rPr>
          <w:rFonts w:ascii="Times New Roman" w:hAnsi="Times New Roman"/>
          <w:sz w:val="24"/>
          <w:szCs w:val="24"/>
        </w:rPr>
        <w:t>seus interesses</w:t>
      </w:r>
      <w:r>
        <w:rPr>
          <w:rFonts w:ascii="Times New Roman" w:hAnsi="Times New Roman"/>
          <w:sz w:val="24"/>
          <w:szCs w:val="24"/>
        </w:rPr>
        <w:t xml:space="preserve"> e</w:t>
      </w:r>
      <w:r w:rsidR="00B528ED">
        <w:rPr>
          <w:rFonts w:ascii="Times New Roman" w:hAnsi="Times New Roman"/>
          <w:sz w:val="24"/>
          <w:szCs w:val="24"/>
        </w:rPr>
        <w:t xml:space="preserve">m “interesses gerais da nação”, </w:t>
      </w:r>
      <w:r w:rsidR="00B528ED" w:rsidRPr="00414D01">
        <w:rPr>
          <w:rFonts w:ascii="Times New Roman" w:hAnsi="Times New Roman"/>
          <w:sz w:val="24"/>
          <w:szCs w:val="24"/>
        </w:rPr>
        <w:t>especialmente no que tange, aliado a outros setores do capital, à manutenção dos elementos estruturais da política econômica à época em vigor.</w:t>
      </w:r>
    </w:p>
    <w:p w:rsidR="00822877" w:rsidRDefault="00822877" w:rsidP="00822877">
      <w:pPr>
        <w:spacing w:after="0" w:line="360" w:lineRule="auto"/>
        <w:jc w:val="both"/>
        <w:rPr>
          <w:rFonts w:ascii="Times New Roman" w:hAnsi="Times New Roman"/>
          <w:sz w:val="24"/>
          <w:szCs w:val="24"/>
        </w:rPr>
      </w:pPr>
      <w:r>
        <w:rPr>
          <w:rFonts w:ascii="Times New Roman" w:hAnsi="Times New Roman"/>
          <w:sz w:val="24"/>
          <w:szCs w:val="24"/>
        </w:rPr>
        <w:tab/>
        <w:t xml:space="preserve">Outro aspecto relevante a ser observado foi a presença marcante dos bancos estrangeiros no CDES. Dos seis grupos </w:t>
      </w:r>
      <w:r w:rsidR="00BF5C31">
        <w:rPr>
          <w:rFonts w:ascii="Times New Roman" w:hAnsi="Times New Roman"/>
          <w:sz w:val="24"/>
          <w:szCs w:val="24"/>
        </w:rPr>
        <w:t>bancários</w:t>
      </w:r>
      <w:r>
        <w:rPr>
          <w:rFonts w:ascii="Times New Roman" w:hAnsi="Times New Roman"/>
          <w:sz w:val="24"/>
          <w:szCs w:val="24"/>
        </w:rPr>
        <w:t xml:space="preserve"> do quadro 2.11, somente dois eram nacionais (Itaú e Bradesco), um era nacional associado ao capital estrangeiro (Unibanco) enquanto três eram exclusivamente constituídos por capital estrangeiro – Santander/Banespa (Espanha), ABN AMRO (Holanda) e Citibank (EUA). </w:t>
      </w:r>
    </w:p>
    <w:p w:rsidR="00822877" w:rsidRDefault="00822877" w:rsidP="00822877">
      <w:pPr>
        <w:spacing w:after="0" w:line="360" w:lineRule="auto"/>
        <w:ind w:firstLine="708"/>
        <w:jc w:val="both"/>
        <w:rPr>
          <w:rFonts w:ascii="Times New Roman" w:hAnsi="Times New Roman"/>
          <w:sz w:val="24"/>
          <w:szCs w:val="24"/>
        </w:rPr>
      </w:pPr>
      <w:r>
        <w:rPr>
          <w:rFonts w:ascii="Times New Roman" w:hAnsi="Times New Roman"/>
          <w:sz w:val="24"/>
          <w:szCs w:val="24"/>
        </w:rPr>
        <w:t xml:space="preserve">Segundo dados trazidos pelo IPEA, a importância crescente das instituições </w:t>
      </w:r>
      <w:r w:rsidR="00BF5C31">
        <w:rPr>
          <w:rFonts w:ascii="Times New Roman" w:hAnsi="Times New Roman"/>
          <w:sz w:val="24"/>
          <w:szCs w:val="24"/>
        </w:rPr>
        <w:t>bancária</w:t>
      </w:r>
      <w:r>
        <w:rPr>
          <w:rFonts w:ascii="Times New Roman" w:hAnsi="Times New Roman"/>
          <w:sz w:val="24"/>
          <w:szCs w:val="24"/>
        </w:rPr>
        <w:t>s estrangeiras no Brasil se evidenciava, por exemplo, pelo fato de que elas respondiam por menos de 10% do crédito em 1996, passando a mais de ¼ em 2006.</w:t>
      </w:r>
      <w:r>
        <w:rPr>
          <w:rStyle w:val="Refdenotaderodap"/>
          <w:rFonts w:ascii="Times New Roman" w:hAnsi="Times New Roman"/>
          <w:sz w:val="24"/>
          <w:szCs w:val="24"/>
        </w:rPr>
        <w:footnoteReference w:id="279"/>
      </w:r>
      <w:r>
        <w:rPr>
          <w:rFonts w:ascii="Times New Roman" w:hAnsi="Times New Roman"/>
          <w:sz w:val="24"/>
          <w:szCs w:val="24"/>
        </w:rPr>
        <w:t xml:space="preserve"> Em paralelo ao movimento de ascensão do setor internacionalizado, observou-se, em 2006, a redução dos bancos públicos ao total de ativos (29,6%), contra 48,7% nas mãos dos bancos privados nacionais e 21,7% dos estrangeiros.</w:t>
      </w:r>
    </w:p>
    <w:p w:rsidR="00822877" w:rsidRPr="00CB2AAD" w:rsidRDefault="00822877" w:rsidP="00643961">
      <w:pPr>
        <w:spacing w:after="0" w:line="360" w:lineRule="auto"/>
        <w:ind w:firstLine="708"/>
        <w:jc w:val="both"/>
        <w:rPr>
          <w:rFonts w:ascii="Times New Roman" w:hAnsi="Times New Roman"/>
          <w:sz w:val="24"/>
          <w:szCs w:val="24"/>
        </w:rPr>
      </w:pPr>
      <w:r>
        <w:rPr>
          <w:rFonts w:ascii="Times New Roman" w:hAnsi="Times New Roman"/>
          <w:sz w:val="24"/>
          <w:szCs w:val="24"/>
        </w:rPr>
        <w:t>Minella ratifica e complementa estas informações, ao acrescentar que “o número de bancos estrangeiros passou de 37 em 1994 para 60 em 1998, aumentando para 70 em 2001, diminuindo para 62 em 2003”.</w:t>
      </w:r>
      <w:r>
        <w:rPr>
          <w:rStyle w:val="Refdenotaderodap"/>
          <w:rFonts w:ascii="Times New Roman" w:hAnsi="Times New Roman"/>
          <w:sz w:val="24"/>
          <w:szCs w:val="24"/>
        </w:rPr>
        <w:footnoteReference w:id="280"/>
      </w:r>
      <w:r>
        <w:rPr>
          <w:rFonts w:ascii="Times New Roman" w:hAnsi="Times New Roman"/>
          <w:sz w:val="24"/>
          <w:szCs w:val="24"/>
        </w:rPr>
        <w:t xml:space="preserve"> O autor assevera que, em 2005, “entre os dez maiores bancos privados do país, cinco são estrangeiros”, se referindo ao ABN AMRO, Santander, HSBC, Citibank e BankBoston “e um é classificado como associado ao capital externo (Unibanco)”.</w:t>
      </w:r>
      <w:r>
        <w:rPr>
          <w:rStyle w:val="Refdenotaderodap"/>
          <w:rFonts w:ascii="Times New Roman" w:hAnsi="Times New Roman"/>
          <w:sz w:val="24"/>
          <w:szCs w:val="24"/>
        </w:rPr>
        <w:footnoteReference w:id="281"/>
      </w:r>
      <w:r w:rsidRPr="00CE4732">
        <w:rPr>
          <w:rFonts w:ascii="Times New Roman" w:hAnsi="Times New Roman"/>
          <w:sz w:val="24"/>
          <w:szCs w:val="24"/>
        </w:rPr>
        <w:t xml:space="preserve">O Citibank, inclusive, </w:t>
      </w:r>
      <w:r w:rsidR="009E531E">
        <w:rPr>
          <w:rFonts w:ascii="Times New Roman" w:hAnsi="Times New Roman"/>
          <w:sz w:val="24"/>
          <w:szCs w:val="24"/>
        </w:rPr>
        <w:t xml:space="preserve">foi uma instituição </w:t>
      </w:r>
      <w:r w:rsidR="00294168">
        <w:rPr>
          <w:rFonts w:ascii="Times New Roman" w:hAnsi="Times New Roman"/>
          <w:sz w:val="24"/>
          <w:szCs w:val="24"/>
        </w:rPr>
        <w:t>do circui</w:t>
      </w:r>
      <w:r w:rsidR="00643961">
        <w:rPr>
          <w:rFonts w:ascii="Times New Roman" w:hAnsi="Times New Roman"/>
          <w:sz w:val="24"/>
          <w:szCs w:val="24"/>
        </w:rPr>
        <w:t xml:space="preserve">to </w:t>
      </w:r>
      <w:r w:rsidR="009E531E">
        <w:rPr>
          <w:rFonts w:ascii="Times New Roman" w:hAnsi="Times New Roman"/>
          <w:sz w:val="24"/>
          <w:szCs w:val="24"/>
        </w:rPr>
        <w:t xml:space="preserve">bancário-financeira internacional onde encontramos </w:t>
      </w:r>
      <w:r w:rsidR="00643961">
        <w:rPr>
          <w:rFonts w:ascii="Times New Roman" w:hAnsi="Times New Roman"/>
          <w:sz w:val="24"/>
          <w:szCs w:val="24"/>
        </w:rPr>
        <w:t xml:space="preserve">várias </w:t>
      </w:r>
      <w:r w:rsidR="009E531E">
        <w:rPr>
          <w:rFonts w:ascii="Times New Roman" w:hAnsi="Times New Roman"/>
          <w:sz w:val="24"/>
          <w:szCs w:val="24"/>
        </w:rPr>
        <w:t>inserç</w:t>
      </w:r>
      <w:r w:rsidR="00643961">
        <w:rPr>
          <w:rFonts w:ascii="Times New Roman" w:hAnsi="Times New Roman"/>
          <w:sz w:val="24"/>
          <w:szCs w:val="24"/>
        </w:rPr>
        <w:t>ões</w:t>
      </w:r>
      <w:r w:rsidR="009E531E">
        <w:rPr>
          <w:rFonts w:ascii="Times New Roman" w:hAnsi="Times New Roman"/>
          <w:sz w:val="24"/>
          <w:szCs w:val="24"/>
        </w:rPr>
        <w:t xml:space="preserve"> de conselheiros, em momentos de suas tra</w:t>
      </w:r>
      <w:r w:rsidR="00643961">
        <w:rPr>
          <w:rFonts w:ascii="Times New Roman" w:hAnsi="Times New Roman"/>
          <w:sz w:val="24"/>
          <w:szCs w:val="24"/>
        </w:rPr>
        <w:t>jetórias, robustecendo a disputa pela ascensão profissional e econômica.</w:t>
      </w:r>
      <w:r w:rsidRPr="00CB2AAD">
        <w:rPr>
          <w:rStyle w:val="Refdenotaderodap"/>
          <w:rFonts w:ascii="Times New Roman" w:hAnsi="Times New Roman"/>
          <w:sz w:val="24"/>
          <w:szCs w:val="24"/>
        </w:rPr>
        <w:footnoteReference w:id="282"/>
      </w:r>
    </w:p>
    <w:p w:rsidR="00822877" w:rsidRDefault="00822877" w:rsidP="00822877">
      <w:pPr>
        <w:spacing w:after="0" w:line="360" w:lineRule="auto"/>
        <w:ind w:firstLine="708"/>
        <w:jc w:val="both"/>
        <w:rPr>
          <w:rFonts w:ascii="Times New Roman" w:hAnsi="Times New Roman"/>
          <w:sz w:val="24"/>
          <w:szCs w:val="24"/>
        </w:rPr>
      </w:pPr>
      <w:r>
        <w:rPr>
          <w:rFonts w:ascii="Times New Roman" w:hAnsi="Times New Roman"/>
          <w:sz w:val="24"/>
          <w:szCs w:val="24"/>
        </w:rPr>
        <w:t>Devemos mencionar ainda a figura de Henrique Meirelles que, na condição de Presidente do Banco Central (2003-2010), participava das Plenárias do CDES, engrossando as fileiras daqueles que haviam sido sociabilizados nos ambientes financeiros internacionais. Escudeiro fiel dos interesses banqueiros internacionais,</w:t>
      </w:r>
      <w:r>
        <w:rPr>
          <w:rStyle w:val="Refdenotaderodap"/>
          <w:sz w:val="24"/>
          <w:szCs w:val="24"/>
        </w:rPr>
        <w:footnoteReference w:id="283"/>
      </w:r>
      <w:r>
        <w:rPr>
          <w:rFonts w:ascii="Times New Roman" w:hAnsi="Times New Roman"/>
          <w:sz w:val="24"/>
          <w:szCs w:val="24"/>
        </w:rPr>
        <w:t xml:space="preserve"> Meirelles acumulou longa e orgânica passagem em destacados postos do Bankboston Corporation no Brasil (Presidente de 1984 a 1996) alçado à Presidência </w:t>
      </w:r>
      <w:r w:rsidRPr="001E6438">
        <w:rPr>
          <w:rFonts w:ascii="Times New Roman" w:hAnsi="Times New Roman"/>
          <w:sz w:val="24"/>
          <w:szCs w:val="24"/>
        </w:rPr>
        <w:t xml:space="preserve">mundial do </w:t>
      </w:r>
      <w:r>
        <w:rPr>
          <w:rFonts w:ascii="Times New Roman" w:hAnsi="Times New Roman"/>
          <w:sz w:val="24"/>
          <w:szCs w:val="24"/>
        </w:rPr>
        <w:t xml:space="preserve">grupo entre </w:t>
      </w:r>
      <w:r w:rsidRPr="001E6438">
        <w:rPr>
          <w:rFonts w:ascii="Times New Roman" w:hAnsi="Times New Roman"/>
          <w:sz w:val="24"/>
          <w:szCs w:val="24"/>
        </w:rPr>
        <w:t xml:space="preserve">1996 </w:t>
      </w:r>
      <w:r>
        <w:rPr>
          <w:rFonts w:ascii="Times New Roman" w:hAnsi="Times New Roman"/>
          <w:sz w:val="24"/>
          <w:szCs w:val="24"/>
        </w:rPr>
        <w:t>e</w:t>
      </w:r>
      <w:r w:rsidRPr="001E6438">
        <w:rPr>
          <w:rFonts w:ascii="Times New Roman" w:hAnsi="Times New Roman"/>
          <w:sz w:val="24"/>
          <w:szCs w:val="24"/>
        </w:rPr>
        <w:t xml:space="preserve"> 1999</w:t>
      </w:r>
      <w:r>
        <w:rPr>
          <w:rFonts w:ascii="Times New Roman" w:hAnsi="Times New Roman"/>
          <w:sz w:val="24"/>
          <w:szCs w:val="24"/>
        </w:rPr>
        <w:t xml:space="preserve"> e algumas associações do setor (Diretor-executivo da Febraban entre 1989 e 1996 e Presidente da Associação Brasileira de Bancos Internacionais no mesmo período).</w:t>
      </w:r>
      <w:r>
        <w:rPr>
          <w:rStyle w:val="Refdenotaderodap"/>
          <w:rFonts w:ascii="Times New Roman" w:hAnsi="Times New Roman"/>
          <w:sz w:val="24"/>
          <w:szCs w:val="24"/>
        </w:rPr>
        <w:footnoteReference w:id="284"/>
      </w:r>
    </w:p>
    <w:p w:rsidR="00822877" w:rsidRDefault="00822877" w:rsidP="00822877">
      <w:pPr>
        <w:spacing w:line="360" w:lineRule="auto"/>
        <w:jc w:val="both"/>
        <w:rPr>
          <w:rFonts w:ascii="Times New Roman" w:hAnsi="Times New Roman"/>
          <w:sz w:val="24"/>
          <w:szCs w:val="24"/>
        </w:rPr>
      </w:pPr>
      <w:r>
        <w:rPr>
          <w:rFonts w:ascii="Times New Roman" w:hAnsi="Times New Roman"/>
          <w:sz w:val="24"/>
          <w:szCs w:val="24"/>
        </w:rPr>
        <w:tab/>
        <w:t>Além de estarem inseridos em grandes bancos nacionais e estrangeiros, a pesquisa nos revelou que alguns conselheiros</w:t>
      </w:r>
      <w:r w:rsidR="00695B0B">
        <w:rPr>
          <w:rFonts w:ascii="Times New Roman" w:hAnsi="Times New Roman"/>
          <w:sz w:val="24"/>
          <w:szCs w:val="24"/>
        </w:rPr>
        <w:t xml:space="preserve">-empresários </w:t>
      </w:r>
      <w:r>
        <w:rPr>
          <w:rFonts w:ascii="Times New Roman" w:hAnsi="Times New Roman"/>
          <w:sz w:val="24"/>
          <w:szCs w:val="24"/>
        </w:rPr>
        <w:t>par</w:t>
      </w:r>
      <w:r w:rsidR="00F2767E">
        <w:rPr>
          <w:rFonts w:ascii="Times New Roman" w:hAnsi="Times New Roman"/>
          <w:sz w:val="24"/>
          <w:szCs w:val="24"/>
        </w:rPr>
        <w:t xml:space="preserve">ticipavam de outros setores </w:t>
      </w:r>
      <w:r>
        <w:rPr>
          <w:rFonts w:ascii="Times New Roman" w:hAnsi="Times New Roman"/>
          <w:sz w:val="24"/>
          <w:szCs w:val="24"/>
        </w:rPr>
        <w:t>finan</w:t>
      </w:r>
      <w:r w:rsidR="00F2767E">
        <w:rPr>
          <w:rFonts w:ascii="Times New Roman" w:hAnsi="Times New Roman"/>
          <w:sz w:val="24"/>
          <w:szCs w:val="24"/>
        </w:rPr>
        <w:t>ceiros</w:t>
      </w:r>
      <w:r w:rsidR="00695B0B">
        <w:rPr>
          <w:rFonts w:ascii="Times New Roman" w:hAnsi="Times New Roman"/>
          <w:sz w:val="24"/>
          <w:szCs w:val="24"/>
        </w:rPr>
        <w:t xml:space="preserve">não bancários </w:t>
      </w:r>
      <w:r>
        <w:rPr>
          <w:rFonts w:ascii="Times New Roman" w:hAnsi="Times New Roman"/>
          <w:sz w:val="24"/>
          <w:szCs w:val="24"/>
        </w:rPr>
        <w:t xml:space="preserve">no Brasil, com destaque à BMF&amp;Bovespa, mas também em </w:t>
      </w:r>
      <w:r w:rsidR="00695B0B">
        <w:rPr>
          <w:rFonts w:ascii="Times New Roman" w:hAnsi="Times New Roman"/>
          <w:sz w:val="24"/>
          <w:szCs w:val="24"/>
        </w:rPr>
        <w:t xml:space="preserve">serviços </w:t>
      </w:r>
      <w:r>
        <w:rPr>
          <w:rFonts w:ascii="Times New Roman" w:hAnsi="Times New Roman"/>
          <w:sz w:val="24"/>
          <w:szCs w:val="24"/>
        </w:rPr>
        <w:t>de seguros</w:t>
      </w:r>
      <w:r w:rsidR="00695B0B">
        <w:rPr>
          <w:rFonts w:ascii="Times New Roman" w:hAnsi="Times New Roman"/>
          <w:sz w:val="24"/>
          <w:szCs w:val="24"/>
        </w:rPr>
        <w:t>, corretagem</w:t>
      </w:r>
      <w:r>
        <w:rPr>
          <w:rFonts w:ascii="Times New Roman" w:hAnsi="Times New Roman"/>
          <w:sz w:val="24"/>
          <w:szCs w:val="24"/>
        </w:rPr>
        <w:t xml:space="preserve"> e cooperativas de créditos, dentre outros.</w:t>
      </w:r>
    </w:p>
    <w:p w:rsidR="00822877" w:rsidRDefault="00822877" w:rsidP="00822877">
      <w:pPr>
        <w:spacing w:line="240" w:lineRule="auto"/>
        <w:jc w:val="center"/>
        <w:rPr>
          <w:rFonts w:ascii="Times New Roman" w:hAnsi="Times New Roman"/>
          <w:b/>
          <w:sz w:val="24"/>
          <w:szCs w:val="24"/>
        </w:rPr>
      </w:pPr>
      <w:r>
        <w:rPr>
          <w:rFonts w:ascii="Times New Roman" w:hAnsi="Times New Roman"/>
          <w:b/>
          <w:sz w:val="24"/>
          <w:szCs w:val="24"/>
        </w:rPr>
        <w:t>Quadro 2.13 – Vinculação de conselheiros com setores financeiros não bancários</w:t>
      </w:r>
    </w:p>
    <w:tbl>
      <w:tblPr>
        <w:tblW w:w="4877"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870"/>
        <w:gridCol w:w="6189"/>
      </w:tblGrid>
      <w:tr w:rsidR="00822877" w:rsidRPr="008211FD" w:rsidTr="00CE3680">
        <w:tc>
          <w:tcPr>
            <w:tcW w:w="1584"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Conselheiros</w:t>
            </w:r>
          </w:p>
        </w:tc>
        <w:tc>
          <w:tcPr>
            <w:tcW w:w="3416"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Vinculações com outros setores das finanças</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1) Antoninho Trevisan</w:t>
            </w:r>
          </w:p>
        </w:tc>
        <w:tc>
          <w:tcPr>
            <w:tcW w:w="341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Membro da Comissão de Arbitragem da BMF&amp;Bovespa.</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2) Daniel Feffer</w:t>
            </w:r>
          </w:p>
        </w:tc>
        <w:tc>
          <w:tcPr>
            <w:tcW w:w="3416"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 xml:space="preserve">Conselheiro cotista da MDS Corretora e Administradora de Seguros. </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3) Fernando Xavier Ferreira</w:t>
            </w:r>
          </w:p>
        </w:tc>
        <w:tc>
          <w:tcPr>
            <w:tcW w:w="341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Membro do Comitê Latino Americano da Bolsa de Nova York.</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4) Gabriel Ferreira</w:t>
            </w:r>
          </w:p>
        </w:tc>
        <w:tc>
          <w:tcPr>
            <w:tcW w:w="3416"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Membro do Conselho Consultivo da BMF&amp;Bovespa.</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5) João Elisio F. de Campos</w:t>
            </w:r>
          </w:p>
        </w:tc>
        <w:tc>
          <w:tcPr>
            <w:tcW w:w="341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Presidente do Conselho de Adm. da Centauro Vida e Previdência S.A e da Seguradora Brasileira de Crédito à Exportação.</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6) Márcio Lopes de Freitas</w:t>
            </w:r>
          </w:p>
        </w:tc>
        <w:tc>
          <w:tcPr>
            <w:tcW w:w="3416"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Presidente da Cooperativa de Crédito Rural (Credicocapec).</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7) Mauro Knijnik</w:t>
            </w:r>
          </w:p>
        </w:tc>
        <w:tc>
          <w:tcPr>
            <w:tcW w:w="341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color w:val="000000"/>
                <w:sz w:val="20"/>
                <w:szCs w:val="20"/>
              </w:rPr>
              <w:t>Presidente do Conselho de Administração Banrisul e da Junta de Coordenação Financeira do RS.</w:t>
            </w:r>
          </w:p>
        </w:tc>
      </w:tr>
      <w:tr w:rsidR="00822877" w:rsidRPr="008211FD" w:rsidTr="00CE3680">
        <w:tc>
          <w:tcPr>
            <w:tcW w:w="1584"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8) Raymundo Magliano Filho</w:t>
            </w:r>
          </w:p>
        </w:tc>
        <w:tc>
          <w:tcPr>
            <w:tcW w:w="3416"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Presidente da BMF&amp;Bovespa.</w:t>
            </w:r>
          </w:p>
        </w:tc>
      </w:tr>
    </w:tbl>
    <w:p w:rsidR="00822877" w:rsidRPr="00C62FDC" w:rsidRDefault="00D1400E" w:rsidP="00822877">
      <w:pPr>
        <w:pStyle w:val="NormalWeb"/>
        <w:spacing w:before="0" w:beforeAutospacing="0" w:after="0" w:afterAutospacing="0" w:line="360" w:lineRule="auto"/>
        <w:jc w:val="both"/>
      </w:pPr>
      <w:r>
        <w:rPr>
          <w:b/>
          <w:sz w:val="18"/>
          <w:szCs w:val="18"/>
        </w:rPr>
        <w:t>Elaboração própria</w:t>
      </w:r>
      <w:r w:rsidR="00C62FDC">
        <w:rPr>
          <w:b/>
          <w:sz w:val="18"/>
          <w:szCs w:val="18"/>
        </w:rPr>
        <w:t xml:space="preserve">. </w:t>
      </w:r>
      <w:r w:rsidR="00C62FDC" w:rsidRPr="00C62FDC">
        <w:rPr>
          <w:b/>
          <w:sz w:val="18"/>
          <w:szCs w:val="18"/>
        </w:rPr>
        <w:t>Fonte</w:t>
      </w:r>
      <w:r w:rsidR="00C62FDC">
        <w:rPr>
          <w:sz w:val="18"/>
          <w:szCs w:val="18"/>
        </w:rPr>
        <w:t>: site do CDES (www.cdes.gov.br).</w:t>
      </w:r>
    </w:p>
    <w:p w:rsidR="00822877" w:rsidRPr="00D765F4" w:rsidRDefault="00822877" w:rsidP="00822877">
      <w:pPr>
        <w:spacing w:before="240" w:after="0" w:line="360" w:lineRule="auto"/>
        <w:ind w:firstLine="708"/>
        <w:jc w:val="both"/>
        <w:rPr>
          <w:rFonts w:ascii="Times New Roman" w:hAnsi="Times New Roman"/>
          <w:sz w:val="24"/>
          <w:szCs w:val="24"/>
        </w:rPr>
      </w:pPr>
      <w:r w:rsidRPr="00D765F4">
        <w:rPr>
          <w:rFonts w:ascii="Times New Roman" w:hAnsi="Times New Roman"/>
          <w:sz w:val="24"/>
          <w:szCs w:val="24"/>
        </w:rPr>
        <w:t>Ao compararmos as posições assumidas por estes mesmos conselheiros ao longo de suas trajetórias profissionais notaremos que, com as exceções de Gabriel Ferreira, João Elísio F. de Campos e Raymundo Magl</w:t>
      </w:r>
      <w:r w:rsidR="00D74572">
        <w:rPr>
          <w:rFonts w:ascii="Times New Roman" w:hAnsi="Times New Roman"/>
          <w:sz w:val="24"/>
          <w:szCs w:val="24"/>
        </w:rPr>
        <w:t xml:space="preserve">iano Filho, as atividades </w:t>
      </w:r>
      <w:r w:rsidR="008E5BE7">
        <w:rPr>
          <w:rFonts w:ascii="Times New Roman" w:hAnsi="Times New Roman"/>
          <w:sz w:val="24"/>
          <w:szCs w:val="24"/>
        </w:rPr>
        <w:t>cultivadas no setor financeiro não bancário e</w:t>
      </w:r>
      <w:r w:rsidRPr="00D765F4">
        <w:rPr>
          <w:rFonts w:ascii="Times New Roman" w:hAnsi="Times New Roman"/>
          <w:sz w:val="24"/>
          <w:szCs w:val="24"/>
        </w:rPr>
        <w:t xml:space="preserve">ram, provavelmente, fruto de conexões mais orgânicas, de “posições de classe” de destaque no meio empresarial não </w:t>
      </w:r>
      <w:r w:rsidR="00D74572">
        <w:rPr>
          <w:rFonts w:ascii="Times New Roman" w:hAnsi="Times New Roman"/>
          <w:sz w:val="24"/>
          <w:szCs w:val="24"/>
        </w:rPr>
        <w:t xml:space="preserve">bancário ou </w:t>
      </w:r>
      <w:r w:rsidRPr="00D765F4">
        <w:rPr>
          <w:rFonts w:ascii="Times New Roman" w:hAnsi="Times New Roman"/>
          <w:sz w:val="24"/>
          <w:szCs w:val="24"/>
        </w:rPr>
        <w:t>financeiro. Eram, por assim dizer, derivadas da ampliação, complexificação e capilarização de suas atuações num arco empresari</w:t>
      </w:r>
      <w:r w:rsidR="00695B0B">
        <w:rPr>
          <w:rFonts w:ascii="Times New Roman" w:hAnsi="Times New Roman"/>
          <w:sz w:val="24"/>
          <w:szCs w:val="24"/>
        </w:rPr>
        <w:t xml:space="preserve">al mais amplo. </w:t>
      </w:r>
    </w:p>
    <w:p w:rsidR="00822877" w:rsidRDefault="00822877" w:rsidP="00822877">
      <w:pPr>
        <w:spacing w:after="0" w:line="360" w:lineRule="auto"/>
        <w:jc w:val="both"/>
        <w:rPr>
          <w:rFonts w:ascii="Times New Roman" w:hAnsi="Times New Roman"/>
          <w:sz w:val="24"/>
          <w:szCs w:val="24"/>
        </w:rPr>
      </w:pPr>
      <w:r>
        <w:rPr>
          <w:rFonts w:ascii="Times New Roman" w:hAnsi="Times New Roman"/>
          <w:sz w:val="24"/>
          <w:szCs w:val="24"/>
        </w:rPr>
        <w:tab/>
        <w:t xml:space="preserve">Numa sociedade complexa e ocidentalizada como a brasileira em inícios do século XXI, estes </w:t>
      </w:r>
      <w:r w:rsidR="00D74572">
        <w:rPr>
          <w:rFonts w:ascii="Times New Roman" w:hAnsi="Times New Roman"/>
          <w:sz w:val="24"/>
          <w:szCs w:val="24"/>
        </w:rPr>
        <w:t>set</w:t>
      </w:r>
      <w:r>
        <w:rPr>
          <w:rFonts w:ascii="Times New Roman" w:hAnsi="Times New Roman"/>
          <w:sz w:val="24"/>
          <w:szCs w:val="24"/>
        </w:rPr>
        <w:t>ores</w:t>
      </w:r>
      <w:r w:rsidR="00D74572">
        <w:rPr>
          <w:rFonts w:ascii="Times New Roman" w:hAnsi="Times New Roman"/>
          <w:sz w:val="24"/>
          <w:szCs w:val="24"/>
        </w:rPr>
        <w:t xml:space="preserve"> agiam para além </w:t>
      </w:r>
      <w:r>
        <w:rPr>
          <w:rFonts w:ascii="Times New Roman" w:hAnsi="Times New Roman"/>
          <w:sz w:val="24"/>
          <w:szCs w:val="24"/>
        </w:rPr>
        <w:t xml:space="preserve">da esfera econômico-financeira </w:t>
      </w:r>
      <w:r>
        <w:rPr>
          <w:rFonts w:ascii="Times New Roman" w:hAnsi="Times New Roman"/>
          <w:i/>
          <w:sz w:val="24"/>
          <w:szCs w:val="24"/>
        </w:rPr>
        <w:t>tout court</w:t>
      </w:r>
      <w:r>
        <w:rPr>
          <w:rFonts w:ascii="Times New Roman" w:hAnsi="Times New Roman"/>
          <w:sz w:val="24"/>
          <w:szCs w:val="24"/>
        </w:rPr>
        <w:t xml:space="preserve">. </w:t>
      </w:r>
      <w:r w:rsidR="00D74572">
        <w:rPr>
          <w:rFonts w:ascii="Times New Roman" w:hAnsi="Times New Roman"/>
          <w:sz w:val="24"/>
          <w:szCs w:val="24"/>
        </w:rPr>
        <w:t>Faziam</w:t>
      </w:r>
      <w:r>
        <w:rPr>
          <w:rFonts w:ascii="Times New Roman" w:hAnsi="Times New Roman"/>
          <w:sz w:val="24"/>
          <w:szCs w:val="24"/>
        </w:rPr>
        <w:t xml:space="preserve"> outro tipo de “investimento”: produzir consenso. Na trilha de Gramsci, avaliamos que o econômico não se afasta do cultural: investir em novas formas de convencimento, de visões de mundo (cultura) continua sendo condição necessária para manutenção da reprodução ampliada do ca</w:t>
      </w:r>
      <w:r w:rsidR="00D12C50">
        <w:rPr>
          <w:rFonts w:ascii="Times New Roman" w:hAnsi="Times New Roman"/>
          <w:sz w:val="24"/>
          <w:szCs w:val="24"/>
        </w:rPr>
        <w:t>pital e, no estudo em questão, às frações do capital monetário</w:t>
      </w:r>
      <w:r>
        <w:rPr>
          <w:rFonts w:ascii="Times New Roman" w:hAnsi="Times New Roman"/>
          <w:sz w:val="24"/>
          <w:szCs w:val="24"/>
        </w:rPr>
        <w:t>.</w:t>
      </w:r>
    </w:p>
    <w:p w:rsidR="00822877" w:rsidRDefault="00822877" w:rsidP="00822877">
      <w:pPr>
        <w:spacing w:after="0" w:line="360" w:lineRule="auto"/>
        <w:ind w:firstLine="708"/>
        <w:jc w:val="both"/>
        <w:rPr>
          <w:rFonts w:ascii="Times New Roman" w:hAnsi="Times New Roman"/>
          <w:sz w:val="24"/>
          <w:szCs w:val="24"/>
        </w:rPr>
      </w:pPr>
      <w:r>
        <w:rPr>
          <w:rFonts w:ascii="Times New Roman" w:hAnsi="Times New Roman"/>
          <w:sz w:val="24"/>
          <w:szCs w:val="24"/>
        </w:rPr>
        <w:t>É sugestiva neste sentido a entrevista concedida em julho de 2004 pelo Presidente da Bovespa, Raymundo Magliano Filho, conselheiro do CDES, também membro do Conselho Nacional do Instituto Liberal, ao jornal Valor Econômico:</w:t>
      </w:r>
    </w:p>
    <w:p w:rsidR="00822877" w:rsidRPr="00C44839" w:rsidRDefault="00822877" w:rsidP="00822877">
      <w:pPr>
        <w:spacing w:after="0" w:line="240" w:lineRule="auto"/>
        <w:ind w:left="2268"/>
        <w:jc w:val="both"/>
        <w:rPr>
          <w:rFonts w:ascii="Times New Roman" w:hAnsi="Times New Roman"/>
          <w:sz w:val="20"/>
          <w:szCs w:val="20"/>
        </w:rPr>
      </w:pPr>
      <w:r w:rsidRPr="00C44839">
        <w:rPr>
          <w:rFonts w:ascii="Times New Roman" w:hAnsi="Times New Roman"/>
          <w:b/>
          <w:sz w:val="20"/>
          <w:szCs w:val="20"/>
        </w:rPr>
        <w:t>Valor:</w:t>
      </w:r>
      <w:r w:rsidRPr="00C44839">
        <w:rPr>
          <w:rFonts w:ascii="Times New Roman" w:hAnsi="Times New Roman"/>
          <w:i/>
          <w:sz w:val="20"/>
          <w:szCs w:val="20"/>
        </w:rPr>
        <w:t>A bolsa está numa ótima fase. Chegamos onde o senhor queria?</w:t>
      </w:r>
    </w:p>
    <w:p w:rsidR="00822877" w:rsidRPr="00C44839" w:rsidRDefault="00822877" w:rsidP="00822877">
      <w:pPr>
        <w:spacing w:after="0" w:line="240" w:lineRule="auto"/>
        <w:ind w:left="2268"/>
        <w:jc w:val="both"/>
        <w:rPr>
          <w:rFonts w:ascii="Times New Roman" w:hAnsi="Times New Roman"/>
          <w:sz w:val="20"/>
          <w:szCs w:val="20"/>
        </w:rPr>
      </w:pPr>
      <w:r>
        <w:rPr>
          <w:rFonts w:ascii="Times New Roman" w:hAnsi="Times New Roman"/>
          <w:b/>
          <w:sz w:val="20"/>
          <w:szCs w:val="20"/>
        </w:rPr>
        <w:t>M</w:t>
      </w:r>
      <w:r w:rsidRPr="00C44839">
        <w:rPr>
          <w:rFonts w:ascii="Times New Roman" w:hAnsi="Times New Roman"/>
          <w:b/>
          <w:sz w:val="20"/>
          <w:szCs w:val="20"/>
        </w:rPr>
        <w:t xml:space="preserve">agliano: </w:t>
      </w:r>
      <w:r w:rsidRPr="00C44839">
        <w:rPr>
          <w:rFonts w:ascii="Times New Roman" w:hAnsi="Times New Roman"/>
          <w:sz w:val="20"/>
          <w:szCs w:val="20"/>
        </w:rPr>
        <w:t xml:space="preserve">Não, estamos ainda no início de um processo de </w:t>
      </w:r>
      <w:r w:rsidRPr="00C5526C">
        <w:rPr>
          <w:rFonts w:ascii="Times New Roman" w:hAnsi="Times New Roman"/>
          <w:b/>
          <w:sz w:val="20"/>
          <w:szCs w:val="20"/>
        </w:rPr>
        <w:t>mudança cultural</w:t>
      </w:r>
      <w:r w:rsidRPr="00C44839">
        <w:rPr>
          <w:rFonts w:ascii="Times New Roman" w:hAnsi="Times New Roman"/>
          <w:sz w:val="20"/>
          <w:szCs w:val="20"/>
        </w:rPr>
        <w:t xml:space="preserve"> para que as pessoas tenham também o mercado de capitais como alternativa para seus investimentos. O importante é que </w:t>
      </w:r>
      <w:r w:rsidRPr="00C5526C">
        <w:rPr>
          <w:rFonts w:ascii="Times New Roman" w:hAnsi="Times New Roman"/>
          <w:b/>
          <w:sz w:val="20"/>
          <w:szCs w:val="20"/>
        </w:rPr>
        <w:t>temos encontrado muito eco junto aos trabalhadores e aos pequenos investidores</w:t>
      </w:r>
      <w:r w:rsidRPr="00C44839">
        <w:rPr>
          <w:rFonts w:ascii="Times New Roman" w:hAnsi="Times New Roman"/>
          <w:sz w:val="20"/>
          <w:szCs w:val="20"/>
        </w:rPr>
        <w:t xml:space="preserve"> (...).</w:t>
      </w:r>
    </w:p>
    <w:p w:rsidR="00822877" w:rsidRPr="00C44839" w:rsidRDefault="00822877" w:rsidP="00822877">
      <w:pPr>
        <w:spacing w:after="0" w:line="240" w:lineRule="auto"/>
        <w:ind w:left="2268"/>
        <w:jc w:val="both"/>
        <w:rPr>
          <w:rFonts w:ascii="Times New Roman" w:hAnsi="Times New Roman"/>
          <w:sz w:val="20"/>
          <w:szCs w:val="20"/>
        </w:rPr>
      </w:pPr>
      <w:r w:rsidRPr="00C44839">
        <w:rPr>
          <w:rFonts w:ascii="Times New Roman" w:hAnsi="Times New Roman"/>
          <w:b/>
          <w:sz w:val="20"/>
          <w:szCs w:val="20"/>
        </w:rPr>
        <w:t>Valor:</w:t>
      </w:r>
      <w:r w:rsidRPr="00C44839">
        <w:rPr>
          <w:rFonts w:ascii="Times New Roman" w:hAnsi="Times New Roman"/>
          <w:i/>
          <w:sz w:val="20"/>
          <w:szCs w:val="20"/>
        </w:rPr>
        <w:t>E qual o reflexo no mercado desse aumento de participantes?</w:t>
      </w:r>
    </w:p>
    <w:p w:rsidR="00822877" w:rsidRPr="00C44839" w:rsidRDefault="00822877" w:rsidP="00822877">
      <w:pPr>
        <w:spacing w:after="0" w:line="240" w:lineRule="auto"/>
        <w:ind w:left="2268"/>
        <w:jc w:val="both"/>
        <w:rPr>
          <w:rFonts w:ascii="Times New Roman" w:hAnsi="Times New Roman"/>
          <w:sz w:val="20"/>
          <w:szCs w:val="20"/>
        </w:rPr>
      </w:pPr>
      <w:r w:rsidRPr="00C44839">
        <w:rPr>
          <w:rFonts w:ascii="Times New Roman" w:hAnsi="Times New Roman"/>
          <w:b/>
          <w:sz w:val="20"/>
          <w:szCs w:val="20"/>
        </w:rPr>
        <w:t xml:space="preserve">Magliano: </w:t>
      </w:r>
      <w:r w:rsidRPr="00C44839">
        <w:rPr>
          <w:rFonts w:ascii="Times New Roman" w:hAnsi="Times New Roman"/>
          <w:sz w:val="20"/>
          <w:szCs w:val="20"/>
        </w:rPr>
        <w:t xml:space="preserve">O fundamental é a </w:t>
      </w:r>
      <w:r w:rsidRPr="00C5526C">
        <w:rPr>
          <w:rFonts w:ascii="Times New Roman" w:hAnsi="Times New Roman"/>
          <w:b/>
          <w:sz w:val="20"/>
          <w:szCs w:val="20"/>
        </w:rPr>
        <w:t>mudança cultural</w:t>
      </w:r>
      <w:r w:rsidRPr="00C44839">
        <w:rPr>
          <w:rFonts w:ascii="Times New Roman" w:hAnsi="Times New Roman"/>
          <w:sz w:val="20"/>
          <w:szCs w:val="20"/>
        </w:rPr>
        <w:t>, na imagem da Bovespa. A bolsa era vista como um cassino, era uma</w:t>
      </w:r>
      <w:r>
        <w:rPr>
          <w:rFonts w:ascii="Times New Roman" w:hAnsi="Times New Roman"/>
          <w:sz w:val="20"/>
          <w:szCs w:val="20"/>
        </w:rPr>
        <w:t xml:space="preserve"> caixa preta, uma casa de jogos.</w:t>
      </w:r>
      <w:r w:rsidRPr="00C44839">
        <w:rPr>
          <w:rFonts w:ascii="Times New Roman" w:hAnsi="Times New Roman"/>
          <w:sz w:val="20"/>
          <w:szCs w:val="20"/>
        </w:rPr>
        <w:t xml:space="preserve"> E, hoje, as pessoas falam em investir.</w:t>
      </w:r>
    </w:p>
    <w:p w:rsidR="00822877" w:rsidRPr="00C44839" w:rsidRDefault="00822877" w:rsidP="00822877">
      <w:pPr>
        <w:spacing w:after="0" w:line="240" w:lineRule="auto"/>
        <w:ind w:left="2268"/>
        <w:jc w:val="both"/>
        <w:rPr>
          <w:rFonts w:ascii="Times New Roman" w:hAnsi="Times New Roman"/>
          <w:sz w:val="20"/>
          <w:szCs w:val="20"/>
        </w:rPr>
      </w:pPr>
      <w:r w:rsidRPr="00C44839">
        <w:rPr>
          <w:rFonts w:ascii="Times New Roman" w:hAnsi="Times New Roman"/>
          <w:b/>
          <w:sz w:val="20"/>
          <w:szCs w:val="20"/>
        </w:rPr>
        <w:t xml:space="preserve">Valor: </w:t>
      </w:r>
      <w:r w:rsidRPr="00C44839">
        <w:rPr>
          <w:rFonts w:ascii="Times New Roman" w:hAnsi="Times New Roman"/>
          <w:sz w:val="20"/>
          <w:szCs w:val="20"/>
        </w:rPr>
        <w:t>O que vocês pretendem fazer para aumentar esse efeito?</w:t>
      </w:r>
    </w:p>
    <w:p w:rsidR="00822877" w:rsidRDefault="00822877" w:rsidP="00822877">
      <w:pPr>
        <w:spacing w:after="0" w:line="240" w:lineRule="auto"/>
        <w:ind w:left="2268"/>
        <w:jc w:val="both"/>
        <w:rPr>
          <w:rFonts w:ascii="Times New Roman" w:hAnsi="Times New Roman"/>
          <w:sz w:val="20"/>
          <w:szCs w:val="20"/>
        </w:rPr>
      </w:pPr>
      <w:r w:rsidRPr="00C44839">
        <w:rPr>
          <w:rFonts w:ascii="Times New Roman" w:hAnsi="Times New Roman"/>
          <w:b/>
          <w:sz w:val="20"/>
          <w:szCs w:val="20"/>
        </w:rPr>
        <w:t xml:space="preserve">Magliano: </w:t>
      </w:r>
      <w:r w:rsidRPr="00C44839">
        <w:rPr>
          <w:rFonts w:ascii="Times New Roman" w:hAnsi="Times New Roman"/>
          <w:sz w:val="20"/>
          <w:szCs w:val="20"/>
        </w:rPr>
        <w:t xml:space="preserve">Numa democracia, você precisa de </w:t>
      </w:r>
      <w:r w:rsidRPr="00C5526C">
        <w:rPr>
          <w:rFonts w:ascii="Times New Roman" w:hAnsi="Times New Roman"/>
          <w:b/>
          <w:sz w:val="20"/>
          <w:szCs w:val="20"/>
        </w:rPr>
        <w:t>visibilidade, transparência e acesso</w:t>
      </w:r>
      <w:r w:rsidRPr="00C44839">
        <w:rPr>
          <w:rFonts w:ascii="Times New Roman" w:hAnsi="Times New Roman"/>
          <w:sz w:val="20"/>
          <w:szCs w:val="20"/>
        </w:rPr>
        <w:t xml:space="preserve">. E é isso que o mercado de capitais precisa continuar a trabalhar, garantir essas coisas para trabalhadores e pequenos investidores, permitir que eles participem do mercado. E isso se dá </w:t>
      </w:r>
      <w:r w:rsidRPr="00C5526C">
        <w:rPr>
          <w:rFonts w:ascii="Times New Roman" w:hAnsi="Times New Roman"/>
          <w:b/>
          <w:sz w:val="20"/>
          <w:szCs w:val="20"/>
        </w:rPr>
        <w:t>pela educação, pelo esclarecimento</w:t>
      </w:r>
      <w:r w:rsidRPr="00C44839">
        <w:rPr>
          <w:rFonts w:ascii="Times New Roman" w:hAnsi="Times New Roman"/>
          <w:sz w:val="20"/>
          <w:szCs w:val="20"/>
        </w:rPr>
        <w:t xml:space="preserve">. </w:t>
      </w:r>
      <w:r>
        <w:rPr>
          <w:rFonts w:ascii="Times New Roman" w:hAnsi="Times New Roman"/>
          <w:sz w:val="20"/>
          <w:szCs w:val="20"/>
        </w:rPr>
        <w:t>(...)</w:t>
      </w:r>
      <w:r w:rsidRPr="00C44839">
        <w:rPr>
          <w:rFonts w:ascii="Times New Roman" w:hAnsi="Times New Roman"/>
          <w:sz w:val="20"/>
          <w:szCs w:val="20"/>
        </w:rPr>
        <w:t xml:space="preserve">. Na CUT, onde havia resistências, fizemos um curso para os químicos e eles gostaram tanto que querem outros. O que faltava era o </w:t>
      </w:r>
      <w:r w:rsidRPr="00C5526C">
        <w:rPr>
          <w:rFonts w:ascii="Times New Roman" w:hAnsi="Times New Roman"/>
          <w:b/>
          <w:sz w:val="20"/>
          <w:szCs w:val="20"/>
        </w:rPr>
        <w:t>esclarecimento</w:t>
      </w:r>
      <w:r w:rsidRPr="00071FAC">
        <w:rPr>
          <w:rFonts w:ascii="Times New Roman" w:hAnsi="Times New Roman"/>
          <w:sz w:val="20"/>
          <w:szCs w:val="20"/>
        </w:rPr>
        <w:t>.</w:t>
      </w:r>
      <w:r>
        <w:rPr>
          <w:rStyle w:val="Refdenotaderodap"/>
          <w:rFonts w:ascii="Times New Roman" w:hAnsi="Times New Roman"/>
          <w:sz w:val="20"/>
          <w:szCs w:val="20"/>
        </w:rPr>
        <w:footnoteReference w:id="285"/>
      </w:r>
    </w:p>
    <w:p w:rsidR="00822877" w:rsidRDefault="00822877" w:rsidP="00822877">
      <w:pPr>
        <w:spacing w:after="0" w:line="240" w:lineRule="auto"/>
        <w:ind w:left="2268"/>
        <w:jc w:val="both"/>
        <w:rPr>
          <w:rFonts w:ascii="Times New Roman" w:hAnsi="Times New Roman"/>
          <w:sz w:val="20"/>
          <w:szCs w:val="20"/>
        </w:rPr>
      </w:pPr>
    </w:p>
    <w:p w:rsidR="00822877" w:rsidRPr="0088525C" w:rsidRDefault="00822877" w:rsidP="00822877">
      <w:pPr>
        <w:spacing w:line="360" w:lineRule="auto"/>
        <w:jc w:val="both"/>
        <w:rPr>
          <w:rFonts w:ascii="Times New Roman" w:hAnsi="Times New Roman"/>
          <w:sz w:val="24"/>
          <w:szCs w:val="24"/>
        </w:rPr>
      </w:pPr>
      <w:r>
        <w:rPr>
          <w:rFonts w:ascii="Times New Roman" w:hAnsi="Times New Roman"/>
          <w:sz w:val="24"/>
          <w:szCs w:val="24"/>
        </w:rPr>
        <w:tab/>
        <w:t xml:space="preserve">Como se vê, o novo padrão de sociabilidade requer o acionamento ininterrupto de mecanismos que forjem, junto aos setores populares, disposições psicofísicas adaptáveis à nova estrutura de reprodução da acumulação capitalista. A pedra angular do capital monetário é subordinar o conjunto da vida social à lucratividade. Precisamos novamente apelar à Marx e lembrar as contradições que tal processo engendra: </w:t>
      </w:r>
      <w:r w:rsidRPr="00D12C50">
        <w:rPr>
          <w:rFonts w:ascii="Times New Roman" w:hAnsi="Times New Roman"/>
          <w:i/>
          <w:sz w:val="24"/>
          <w:szCs w:val="24"/>
        </w:rPr>
        <w:t>o juro é a cota-parte da mais-valia e, portanto, fruto de uma relação social de expropriação do trabalho vivo</w:t>
      </w:r>
      <w:r>
        <w:rPr>
          <w:rFonts w:ascii="Times New Roman" w:hAnsi="Times New Roman"/>
          <w:sz w:val="24"/>
          <w:szCs w:val="24"/>
        </w:rPr>
        <w:t xml:space="preserve">. É justamente no ocultamento deste chão social que os prepostos do capital monetário e os economistas burgueses, como Magliano, apostam para alçar a lógica e as práticas próprias </w:t>
      </w:r>
      <w:r w:rsidR="00FE428A">
        <w:rPr>
          <w:rFonts w:ascii="Times New Roman" w:hAnsi="Times New Roman"/>
          <w:sz w:val="24"/>
          <w:szCs w:val="24"/>
        </w:rPr>
        <w:t>do capital monetário</w:t>
      </w:r>
      <w:r>
        <w:rPr>
          <w:rFonts w:ascii="Times New Roman" w:hAnsi="Times New Roman"/>
          <w:sz w:val="24"/>
          <w:szCs w:val="24"/>
        </w:rPr>
        <w:t xml:space="preserve"> em artífices da “mudança cultural” e em vitrines da “democracia de mercado”. Por meio da “educação”, do “esclarecimento”, trabalham incessantemente para que as formas de sociabilidades burguesas sejam reforçadas, renovadas e ampliadas, esforçando-se em imprimir uma dada direção ao conjunto do tecido social.</w:t>
      </w:r>
    </w:p>
    <w:p w:rsidR="00822877" w:rsidRPr="005C1C16" w:rsidRDefault="00822877" w:rsidP="00822877">
      <w:pPr>
        <w:spacing w:line="36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2.3.</w:t>
      </w:r>
      <w:r w:rsidR="00DE37D0">
        <w:rPr>
          <w:rFonts w:ascii="Times New Roman" w:hAnsi="Times New Roman"/>
          <w:b/>
          <w:sz w:val="24"/>
          <w:szCs w:val="24"/>
        </w:rPr>
        <w:t>4</w:t>
      </w:r>
      <w:r>
        <w:rPr>
          <w:rFonts w:ascii="Times New Roman" w:hAnsi="Times New Roman"/>
          <w:b/>
          <w:sz w:val="24"/>
          <w:szCs w:val="24"/>
        </w:rPr>
        <w:t>.2</w:t>
      </w:r>
      <w:r w:rsidRPr="005C1C16">
        <w:rPr>
          <w:rFonts w:ascii="Times New Roman" w:hAnsi="Times New Roman"/>
          <w:b/>
          <w:sz w:val="24"/>
          <w:szCs w:val="24"/>
        </w:rPr>
        <w:t xml:space="preserve"> – As associações da sociedade civil </w:t>
      </w:r>
      <w:r>
        <w:rPr>
          <w:rFonts w:ascii="Times New Roman" w:hAnsi="Times New Roman"/>
          <w:b/>
          <w:sz w:val="24"/>
          <w:szCs w:val="24"/>
        </w:rPr>
        <w:t xml:space="preserve">do setor </w:t>
      </w:r>
      <w:r w:rsidR="00FE428A">
        <w:rPr>
          <w:rFonts w:ascii="Times New Roman" w:hAnsi="Times New Roman"/>
          <w:b/>
          <w:sz w:val="24"/>
          <w:szCs w:val="24"/>
        </w:rPr>
        <w:t xml:space="preserve">bancário e </w:t>
      </w:r>
      <w:r>
        <w:rPr>
          <w:rFonts w:ascii="Times New Roman" w:hAnsi="Times New Roman"/>
          <w:b/>
          <w:sz w:val="24"/>
          <w:szCs w:val="24"/>
        </w:rPr>
        <w:t>financeiro</w:t>
      </w:r>
      <w:r w:rsidRPr="005C1C16">
        <w:rPr>
          <w:rFonts w:ascii="Times New Roman" w:hAnsi="Times New Roman"/>
          <w:b/>
          <w:sz w:val="24"/>
          <w:szCs w:val="24"/>
        </w:rPr>
        <w:t xml:space="preserve"> atuantes no CDES</w:t>
      </w:r>
    </w:p>
    <w:p w:rsidR="00822877" w:rsidRDefault="00822877" w:rsidP="00822877">
      <w:pPr>
        <w:spacing w:after="0" w:line="360" w:lineRule="auto"/>
        <w:jc w:val="both"/>
        <w:rPr>
          <w:rFonts w:ascii="Times New Roman" w:hAnsi="Times New Roman"/>
          <w:sz w:val="24"/>
          <w:szCs w:val="24"/>
        </w:rPr>
      </w:pPr>
      <w:r>
        <w:rPr>
          <w:rFonts w:ascii="Times New Roman" w:hAnsi="Times New Roman"/>
          <w:sz w:val="24"/>
          <w:szCs w:val="24"/>
        </w:rPr>
        <w:tab/>
        <w:t xml:space="preserve">Um brevíssimo histórico das associações de classe do sistema </w:t>
      </w:r>
      <w:r w:rsidR="00FA4F35" w:rsidRPr="00414D01">
        <w:rPr>
          <w:rFonts w:ascii="Times New Roman" w:hAnsi="Times New Roman"/>
          <w:sz w:val="24"/>
          <w:szCs w:val="24"/>
        </w:rPr>
        <w:t>bancário-</w:t>
      </w:r>
      <w:r>
        <w:rPr>
          <w:rFonts w:ascii="Times New Roman" w:hAnsi="Times New Roman"/>
          <w:sz w:val="24"/>
          <w:szCs w:val="24"/>
        </w:rPr>
        <w:t>financeiro</w:t>
      </w:r>
      <w:r w:rsidR="003D08BD">
        <w:rPr>
          <w:rStyle w:val="Refdenotaderodap"/>
          <w:rFonts w:ascii="Times New Roman" w:hAnsi="Times New Roman"/>
          <w:sz w:val="24"/>
          <w:szCs w:val="24"/>
        </w:rPr>
        <w:footnoteReference w:id="286"/>
      </w:r>
      <w:r>
        <w:rPr>
          <w:rFonts w:ascii="Times New Roman" w:hAnsi="Times New Roman"/>
          <w:sz w:val="24"/>
          <w:szCs w:val="24"/>
        </w:rPr>
        <w:t xml:space="preserve"> no Brasil, apresentado por Minella, dá conta de que, já na década de 1960, foram constituídas a FENABAN (Federação Nacional dos Bancos), de caráter sindical, e a FEBRABAN (Federação Brasileira das Associações de Bancos), de caráter civil. Em 1969 foi criada a ANBID (Associação Nacional dos Bancos de Investimento e Desenvolvimento) e nos anos 70 proliferaram diversas associações do setor, tais como a ABEL (Associação Brasileira de Empresas de Leasing), em 1970 e a ANDIMA (Associação Nacional das Instituições do Mercado Aberto), em 1971.</w:t>
      </w:r>
      <w:r>
        <w:rPr>
          <w:rStyle w:val="Refdenotaderodap"/>
          <w:rFonts w:ascii="Times New Roman" w:hAnsi="Times New Roman"/>
          <w:sz w:val="24"/>
          <w:szCs w:val="24"/>
        </w:rPr>
        <w:footnoteReference w:id="287"/>
      </w:r>
    </w:p>
    <w:p w:rsidR="00822877" w:rsidRDefault="00822877" w:rsidP="00822877">
      <w:pPr>
        <w:spacing w:after="0" w:line="360" w:lineRule="auto"/>
        <w:jc w:val="both"/>
        <w:rPr>
          <w:rFonts w:ascii="Times New Roman" w:hAnsi="Times New Roman"/>
          <w:sz w:val="24"/>
          <w:szCs w:val="24"/>
        </w:rPr>
      </w:pPr>
      <w:r>
        <w:rPr>
          <w:rFonts w:ascii="Times New Roman" w:hAnsi="Times New Roman"/>
          <w:sz w:val="24"/>
          <w:szCs w:val="24"/>
        </w:rPr>
        <w:tab/>
        <w:t xml:space="preserve">Na década de 1980, o movimento associativo da burguesia </w:t>
      </w:r>
      <w:r w:rsidR="00FA4F35" w:rsidRPr="00414D01">
        <w:rPr>
          <w:rFonts w:ascii="Times New Roman" w:hAnsi="Times New Roman"/>
          <w:sz w:val="24"/>
          <w:szCs w:val="24"/>
        </w:rPr>
        <w:t>bancário-</w:t>
      </w:r>
      <w:r w:rsidRPr="00414D01">
        <w:rPr>
          <w:rFonts w:ascii="Times New Roman" w:hAnsi="Times New Roman"/>
          <w:sz w:val="24"/>
          <w:szCs w:val="24"/>
        </w:rPr>
        <w:t>financeira</w:t>
      </w:r>
      <w:r>
        <w:rPr>
          <w:rFonts w:ascii="Times New Roman" w:hAnsi="Times New Roman"/>
          <w:sz w:val="24"/>
          <w:szCs w:val="24"/>
        </w:rPr>
        <w:t xml:space="preserve"> no Brasil apresentou duas tendências contrapostas: uma delas apontava para maior articulação e centralização da representação, consubstanciada na fusão entre a FENABAN e a FEBRABAN e na criação da Confederação Nacional das Instituições Financeiras (CNF)</w:t>
      </w:r>
      <w:r w:rsidRPr="00547461">
        <w:rPr>
          <w:rFonts w:ascii="Times New Roman" w:hAnsi="Times New Roman"/>
          <w:sz w:val="24"/>
          <w:szCs w:val="24"/>
        </w:rPr>
        <w:t>,</w:t>
      </w:r>
      <w:r w:rsidRPr="00547461">
        <w:rPr>
          <w:rStyle w:val="Refdenotaderodap"/>
          <w:rFonts w:ascii="Times New Roman" w:hAnsi="Times New Roman"/>
          <w:sz w:val="24"/>
          <w:szCs w:val="24"/>
        </w:rPr>
        <w:footnoteReference w:id="288"/>
      </w:r>
      <w:r>
        <w:rPr>
          <w:rFonts w:ascii="Times New Roman" w:hAnsi="Times New Roman"/>
          <w:sz w:val="24"/>
          <w:szCs w:val="24"/>
        </w:rPr>
        <w:t xml:space="preserve"> reunindo entidades de diversos segmentos </w:t>
      </w:r>
      <w:r w:rsidR="00FA4F35" w:rsidRPr="00414D01">
        <w:rPr>
          <w:rFonts w:ascii="Times New Roman" w:hAnsi="Times New Roman"/>
          <w:sz w:val="24"/>
          <w:szCs w:val="24"/>
        </w:rPr>
        <w:t xml:space="preserve">bancários </w:t>
      </w:r>
      <w:r w:rsidR="00FA4F35">
        <w:rPr>
          <w:rFonts w:ascii="Times New Roman" w:hAnsi="Times New Roman"/>
          <w:sz w:val="24"/>
          <w:szCs w:val="24"/>
        </w:rPr>
        <w:t xml:space="preserve">e </w:t>
      </w:r>
      <w:r>
        <w:rPr>
          <w:rFonts w:ascii="Times New Roman" w:hAnsi="Times New Roman"/>
          <w:sz w:val="24"/>
          <w:szCs w:val="24"/>
        </w:rPr>
        <w:t>financeiros</w:t>
      </w:r>
      <w:r w:rsidR="007A4A10">
        <w:rPr>
          <w:rFonts w:ascii="Times New Roman" w:hAnsi="Times New Roman"/>
          <w:sz w:val="24"/>
          <w:szCs w:val="24"/>
        </w:rPr>
        <w:t xml:space="preserve"> não bancários</w:t>
      </w:r>
      <w:r>
        <w:rPr>
          <w:rFonts w:ascii="Times New Roman" w:hAnsi="Times New Roman"/>
          <w:sz w:val="24"/>
          <w:szCs w:val="24"/>
        </w:rPr>
        <w:t xml:space="preserve">; a outra tendência acenava para uma disputa maior na representatividade do setor por meio da criação de novas associações de bancos, como a Associação Brasileira dos Bancos Comerciais (ABBC), aglutinando os pequenos e médios bancos e a Associação Brasileira de Bancos Internacionais (ABBI), entidade criada pelos bancos estrangeiros. No segmento das </w:t>
      </w:r>
      <w:r w:rsidR="00C010B2">
        <w:rPr>
          <w:rFonts w:ascii="Times New Roman" w:hAnsi="Times New Roman"/>
          <w:sz w:val="24"/>
          <w:szCs w:val="24"/>
        </w:rPr>
        <w:t xml:space="preserve">entidades </w:t>
      </w:r>
      <w:r>
        <w:rPr>
          <w:rFonts w:ascii="Times New Roman" w:hAnsi="Times New Roman"/>
          <w:sz w:val="24"/>
          <w:szCs w:val="24"/>
        </w:rPr>
        <w:t>financeiras</w:t>
      </w:r>
      <w:r w:rsidR="006F556B">
        <w:rPr>
          <w:rFonts w:ascii="Times New Roman" w:hAnsi="Times New Roman"/>
          <w:sz w:val="24"/>
          <w:szCs w:val="24"/>
        </w:rPr>
        <w:t xml:space="preserve"> não bancárias</w:t>
      </w:r>
      <w:r>
        <w:rPr>
          <w:rFonts w:ascii="Times New Roman" w:hAnsi="Times New Roman"/>
          <w:sz w:val="24"/>
          <w:szCs w:val="24"/>
        </w:rPr>
        <w:t>, foi criada a ACREFI, em 1993, que recebeu a representação da extinta Associação Nacional das Instituições de Crédito, Financiamento e Investimento (ANFIC) e, em 1999, foi constituída a Confederação Nacional do Sistema Financeiro (CONSIF), agregando várias federações sindicais.</w:t>
      </w:r>
      <w:r w:rsidRPr="00547461">
        <w:rPr>
          <w:rStyle w:val="Refdenotaderodap"/>
          <w:rFonts w:ascii="Times New Roman" w:hAnsi="Times New Roman"/>
          <w:sz w:val="24"/>
          <w:szCs w:val="24"/>
        </w:rPr>
        <w:footnoteReference w:id="289"/>
      </w:r>
    </w:p>
    <w:p w:rsidR="00822877" w:rsidRDefault="00822877" w:rsidP="00822877">
      <w:pPr>
        <w:spacing w:line="360" w:lineRule="auto"/>
        <w:jc w:val="both"/>
        <w:rPr>
          <w:rFonts w:ascii="Times New Roman" w:hAnsi="Times New Roman"/>
          <w:sz w:val="24"/>
          <w:szCs w:val="24"/>
        </w:rPr>
      </w:pPr>
      <w:r>
        <w:rPr>
          <w:rFonts w:ascii="Times New Roman" w:hAnsi="Times New Roman"/>
          <w:sz w:val="24"/>
          <w:szCs w:val="24"/>
        </w:rPr>
        <w:tab/>
        <w:t>Os conselheiro</w:t>
      </w:r>
      <w:r w:rsidR="00C010B2">
        <w:rPr>
          <w:rFonts w:ascii="Times New Roman" w:hAnsi="Times New Roman"/>
          <w:sz w:val="24"/>
          <w:szCs w:val="24"/>
        </w:rPr>
        <w:t>s representativos do capital monetário n</w:t>
      </w:r>
      <w:r>
        <w:rPr>
          <w:rFonts w:ascii="Times New Roman" w:hAnsi="Times New Roman"/>
          <w:sz w:val="24"/>
          <w:szCs w:val="24"/>
        </w:rPr>
        <w:t xml:space="preserve">o CDES, no período aqui tratado (2003-2006), estavam presentes, direta ou indiretamente, em </w:t>
      </w:r>
      <w:r w:rsidRPr="00BB3EBD">
        <w:rPr>
          <w:rFonts w:ascii="Times New Roman" w:hAnsi="Times New Roman"/>
          <w:i/>
          <w:sz w:val="24"/>
          <w:szCs w:val="24"/>
        </w:rPr>
        <w:t xml:space="preserve">todas as entidades do empresariado </w:t>
      </w:r>
      <w:r w:rsidR="004C005E" w:rsidRPr="00414D01">
        <w:rPr>
          <w:rFonts w:ascii="Times New Roman" w:hAnsi="Times New Roman"/>
          <w:i/>
          <w:sz w:val="24"/>
          <w:szCs w:val="24"/>
        </w:rPr>
        <w:t xml:space="preserve">bancário </w:t>
      </w:r>
      <w:r w:rsidR="004C005E">
        <w:rPr>
          <w:rFonts w:ascii="Times New Roman" w:hAnsi="Times New Roman"/>
          <w:i/>
          <w:sz w:val="24"/>
          <w:szCs w:val="24"/>
        </w:rPr>
        <w:t xml:space="preserve">e </w:t>
      </w:r>
      <w:r w:rsidRPr="00BB3EBD">
        <w:rPr>
          <w:rFonts w:ascii="Times New Roman" w:hAnsi="Times New Roman"/>
          <w:i/>
          <w:sz w:val="24"/>
          <w:szCs w:val="24"/>
        </w:rPr>
        <w:t>financeiro</w:t>
      </w:r>
      <w:r w:rsidR="00C010B2">
        <w:rPr>
          <w:rFonts w:ascii="Times New Roman" w:hAnsi="Times New Roman"/>
          <w:i/>
          <w:sz w:val="24"/>
          <w:szCs w:val="24"/>
        </w:rPr>
        <w:t xml:space="preserve"> não bancário</w:t>
      </w:r>
      <w:r>
        <w:rPr>
          <w:rFonts w:ascii="Times New Roman" w:hAnsi="Times New Roman"/>
          <w:sz w:val="24"/>
          <w:szCs w:val="24"/>
        </w:rPr>
        <w:t xml:space="preserve">acima elencadas. Diretamente porque ocupavam, eles próprios, postos de comando de importantes entidades do setor, com destaque à FEBRABAN, seguida da CNF. Indiretamente porque os grupos </w:t>
      </w:r>
      <w:r w:rsidR="004C005E" w:rsidRPr="00414D01">
        <w:rPr>
          <w:rFonts w:ascii="Times New Roman" w:hAnsi="Times New Roman"/>
          <w:sz w:val="24"/>
          <w:szCs w:val="24"/>
        </w:rPr>
        <w:t>bancário-</w:t>
      </w:r>
      <w:r w:rsidRPr="00414D01">
        <w:rPr>
          <w:rFonts w:ascii="Times New Roman" w:hAnsi="Times New Roman"/>
          <w:sz w:val="24"/>
          <w:szCs w:val="24"/>
        </w:rPr>
        <w:t>financeiros</w:t>
      </w:r>
      <w:r>
        <w:rPr>
          <w:rFonts w:ascii="Times New Roman" w:hAnsi="Times New Roman"/>
          <w:sz w:val="24"/>
          <w:szCs w:val="24"/>
        </w:rPr>
        <w:t xml:space="preserve">, os quais também ocupavam cargos de destaque, se faziam representar nas demais entidades </w:t>
      </w:r>
      <w:r w:rsidR="00C010B2">
        <w:rPr>
          <w:rFonts w:ascii="Times New Roman" w:hAnsi="Times New Roman"/>
          <w:sz w:val="24"/>
          <w:szCs w:val="24"/>
        </w:rPr>
        <w:t>dos ramos</w:t>
      </w:r>
      <w:r>
        <w:rPr>
          <w:rFonts w:ascii="Times New Roman" w:hAnsi="Times New Roman"/>
          <w:sz w:val="24"/>
          <w:szCs w:val="24"/>
        </w:rPr>
        <w:t xml:space="preserve"> financeir</w:t>
      </w:r>
      <w:r w:rsidR="00C010B2">
        <w:rPr>
          <w:rFonts w:ascii="Times New Roman" w:hAnsi="Times New Roman"/>
          <w:sz w:val="24"/>
          <w:szCs w:val="24"/>
        </w:rPr>
        <w:t>osnão bancários</w:t>
      </w:r>
      <w:r>
        <w:rPr>
          <w:rFonts w:ascii="Times New Roman" w:hAnsi="Times New Roman"/>
          <w:sz w:val="24"/>
          <w:szCs w:val="24"/>
        </w:rPr>
        <w:t xml:space="preserve"> (ver quadro 2.15). </w:t>
      </w:r>
    </w:p>
    <w:p w:rsidR="00822877" w:rsidRDefault="00822877" w:rsidP="00822877">
      <w:pPr>
        <w:jc w:val="center"/>
        <w:rPr>
          <w:rFonts w:ascii="Times New Roman" w:hAnsi="Times New Roman"/>
          <w:b/>
          <w:sz w:val="24"/>
          <w:szCs w:val="24"/>
        </w:rPr>
      </w:pPr>
      <w:r>
        <w:rPr>
          <w:rFonts w:ascii="Times New Roman" w:hAnsi="Times New Roman"/>
          <w:b/>
          <w:sz w:val="24"/>
          <w:szCs w:val="24"/>
        </w:rPr>
        <w:t xml:space="preserve">Quadro 2.14 – Entidades da sociedade civil do </w:t>
      </w:r>
      <w:r w:rsidRPr="00414D01">
        <w:rPr>
          <w:rFonts w:ascii="Times New Roman" w:hAnsi="Times New Roman"/>
          <w:b/>
          <w:sz w:val="24"/>
          <w:szCs w:val="24"/>
        </w:rPr>
        <w:t xml:space="preserve">setor </w:t>
      </w:r>
      <w:r w:rsidR="004C005E" w:rsidRPr="00414D01">
        <w:rPr>
          <w:rFonts w:ascii="Times New Roman" w:hAnsi="Times New Roman"/>
          <w:b/>
          <w:sz w:val="24"/>
          <w:szCs w:val="24"/>
        </w:rPr>
        <w:t>bancário</w:t>
      </w:r>
      <w:r w:rsidR="00136827" w:rsidRPr="00414D01">
        <w:rPr>
          <w:rFonts w:ascii="Times New Roman" w:hAnsi="Times New Roman"/>
          <w:b/>
          <w:sz w:val="24"/>
          <w:szCs w:val="24"/>
        </w:rPr>
        <w:t xml:space="preserve"> e</w:t>
      </w:r>
      <w:r>
        <w:rPr>
          <w:rFonts w:ascii="Times New Roman" w:hAnsi="Times New Roman"/>
          <w:b/>
          <w:sz w:val="24"/>
          <w:szCs w:val="24"/>
        </w:rPr>
        <w:t>financeiro</w:t>
      </w:r>
      <w:r w:rsidR="00136827">
        <w:rPr>
          <w:rFonts w:ascii="Times New Roman" w:hAnsi="Times New Roman"/>
          <w:b/>
          <w:sz w:val="24"/>
          <w:szCs w:val="24"/>
        </w:rPr>
        <w:t xml:space="preserve"> não bancário</w:t>
      </w:r>
      <w:r>
        <w:rPr>
          <w:rFonts w:ascii="Times New Roman" w:hAnsi="Times New Roman"/>
          <w:b/>
          <w:sz w:val="24"/>
          <w:szCs w:val="24"/>
        </w:rPr>
        <w:t xml:space="preserve"> presentes no CDES </w:t>
      </w:r>
    </w:p>
    <w:tbl>
      <w:tblPr>
        <w:tblW w:w="4877"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269"/>
        <w:gridCol w:w="6187"/>
        <w:gridCol w:w="603"/>
      </w:tblGrid>
      <w:tr w:rsidR="00822877" w:rsidRPr="008211FD" w:rsidTr="00CE3680">
        <w:tc>
          <w:tcPr>
            <w:tcW w:w="1252"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 xml:space="preserve">Entidades do Setor </w:t>
            </w:r>
            <w:r w:rsidR="004C005E" w:rsidRPr="00414D01">
              <w:rPr>
                <w:rFonts w:ascii="Times New Roman" w:eastAsia="Times New Roman" w:hAnsi="Times New Roman"/>
                <w:b/>
                <w:bCs/>
                <w:sz w:val="20"/>
                <w:szCs w:val="20"/>
              </w:rPr>
              <w:t>Bancário-</w:t>
            </w:r>
            <w:r w:rsidRPr="00414D01">
              <w:rPr>
                <w:rFonts w:ascii="Times New Roman" w:eastAsia="Times New Roman" w:hAnsi="Times New Roman"/>
                <w:b/>
                <w:bCs/>
                <w:sz w:val="20"/>
                <w:szCs w:val="20"/>
              </w:rPr>
              <w:t>Financeiro</w:t>
            </w:r>
          </w:p>
        </w:tc>
        <w:tc>
          <w:tcPr>
            <w:tcW w:w="3415"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Conselheiros</w:t>
            </w:r>
          </w:p>
        </w:tc>
        <w:tc>
          <w:tcPr>
            <w:tcW w:w="333"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ind w:firstLine="23"/>
              <w:jc w:val="center"/>
              <w:rPr>
                <w:rFonts w:ascii="Times New Roman" w:eastAsia="Times New Roman" w:hAnsi="Times New Roman"/>
                <w:b/>
                <w:bCs/>
                <w:sz w:val="20"/>
                <w:szCs w:val="20"/>
              </w:rPr>
            </w:pPr>
            <w:r w:rsidRPr="008211FD">
              <w:rPr>
                <w:rFonts w:ascii="Times New Roman" w:eastAsia="Times New Roman" w:hAnsi="Times New Roman"/>
                <w:b/>
                <w:bCs/>
                <w:sz w:val="20"/>
                <w:szCs w:val="20"/>
              </w:rPr>
              <w:t>Nº</w:t>
            </w:r>
          </w:p>
        </w:tc>
      </w:tr>
      <w:tr w:rsidR="00822877" w:rsidRPr="008211FD" w:rsidTr="00CE3680">
        <w:tc>
          <w:tcPr>
            <w:tcW w:w="1252"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FEBRABAN</w:t>
            </w:r>
          </w:p>
        </w:tc>
        <w:tc>
          <w:tcPr>
            <w:tcW w:w="3415"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Fabio Coletti Barbosa (Presidente); Gabriel Ferreira (</w:t>
            </w:r>
            <w:r w:rsidRPr="008211FD">
              <w:rPr>
                <w:rFonts w:ascii="Times New Roman" w:hAnsi="Times New Roman"/>
                <w:color w:val="000000"/>
                <w:sz w:val="20"/>
                <w:szCs w:val="20"/>
              </w:rPr>
              <w:t>Presidente);</w:t>
            </w:r>
            <w:r w:rsidRPr="008211FD">
              <w:rPr>
                <w:rFonts w:ascii="Times New Roman" w:hAnsi="Times New Roman"/>
                <w:sz w:val="20"/>
                <w:szCs w:val="20"/>
              </w:rPr>
              <w:t xml:space="preserve"> Gustavo Carlos Marin Garat</w:t>
            </w:r>
            <w:r w:rsidRPr="008211FD">
              <w:rPr>
                <w:rFonts w:ascii="Times New Roman" w:hAnsi="Times New Roman"/>
                <w:color w:val="000000"/>
                <w:sz w:val="20"/>
                <w:szCs w:val="20"/>
              </w:rPr>
              <w:t xml:space="preserve"> (Membro do Conselho Diretor); </w:t>
            </w:r>
            <w:r w:rsidRPr="008211FD">
              <w:rPr>
                <w:rFonts w:ascii="Times New Roman" w:hAnsi="Times New Roman"/>
                <w:sz w:val="20"/>
                <w:szCs w:val="20"/>
              </w:rPr>
              <w:t>Márcio Artur Cypriano (M</w:t>
            </w:r>
            <w:r w:rsidRPr="008211FD">
              <w:rPr>
                <w:rFonts w:ascii="Times New Roman" w:hAnsi="Times New Roman"/>
                <w:color w:val="000000"/>
                <w:sz w:val="20"/>
                <w:szCs w:val="20"/>
              </w:rPr>
              <w:t>embro do Conselho Diretor)</w:t>
            </w:r>
            <w:r w:rsidRPr="008211FD">
              <w:rPr>
                <w:rFonts w:ascii="Times New Roman" w:hAnsi="Times New Roman"/>
                <w:sz w:val="20"/>
                <w:szCs w:val="20"/>
              </w:rPr>
              <w:t>; Miguel João Jorge Filho (Vice-Presidente); Roberto Egydio Setubal (</w:t>
            </w:r>
            <w:r w:rsidRPr="008211FD">
              <w:rPr>
                <w:rFonts w:ascii="Times New Roman" w:hAnsi="Times New Roman"/>
                <w:color w:val="000000"/>
                <w:sz w:val="20"/>
                <w:szCs w:val="20"/>
              </w:rPr>
              <w:t>Presidente);</w:t>
            </w:r>
            <w:r w:rsidRPr="008211FD">
              <w:rPr>
                <w:rFonts w:ascii="Times New Roman" w:hAnsi="Times New Roman"/>
                <w:sz w:val="20"/>
                <w:szCs w:val="20"/>
              </w:rPr>
              <w:t xml:space="preserve"> Viviane Senna (Membro do Conselho Consultivo).</w:t>
            </w:r>
          </w:p>
        </w:tc>
        <w:tc>
          <w:tcPr>
            <w:tcW w:w="333"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left="-35" w:firstLine="23"/>
              <w:jc w:val="center"/>
              <w:rPr>
                <w:rFonts w:ascii="Times New Roman" w:hAnsi="Times New Roman"/>
                <w:sz w:val="20"/>
                <w:szCs w:val="20"/>
              </w:rPr>
            </w:pPr>
            <w:r w:rsidRPr="008211FD">
              <w:rPr>
                <w:rFonts w:ascii="Times New Roman" w:hAnsi="Times New Roman"/>
                <w:sz w:val="20"/>
                <w:szCs w:val="20"/>
              </w:rPr>
              <w:t>7</w:t>
            </w:r>
          </w:p>
        </w:tc>
      </w:tr>
      <w:tr w:rsidR="00822877" w:rsidRPr="008211FD" w:rsidTr="00CE3680">
        <w:tc>
          <w:tcPr>
            <w:tcW w:w="1252"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CNF</w:t>
            </w:r>
          </w:p>
        </w:tc>
        <w:tc>
          <w:tcPr>
            <w:tcW w:w="3415"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both"/>
              <w:rPr>
                <w:rFonts w:ascii="Times New Roman" w:hAnsi="Times New Roman"/>
                <w:sz w:val="20"/>
                <w:szCs w:val="20"/>
              </w:rPr>
            </w:pPr>
            <w:r w:rsidRPr="008211FD">
              <w:rPr>
                <w:rFonts w:ascii="Times New Roman" w:hAnsi="Times New Roman"/>
                <w:sz w:val="20"/>
                <w:szCs w:val="20"/>
              </w:rPr>
              <w:t>Fabio Coletti Barbosa (Diretor Presidente); Gabriel Ferreira (Presidente); Márcio Artur Cypriano (Membro do Conselho); Roberto Egydio Setubal (Membro do Conselho).</w:t>
            </w:r>
          </w:p>
        </w:tc>
        <w:tc>
          <w:tcPr>
            <w:tcW w:w="333"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4</w:t>
            </w:r>
          </w:p>
        </w:tc>
      </w:tr>
      <w:tr w:rsidR="00822877" w:rsidRPr="008211FD" w:rsidTr="00CE3680">
        <w:tc>
          <w:tcPr>
            <w:tcW w:w="1252"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CONSIF</w:t>
            </w:r>
          </w:p>
        </w:tc>
        <w:tc>
          <w:tcPr>
            <w:tcW w:w="3415"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hAnsi="Times New Roman"/>
                <w:sz w:val="20"/>
                <w:szCs w:val="20"/>
              </w:rPr>
            </w:pPr>
            <w:r w:rsidRPr="008211FD">
              <w:rPr>
                <w:rFonts w:ascii="Times New Roman" w:hAnsi="Times New Roman"/>
                <w:sz w:val="20"/>
                <w:szCs w:val="20"/>
              </w:rPr>
              <w:t>Gabriel Ferreira (Presidente).</w:t>
            </w:r>
          </w:p>
        </w:tc>
        <w:tc>
          <w:tcPr>
            <w:tcW w:w="333"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1</w:t>
            </w:r>
          </w:p>
        </w:tc>
      </w:tr>
      <w:tr w:rsidR="00822877" w:rsidRPr="008211FD" w:rsidTr="00CE3680">
        <w:tc>
          <w:tcPr>
            <w:tcW w:w="1252"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ABBI</w:t>
            </w:r>
          </w:p>
        </w:tc>
        <w:tc>
          <w:tcPr>
            <w:tcW w:w="3415"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hAnsi="Times New Roman"/>
                <w:sz w:val="20"/>
                <w:szCs w:val="20"/>
              </w:rPr>
            </w:pPr>
            <w:r w:rsidRPr="008211FD">
              <w:rPr>
                <w:rFonts w:ascii="Times New Roman" w:hAnsi="Times New Roman"/>
                <w:sz w:val="20"/>
                <w:szCs w:val="20"/>
              </w:rPr>
              <w:t>Fábio Coletti Barbosa (Presidente).</w:t>
            </w:r>
          </w:p>
        </w:tc>
        <w:tc>
          <w:tcPr>
            <w:tcW w:w="333"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1</w:t>
            </w:r>
          </w:p>
        </w:tc>
      </w:tr>
      <w:tr w:rsidR="00822877" w:rsidRPr="008211FD" w:rsidTr="00CE3680">
        <w:tc>
          <w:tcPr>
            <w:tcW w:w="1252"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ANBID</w:t>
            </w:r>
          </w:p>
        </w:tc>
        <w:tc>
          <w:tcPr>
            <w:tcW w:w="3415"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hAnsi="Times New Roman"/>
                <w:sz w:val="20"/>
                <w:szCs w:val="20"/>
              </w:rPr>
            </w:pPr>
            <w:r w:rsidRPr="008211FD">
              <w:rPr>
                <w:rFonts w:ascii="Times New Roman" w:hAnsi="Times New Roman"/>
                <w:sz w:val="20"/>
                <w:szCs w:val="20"/>
              </w:rPr>
              <w:t>Roger Agnelli (Vice-Presidente).</w:t>
            </w:r>
          </w:p>
        </w:tc>
        <w:tc>
          <w:tcPr>
            <w:tcW w:w="333"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1</w:t>
            </w:r>
          </w:p>
        </w:tc>
      </w:tr>
      <w:tr w:rsidR="00822877" w:rsidRPr="008211FD" w:rsidTr="00CE3680">
        <w:tc>
          <w:tcPr>
            <w:tcW w:w="1252"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CNSeg/FENASEG</w:t>
            </w:r>
          </w:p>
        </w:tc>
        <w:tc>
          <w:tcPr>
            <w:tcW w:w="3415"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hAnsi="Times New Roman"/>
                <w:sz w:val="20"/>
                <w:szCs w:val="20"/>
              </w:rPr>
            </w:pPr>
            <w:r w:rsidRPr="008211FD">
              <w:rPr>
                <w:rFonts w:ascii="Times New Roman" w:hAnsi="Times New Roman"/>
                <w:sz w:val="20"/>
                <w:szCs w:val="20"/>
              </w:rPr>
              <w:t>João Elisio Ferraz de Campos (Presidente)</w:t>
            </w:r>
          </w:p>
        </w:tc>
        <w:tc>
          <w:tcPr>
            <w:tcW w:w="333"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1</w:t>
            </w:r>
          </w:p>
        </w:tc>
      </w:tr>
    </w:tbl>
    <w:p w:rsidR="00D1400E" w:rsidRPr="00C62FDC" w:rsidRDefault="00D1400E" w:rsidP="00D1400E">
      <w:pPr>
        <w:spacing w:after="0" w:line="360" w:lineRule="auto"/>
        <w:jc w:val="both"/>
        <w:rPr>
          <w:rFonts w:ascii="Times New Roman" w:hAnsi="Times New Roman"/>
          <w:sz w:val="24"/>
          <w:szCs w:val="24"/>
        </w:rPr>
      </w:pPr>
      <w:r>
        <w:rPr>
          <w:rFonts w:ascii="Times New Roman" w:hAnsi="Times New Roman"/>
          <w:b/>
          <w:sz w:val="18"/>
          <w:szCs w:val="18"/>
        </w:rPr>
        <w:t>Elaboração própria</w:t>
      </w:r>
      <w:r w:rsidR="00C62FDC">
        <w:rPr>
          <w:rFonts w:ascii="Times New Roman" w:hAnsi="Times New Roman"/>
          <w:b/>
          <w:sz w:val="18"/>
          <w:szCs w:val="18"/>
        </w:rPr>
        <w:t>. Fontes:</w:t>
      </w:r>
      <w:r w:rsidR="00C62FDC">
        <w:rPr>
          <w:rFonts w:ascii="Times New Roman" w:hAnsi="Times New Roman"/>
          <w:sz w:val="18"/>
          <w:szCs w:val="18"/>
        </w:rPr>
        <w:t xml:space="preserve"> site do CDES (www.cdes.gov.br) e pesquisas na internet.</w:t>
      </w:r>
    </w:p>
    <w:p w:rsidR="00822877" w:rsidRDefault="00822877" w:rsidP="00822877">
      <w:pPr>
        <w:spacing w:before="240" w:after="0" w:line="360" w:lineRule="auto"/>
        <w:ind w:firstLine="708"/>
        <w:jc w:val="both"/>
        <w:rPr>
          <w:rFonts w:ascii="Times New Roman" w:hAnsi="Times New Roman"/>
          <w:sz w:val="24"/>
          <w:szCs w:val="24"/>
        </w:rPr>
      </w:pPr>
      <w:r w:rsidRPr="006B7688">
        <w:rPr>
          <w:rFonts w:ascii="Times New Roman" w:hAnsi="Times New Roman"/>
          <w:sz w:val="24"/>
          <w:szCs w:val="24"/>
        </w:rPr>
        <w:t xml:space="preserve">A análise das associações de classe das finanças deve levar em consideração as transformações </w:t>
      </w:r>
      <w:r>
        <w:rPr>
          <w:rFonts w:ascii="Times New Roman" w:hAnsi="Times New Roman"/>
          <w:sz w:val="24"/>
          <w:szCs w:val="24"/>
        </w:rPr>
        <w:t xml:space="preserve">pelas quais o setor atravessou, aludidas acima. </w:t>
      </w:r>
      <w:r w:rsidRPr="006B7688">
        <w:rPr>
          <w:rFonts w:ascii="Times New Roman" w:hAnsi="Times New Roman"/>
          <w:sz w:val="24"/>
          <w:szCs w:val="24"/>
        </w:rPr>
        <w:t xml:space="preserve">A desregulamentação dos mercados e a liberalização dos fluxos de capitais patrocinaram dois processos: </w:t>
      </w:r>
      <w:r>
        <w:rPr>
          <w:rFonts w:ascii="Times New Roman" w:hAnsi="Times New Roman"/>
          <w:sz w:val="24"/>
          <w:szCs w:val="24"/>
        </w:rPr>
        <w:t xml:space="preserve">a </w:t>
      </w:r>
      <w:r w:rsidR="00294168">
        <w:rPr>
          <w:rFonts w:ascii="Times New Roman" w:hAnsi="Times New Roman"/>
          <w:i/>
          <w:sz w:val="24"/>
          <w:szCs w:val="24"/>
        </w:rPr>
        <w:t>centralização</w:t>
      </w:r>
      <w:r w:rsidRPr="006B7688">
        <w:rPr>
          <w:rFonts w:ascii="Times New Roman" w:hAnsi="Times New Roman"/>
          <w:sz w:val="24"/>
          <w:szCs w:val="24"/>
        </w:rPr>
        <w:t>, ocorrida através de fusões, incorporações e privatizações</w:t>
      </w:r>
      <w:r>
        <w:rPr>
          <w:rFonts w:ascii="Times New Roman" w:hAnsi="Times New Roman"/>
          <w:sz w:val="24"/>
          <w:szCs w:val="24"/>
        </w:rPr>
        <w:t xml:space="preserve"> e a</w:t>
      </w:r>
      <w:r w:rsidRPr="006B7688">
        <w:rPr>
          <w:rFonts w:ascii="Times New Roman" w:hAnsi="Times New Roman"/>
          <w:i/>
          <w:sz w:val="24"/>
          <w:szCs w:val="24"/>
        </w:rPr>
        <w:t>internacionalização</w:t>
      </w:r>
      <w:r>
        <w:rPr>
          <w:rFonts w:ascii="Times New Roman" w:hAnsi="Times New Roman"/>
          <w:sz w:val="24"/>
          <w:szCs w:val="24"/>
        </w:rPr>
        <w:t>,</w:t>
      </w:r>
      <w:r w:rsidRPr="006B7688">
        <w:rPr>
          <w:rFonts w:ascii="Times New Roman" w:hAnsi="Times New Roman"/>
          <w:sz w:val="24"/>
          <w:szCs w:val="24"/>
        </w:rPr>
        <w:t xml:space="preserve"> resultando no incremento do número de instituições estrangeiras e no volume de ativos sob seu controle,</w:t>
      </w:r>
      <w:r>
        <w:rPr>
          <w:rStyle w:val="Refdenotaderodap"/>
          <w:rFonts w:ascii="Times New Roman" w:hAnsi="Times New Roman"/>
          <w:sz w:val="24"/>
          <w:szCs w:val="24"/>
        </w:rPr>
        <w:footnoteReference w:id="290"/>
      </w:r>
      <w:r>
        <w:rPr>
          <w:rFonts w:ascii="Times New Roman" w:hAnsi="Times New Roman"/>
          <w:sz w:val="24"/>
          <w:szCs w:val="24"/>
        </w:rPr>
        <w:t>ocasionando significativa presença delas “</w:t>
      </w:r>
      <w:r w:rsidRPr="006B7688">
        <w:rPr>
          <w:rFonts w:ascii="Times New Roman" w:hAnsi="Times New Roman"/>
          <w:sz w:val="24"/>
          <w:szCs w:val="24"/>
        </w:rPr>
        <w:t>nas direções dos órgãos de representação de classe em muitos países, incluindo o Brasil, destacando-se grandes grupos internacionais dos Estados Unidos e da Europa</w:t>
      </w:r>
      <w:r>
        <w:rPr>
          <w:rFonts w:ascii="Times New Roman" w:hAnsi="Times New Roman"/>
          <w:sz w:val="24"/>
          <w:szCs w:val="24"/>
        </w:rPr>
        <w:t>”</w:t>
      </w:r>
      <w:r w:rsidRPr="006B7688">
        <w:rPr>
          <w:rFonts w:ascii="Times New Roman" w:hAnsi="Times New Roman"/>
          <w:sz w:val="24"/>
          <w:szCs w:val="24"/>
        </w:rPr>
        <w:t>.</w:t>
      </w:r>
      <w:r>
        <w:rPr>
          <w:rStyle w:val="Refdenotaderodap"/>
          <w:rFonts w:ascii="Times New Roman" w:hAnsi="Times New Roman"/>
          <w:sz w:val="24"/>
          <w:szCs w:val="24"/>
        </w:rPr>
        <w:footnoteReference w:id="291"/>
      </w:r>
    </w:p>
    <w:p w:rsidR="00822877" w:rsidRDefault="00822877" w:rsidP="00822877">
      <w:pPr>
        <w:spacing w:after="0" w:line="360" w:lineRule="auto"/>
        <w:ind w:firstLine="708"/>
        <w:jc w:val="both"/>
        <w:rPr>
          <w:rFonts w:ascii="Times New Roman" w:hAnsi="Times New Roman"/>
          <w:sz w:val="24"/>
          <w:szCs w:val="24"/>
        </w:rPr>
      </w:pPr>
      <w:r>
        <w:rPr>
          <w:rFonts w:ascii="Times New Roman" w:hAnsi="Times New Roman"/>
          <w:sz w:val="24"/>
          <w:szCs w:val="24"/>
        </w:rPr>
        <w:t xml:space="preserve">Realçando este contexto, Minella apresenta em seus trabalhos duas hipóteses bastante pertinentes: a) as entidades de classe do setor atuaram no sentido de contribuir na definição dos ritmos e condições da abertura financeira e, para tanto, o autor buscou verificar em que medida </w:t>
      </w:r>
      <w:r w:rsidRPr="0046390A">
        <w:rPr>
          <w:rFonts w:ascii="Times New Roman" w:hAnsi="Times New Roman"/>
          <w:i/>
          <w:sz w:val="24"/>
          <w:szCs w:val="24"/>
        </w:rPr>
        <w:t>grupos financeiros internacionais</w:t>
      </w:r>
      <w:r>
        <w:rPr>
          <w:rFonts w:ascii="Times New Roman" w:hAnsi="Times New Roman"/>
          <w:sz w:val="24"/>
          <w:szCs w:val="24"/>
        </w:rPr>
        <w:t xml:space="preserve"> construíram uma </w:t>
      </w:r>
      <w:r w:rsidRPr="0046390A">
        <w:rPr>
          <w:rFonts w:ascii="Times New Roman" w:hAnsi="Times New Roman"/>
          <w:i/>
          <w:sz w:val="24"/>
          <w:szCs w:val="24"/>
        </w:rPr>
        <w:t>política de participação ativa na direção</w:t>
      </w:r>
      <w:r>
        <w:rPr>
          <w:rFonts w:ascii="Times New Roman" w:hAnsi="Times New Roman"/>
          <w:sz w:val="24"/>
          <w:szCs w:val="24"/>
        </w:rPr>
        <w:t xml:space="preserve"> das associações de classe do empresariado financeiro no Brasil; e b) os conglomerados nacionais e estrangeiros desenvolvem uma estratégia de </w:t>
      </w:r>
      <w:r w:rsidRPr="0046390A">
        <w:rPr>
          <w:rFonts w:ascii="Times New Roman" w:hAnsi="Times New Roman"/>
          <w:i/>
          <w:sz w:val="24"/>
          <w:szCs w:val="24"/>
        </w:rPr>
        <w:t>participação simultânea</w:t>
      </w:r>
      <w:r>
        <w:rPr>
          <w:rFonts w:ascii="Times New Roman" w:hAnsi="Times New Roman"/>
          <w:sz w:val="24"/>
          <w:szCs w:val="24"/>
        </w:rPr>
        <w:t xml:space="preserve"> nas entidades de classes dos diversos segmentos do sistema financeiro, formando </w:t>
      </w:r>
      <w:r>
        <w:rPr>
          <w:rFonts w:ascii="Times New Roman" w:hAnsi="Times New Roman"/>
          <w:i/>
          <w:sz w:val="24"/>
          <w:szCs w:val="24"/>
        </w:rPr>
        <w:t>redes transassociativas</w:t>
      </w:r>
      <w:r>
        <w:rPr>
          <w:rFonts w:ascii="Times New Roman" w:hAnsi="Times New Roman"/>
          <w:sz w:val="24"/>
          <w:szCs w:val="24"/>
        </w:rPr>
        <w:t>, e, para tanto, o autor tomou como indicador a presença dos grupos financeiros na diretoria das associações.</w:t>
      </w:r>
    </w:p>
    <w:p w:rsidR="00822877" w:rsidRPr="00A26E45" w:rsidRDefault="00822877" w:rsidP="00822877">
      <w:pPr>
        <w:spacing w:after="0" w:line="360" w:lineRule="auto"/>
        <w:ind w:firstLine="708"/>
        <w:jc w:val="both"/>
        <w:rPr>
          <w:rFonts w:ascii="Times New Roman" w:hAnsi="Times New Roman"/>
          <w:sz w:val="20"/>
          <w:szCs w:val="20"/>
        </w:rPr>
      </w:pPr>
      <w:r>
        <w:rPr>
          <w:rFonts w:ascii="Times New Roman" w:hAnsi="Times New Roman"/>
          <w:sz w:val="24"/>
          <w:szCs w:val="24"/>
        </w:rPr>
        <w:t xml:space="preserve">Ora, a considerar o que até agora expusemos, a primeira hipótese de Minella parece ter sido comprovada para os </w:t>
      </w:r>
      <w:r w:rsidR="003D08BD">
        <w:rPr>
          <w:rFonts w:ascii="Times New Roman" w:hAnsi="Times New Roman"/>
          <w:sz w:val="24"/>
          <w:szCs w:val="24"/>
        </w:rPr>
        <w:t>conselheiros</w:t>
      </w:r>
      <w:r>
        <w:rPr>
          <w:rFonts w:ascii="Times New Roman" w:hAnsi="Times New Roman"/>
          <w:sz w:val="24"/>
          <w:szCs w:val="24"/>
        </w:rPr>
        <w:t xml:space="preserve"> que compunham o nosso objeto de estudo. De fato, no CDES assistimos a presença de prepostos do grande capital monetário </w:t>
      </w:r>
      <w:r w:rsidR="00534612">
        <w:rPr>
          <w:rFonts w:ascii="Times New Roman" w:hAnsi="Times New Roman"/>
          <w:sz w:val="24"/>
          <w:szCs w:val="24"/>
        </w:rPr>
        <w:t>de origem nacional, associada</w:t>
      </w:r>
      <w:r>
        <w:rPr>
          <w:rFonts w:ascii="Times New Roman" w:hAnsi="Times New Roman"/>
          <w:sz w:val="24"/>
          <w:szCs w:val="24"/>
        </w:rPr>
        <w:t xml:space="preserve"> e (especialmente) internacional. Mas reparem que foram justamente os conselheiros da fração internacionalizada e associada das finanças - </w:t>
      </w:r>
      <w:r w:rsidRPr="00BB3EBD">
        <w:rPr>
          <w:rFonts w:ascii="Times New Roman" w:hAnsi="Times New Roman"/>
          <w:sz w:val="24"/>
          <w:szCs w:val="24"/>
        </w:rPr>
        <w:t>Fábio Coletti Barbosa (</w:t>
      </w:r>
      <w:r>
        <w:rPr>
          <w:rFonts w:ascii="Times New Roman" w:hAnsi="Times New Roman"/>
          <w:sz w:val="24"/>
          <w:szCs w:val="24"/>
        </w:rPr>
        <w:t>ABN Amro</w:t>
      </w:r>
      <w:r w:rsidRPr="00BB3EBD">
        <w:rPr>
          <w:rFonts w:ascii="Times New Roman" w:hAnsi="Times New Roman"/>
          <w:sz w:val="24"/>
          <w:szCs w:val="24"/>
        </w:rPr>
        <w:t>)</w:t>
      </w:r>
      <w:r>
        <w:rPr>
          <w:rFonts w:ascii="Times New Roman" w:hAnsi="Times New Roman"/>
          <w:sz w:val="24"/>
          <w:szCs w:val="24"/>
        </w:rPr>
        <w:t xml:space="preserve"> e Gabriel Ferreira (Unibanco) – os que apresentaram mais inserções (três) em entidades tipicamente representativas do setor em que atuaram e </w:t>
      </w:r>
      <w:r w:rsidR="000A730D">
        <w:rPr>
          <w:rFonts w:ascii="Times New Roman" w:hAnsi="Times New Roman"/>
          <w:sz w:val="24"/>
          <w:szCs w:val="24"/>
        </w:rPr>
        <w:t>t</w:t>
      </w:r>
      <w:r>
        <w:rPr>
          <w:rFonts w:ascii="Times New Roman" w:hAnsi="Times New Roman"/>
          <w:sz w:val="24"/>
          <w:szCs w:val="24"/>
        </w:rPr>
        <w:t>odos em altos cargos de direção (presidência). Olhando atentamente, foi a Febraban a entidade que mais abrigou os conselheiros representantes do grande capital financeiro</w:t>
      </w:r>
      <w:r w:rsidR="00534612">
        <w:rPr>
          <w:rFonts w:ascii="Times New Roman" w:hAnsi="Times New Roman"/>
          <w:sz w:val="24"/>
          <w:szCs w:val="24"/>
        </w:rPr>
        <w:t xml:space="preserve"> (bancário, financeiro não bancário, e coligado a setores fabris)</w:t>
      </w:r>
      <w:r>
        <w:rPr>
          <w:rFonts w:ascii="Times New Roman" w:hAnsi="Times New Roman"/>
          <w:sz w:val="24"/>
          <w:szCs w:val="24"/>
        </w:rPr>
        <w:t xml:space="preserve"> internacional e associado em cargos de direção (quatro), seguidos pelos conselheiros da fração </w:t>
      </w:r>
      <w:r w:rsidR="00534612">
        <w:rPr>
          <w:rFonts w:ascii="Times New Roman" w:hAnsi="Times New Roman"/>
          <w:sz w:val="24"/>
          <w:szCs w:val="24"/>
        </w:rPr>
        <w:t xml:space="preserve">bancária de origem </w:t>
      </w:r>
      <w:r>
        <w:rPr>
          <w:rFonts w:ascii="Times New Roman" w:hAnsi="Times New Roman"/>
          <w:sz w:val="24"/>
          <w:szCs w:val="24"/>
        </w:rPr>
        <w:t xml:space="preserve"> nacional (três cargos). Na CNF a repartição ficou empatada entre os dois grupos. Do total de quin</w:t>
      </w:r>
      <w:r w:rsidR="007A4A10">
        <w:rPr>
          <w:rFonts w:ascii="Times New Roman" w:hAnsi="Times New Roman"/>
          <w:sz w:val="24"/>
          <w:szCs w:val="24"/>
        </w:rPr>
        <w:t>ze colocações dos conselheiros</w:t>
      </w:r>
      <w:r>
        <w:rPr>
          <w:rFonts w:ascii="Times New Roman" w:hAnsi="Times New Roman"/>
          <w:sz w:val="24"/>
          <w:szCs w:val="24"/>
        </w:rPr>
        <w:t>-</w:t>
      </w:r>
      <w:r w:rsidR="00534612">
        <w:rPr>
          <w:rFonts w:ascii="Times New Roman" w:hAnsi="Times New Roman"/>
          <w:sz w:val="24"/>
          <w:szCs w:val="24"/>
        </w:rPr>
        <w:t>banqueiros</w:t>
      </w:r>
      <w:r>
        <w:rPr>
          <w:rFonts w:ascii="Times New Roman" w:hAnsi="Times New Roman"/>
          <w:sz w:val="24"/>
          <w:szCs w:val="24"/>
        </w:rPr>
        <w:t xml:space="preserve"> nas seis entidades encontradas, apenas seis (40%) se referiam aos grupos </w:t>
      </w:r>
      <w:r w:rsidR="00534612">
        <w:rPr>
          <w:rFonts w:ascii="Times New Roman" w:hAnsi="Times New Roman"/>
          <w:sz w:val="24"/>
          <w:szCs w:val="24"/>
        </w:rPr>
        <w:t xml:space="preserve">de origem </w:t>
      </w:r>
      <w:r>
        <w:rPr>
          <w:rFonts w:ascii="Times New Roman" w:hAnsi="Times New Roman"/>
          <w:sz w:val="24"/>
          <w:szCs w:val="24"/>
        </w:rPr>
        <w:t xml:space="preserve">nacionais, enquanto que o restante (nove inserções – 60%) se devia aos grupos associado e internacional. Esta situação é certamente ilustrativa da questão levantada por Minella. </w:t>
      </w:r>
    </w:p>
    <w:p w:rsidR="00822877" w:rsidRDefault="00822877" w:rsidP="00822877">
      <w:pPr>
        <w:spacing w:line="360" w:lineRule="auto"/>
        <w:jc w:val="both"/>
        <w:rPr>
          <w:rFonts w:ascii="Times New Roman" w:hAnsi="Times New Roman"/>
          <w:sz w:val="24"/>
          <w:szCs w:val="24"/>
        </w:rPr>
      </w:pPr>
      <w:r>
        <w:rPr>
          <w:rFonts w:ascii="Times New Roman" w:hAnsi="Times New Roman"/>
          <w:sz w:val="24"/>
          <w:szCs w:val="24"/>
        </w:rPr>
        <w:tab/>
        <w:t>A segunda hipótese</w:t>
      </w:r>
      <w:r w:rsidR="00534612">
        <w:rPr>
          <w:rFonts w:ascii="Times New Roman" w:hAnsi="Times New Roman"/>
          <w:sz w:val="24"/>
          <w:szCs w:val="24"/>
        </w:rPr>
        <w:t xml:space="preserve"> de Minella</w:t>
      </w:r>
      <w:r>
        <w:rPr>
          <w:rFonts w:ascii="Times New Roman" w:hAnsi="Times New Roman"/>
          <w:sz w:val="24"/>
          <w:szCs w:val="24"/>
        </w:rPr>
        <w:t xml:space="preserve"> também se apresenta como válida para os grupos </w:t>
      </w:r>
      <w:r w:rsidR="00624189">
        <w:rPr>
          <w:rFonts w:ascii="Times New Roman" w:hAnsi="Times New Roman"/>
          <w:sz w:val="24"/>
          <w:szCs w:val="24"/>
        </w:rPr>
        <w:t>bancário-</w:t>
      </w:r>
      <w:r>
        <w:rPr>
          <w:rFonts w:ascii="Times New Roman" w:hAnsi="Times New Roman"/>
          <w:sz w:val="24"/>
          <w:szCs w:val="24"/>
        </w:rPr>
        <w:t xml:space="preserve">financeiros representados no CDES: eles atuavam, </w:t>
      </w:r>
      <w:r w:rsidRPr="000A736F">
        <w:rPr>
          <w:rFonts w:ascii="Times New Roman" w:hAnsi="Times New Roman"/>
          <w:i/>
          <w:sz w:val="24"/>
          <w:szCs w:val="24"/>
        </w:rPr>
        <w:t>simultaneamente</w:t>
      </w:r>
      <w:r>
        <w:rPr>
          <w:rFonts w:ascii="Times New Roman" w:hAnsi="Times New Roman"/>
          <w:sz w:val="24"/>
          <w:szCs w:val="24"/>
        </w:rPr>
        <w:t>, em diferenciadas entidades da sociedade civil do empresariado</w:t>
      </w:r>
      <w:r w:rsidR="00534612">
        <w:rPr>
          <w:rFonts w:ascii="Times New Roman" w:hAnsi="Times New Roman"/>
          <w:sz w:val="24"/>
          <w:szCs w:val="24"/>
        </w:rPr>
        <w:t xml:space="preserve"> do setor bancário-</w:t>
      </w:r>
      <w:r>
        <w:rPr>
          <w:rFonts w:ascii="Times New Roman" w:hAnsi="Times New Roman"/>
          <w:sz w:val="24"/>
          <w:szCs w:val="24"/>
        </w:rPr>
        <w:t>fi</w:t>
      </w:r>
      <w:r w:rsidR="00534612">
        <w:rPr>
          <w:rFonts w:ascii="Times New Roman" w:hAnsi="Times New Roman"/>
          <w:sz w:val="24"/>
          <w:szCs w:val="24"/>
        </w:rPr>
        <w:t>nanceiro, mas não somente, pois h</w:t>
      </w:r>
      <w:r w:rsidR="00FA4F35">
        <w:rPr>
          <w:rFonts w:ascii="Times New Roman" w:hAnsi="Times New Roman"/>
          <w:sz w:val="24"/>
          <w:szCs w:val="24"/>
        </w:rPr>
        <w:t>avia</w:t>
      </w:r>
      <w:r w:rsidR="00534612">
        <w:rPr>
          <w:rFonts w:ascii="Times New Roman" w:hAnsi="Times New Roman"/>
          <w:sz w:val="24"/>
          <w:szCs w:val="24"/>
        </w:rPr>
        <w:t xml:space="preserve"> brechas no Estado estrito senso para sua participação direta.</w:t>
      </w:r>
      <w:r>
        <w:rPr>
          <w:rFonts w:ascii="Times New Roman" w:hAnsi="Times New Roman"/>
          <w:sz w:val="24"/>
          <w:szCs w:val="24"/>
        </w:rPr>
        <w:t xml:space="preserve"> O quadro 2.15 tem como propósito mostrar, para o ano de 2004, a vinculação concomitante em três ou mais entidades dos grupos financeiros presentes no CDES.</w:t>
      </w:r>
    </w:p>
    <w:p w:rsidR="00822877" w:rsidRDefault="00822877" w:rsidP="00822877">
      <w:pPr>
        <w:tabs>
          <w:tab w:val="left" w:pos="2418"/>
        </w:tabs>
        <w:jc w:val="center"/>
        <w:rPr>
          <w:rFonts w:ascii="Times New Roman" w:hAnsi="Times New Roman"/>
          <w:b/>
          <w:sz w:val="24"/>
          <w:szCs w:val="24"/>
        </w:rPr>
      </w:pPr>
      <w:r>
        <w:rPr>
          <w:rFonts w:ascii="Times New Roman" w:hAnsi="Times New Roman"/>
          <w:b/>
          <w:sz w:val="24"/>
          <w:szCs w:val="24"/>
        </w:rPr>
        <w:t xml:space="preserve">Quadro 2.15 - </w:t>
      </w:r>
      <w:r w:rsidRPr="002B6414">
        <w:rPr>
          <w:rFonts w:ascii="Times New Roman" w:hAnsi="Times New Roman"/>
          <w:b/>
          <w:sz w:val="24"/>
          <w:szCs w:val="24"/>
        </w:rPr>
        <w:t xml:space="preserve">Cargos ocupados pelos grupos </w:t>
      </w:r>
      <w:r>
        <w:rPr>
          <w:rFonts w:ascii="Times New Roman" w:hAnsi="Times New Roman"/>
          <w:b/>
          <w:sz w:val="24"/>
          <w:szCs w:val="24"/>
        </w:rPr>
        <w:t>bancário</w:t>
      </w:r>
      <w:r w:rsidRPr="002B6414">
        <w:rPr>
          <w:rFonts w:ascii="Times New Roman" w:hAnsi="Times New Roman"/>
          <w:b/>
          <w:sz w:val="24"/>
          <w:szCs w:val="24"/>
        </w:rPr>
        <w:t>s presentes no CDES que participa</w:t>
      </w:r>
      <w:r>
        <w:rPr>
          <w:rFonts w:ascii="Times New Roman" w:hAnsi="Times New Roman"/>
          <w:b/>
          <w:sz w:val="24"/>
          <w:szCs w:val="24"/>
        </w:rPr>
        <w:t>va</w:t>
      </w:r>
      <w:r w:rsidRPr="002B6414">
        <w:rPr>
          <w:rFonts w:ascii="Times New Roman" w:hAnsi="Times New Roman"/>
          <w:b/>
          <w:sz w:val="24"/>
          <w:szCs w:val="24"/>
        </w:rPr>
        <w:t xml:space="preserve">m simultaneamente em </w:t>
      </w:r>
      <w:r>
        <w:rPr>
          <w:rFonts w:ascii="Times New Roman" w:hAnsi="Times New Roman"/>
          <w:b/>
          <w:sz w:val="24"/>
          <w:szCs w:val="24"/>
        </w:rPr>
        <w:t>três ou mais a</w:t>
      </w:r>
      <w:r w:rsidRPr="002B6414">
        <w:rPr>
          <w:rFonts w:ascii="Times New Roman" w:hAnsi="Times New Roman"/>
          <w:b/>
          <w:sz w:val="24"/>
          <w:szCs w:val="24"/>
        </w:rPr>
        <w:t>ssociações (2004)</w:t>
      </w:r>
    </w:p>
    <w:tbl>
      <w:tblPr>
        <w:tblW w:w="4877"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357"/>
        <w:gridCol w:w="761"/>
        <w:gridCol w:w="899"/>
        <w:gridCol w:w="1056"/>
        <w:gridCol w:w="904"/>
        <w:gridCol w:w="888"/>
        <w:gridCol w:w="737"/>
        <w:gridCol w:w="1042"/>
        <w:gridCol w:w="899"/>
        <w:gridCol w:w="516"/>
      </w:tblGrid>
      <w:tr w:rsidR="00822877" w:rsidRPr="008211FD" w:rsidTr="00CE3680">
        <w:tc>
          <w:tcPr>
            <w:tcW w:w="749"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Grupo</w:t>
            </w:r>
            <w:r w:rsidR="00C010B2" w:rsidRPr="008211FD">
              <w:rPr>
                <w:rFonts w:ascii="Times New Roman" w:eastAsia="Times New Roman" w:hAnsi="Times New Roman"/>
                <w:b/>
                <w:bCs/>
                <w:sz w:val="20"/>
                <w:szCs w:val="20"/>
              </w:rPr>
              <w:t>s</w:t>
            </w:r>
          </w:p>
        </w:tc>
        <w:tc>
          <w:tcPr>
            <w:tcW w:w="420"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19"/>
                <w:szCs w:val="19"/>
              </w:rPr>
            </w:pPr>
            <w:r w:rsidRPr="008211FD">
              <w:rPr>
                <w:rFonts w:ascii="Times New Roman" w:eastAsia="Times New Roman" w:hAnsi="Times New Roman"/>
                <w:b/>
                <w:bCs/>
                <w:sz w:val="19"/>
                <w:szCs w:val="19"/>
              </w:rPr>
              <w:t>Cnf</w:t>
            </w:r>
          </w:p>
        </w:tc>
        <w:tc>
          <w:tcPr>
            <w:tcW w:w="496"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19"/>
                <w:szCs w:val="19"/>
              </w:rPr>
            </w:pPr>
            <w:r w:rsidRPr="008211FD">
              <w:rPr>
                <w:rFonts w:ascii="Times New Roman" w:eastAsia="Times New Roman" w:hAnsi="Times New Roman"/>
                <w:b/>
                <w:bCs/>
                <w:sz w:val="19"/>
                <w:szCs w:val="19"/>
              </w:rPr>
              <w:t>Consif</w:t>
            </w:r>
          </w:p>
        </w:tc>
        <w:tc>
          <w:tcPr>
            <w:tcW w:w="583"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18"/>
                <w:szCs w:val="18"/>
              </w:rPr>
            </w:pPr>
            <w:r w:rsidRPr="008211FD">
              <w:rPr>
                <w:rFonts w:ascii="Times New Roman" w:eastAsia="Times New Roman" w:hAnsi="Times New Roman"/>
                <w:b/>
                <w:bCs/>
                <w:sz w:val="18"/>
                <w:szCs w:val="18"/>
              </w:rPr>
              <w:t>Febraban</w:t>
            </w:r>
          </w:p>
        </w:tc>
        <w:tc>
          <w:tcPr>
            <w:tcW w:w="499"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ind w:firstLine="23"/>
              <w:rPr>
                <w:rFonts w:ascii="Times New Roman" w:eastAsia="Times New Roman" w:hAnsi="Times New Roman"/>
                <w:b/>
                <w:bCs/>
                <w:sz w:val="19"/>
                <w:szCs w:val="19"/>
              </w:rPr>
            </w:pPr>
            <w:r w:rsidRPr="008211FD">
              <w:rPr>
                <w:rFonts w:ascii="Times New Roman" w:eastAsia="Times New Roman" w:hAnsi="Times New Roman"/>
                <w:b/>
                <w:bCs/>
                <w:sz w:val="19"/>
                <w:szCs w:val="19"/>
              </w:rPr>
              <w:t>Anbid</w:t>
            </w:r>
          </w:p>
        </w:tc>
        <w:tc>
          <w:tcPr>
            <w:tcW w:w="490"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ind w:firstLine="23"/>
              <w:rPr>
                <w:rFonts w:ascii="Times New Roman" w:eastAsia="Times New Roman" w:hAnsi="Times New Roman"/>
                <w:b/>
                <w:bCs/>
                <w:sz w:val="19"/>
                <w:szCs w:val="19"/>
              </w:rPr>
            </w:pPr>
            <w:r w:rsidRPr="008211FD">
              <w:rPr>
                <w:rFonts w:ascii="Times New Roman" w:eastAsia="Times New Roman" w:hAnsi="Times New Roman"/>
                <w:b/>
                <w:bCs/>
                <w:sz w:val="19"/>
                <w:szCs w:val="19"/>
              </w:rPr>
              <w:t>Abbi</w:t>
            </w:r>
          </w:p>
        </w:tc>
        <w:tc>
          <w:tcPr>
            <w:tcW w:w="407"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ind w:firstLine="23"/>
              <w:rPr>
                <w:rFonts w:ascii="Times New Roman" w:eastAsia="Times New Roman" w:hAnsi="Times New Roman"/>
                <w:b/>
                <w:bCs/>
                <w:sz w:val="19"/>
                <w:szCs w:val="19"/>
              </w:rPr>
            </w:pPr>
            <w:r w:rsidRPr="008211FD">
              <w:rPr>
                <w:rFonts w:ascii="Times New Roman" w:eastAsia="Times New Roman" w:hAnsi="Times New Roman"/>
                <w:b/>
                <w:bCs/>
                <w:sz w:val="19"/>
                <w:szCs w:val="19"/>
              </w:rPr>
              <w:t>Abel</w:t>
            </w:r>
          </w:p>
        </w:tc>
        <w:tc>
          <w:tcPr>
            <w:tcW w:w="575"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ind w:firstLine="23"/>
              <w:jc w:val="center"/>
              <w:rPr>
                <w:rFonts w:ascii="Times New Roman" w:eastAsia="Times New Roman" w:hAnsi="Times New Roman"/>
                <w:b/>
                <w:bCs/>
                <w:sz w:val="19"/>
                <w:szCs w:val="19"/>
              </w:rPr>
            </w:pPr>
            <w:r w:rsidRPr="008211FD">
              <w:rPr>
                <w:rFonts w:ascii="Times New Roman" w:eastAsia="Times New Roman" w:hAnsi="Times New Roman"/>
                <w:b/>
                <w:bCs/>
                <w:sz w:val="19"/>
                <w:szCs w:val="19"/>
              </w:rPr>
              <w:t>Andima</w:t>
            </w:r>
          </w:p>
        </w:tc>
        <w:tc>
          <w:tcPr>
            <w:tcW w:w="496"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ind w:firstLine="23"/>
              <w:rPr>
                <w:rFonts w:ascii="Times New Roman" w:eastAsia="Times New Roman" w:hAnsi="Times New Roman"/>
                <w:b/>
                <w:bCs/>
                <w:sz w:val="19"/>
                <w:szCs w:val="19"/>
              </w:rPr>
            </w:pPr>
            <w:r w:rsidRPr="008211FD">
              <w:rPr>
                <w:rFonts w:ascii="Times New Roman" w:eastAsia="Times New Roman" w:hAnsi="Times New Roman"/>
                <w:b/>
                <w:bCs/>
                <w:sz w:val="19"/>
                <w:szCs w:val="19"/>
              </w:rPr>
              <w:t>Acrefi</w:t>
            </w:r>
          </w:p>
        </w:tc>
        <w:tc>
          <w:tcPr>
            <w:tcW w:w="285" w:type="pct"/>
            <w:tcBorders>
              <w:top w:val="single" w:sz="8" w:space="0" w:color="4F81BD"/>
              <w:left w:val="single" w:sz="8" w:space="0" w:color="4F81BD"/>
              <w:bottom w:val="single" w:sz="18" w:space="0" w:color="4F81BD"/>
              <w:right w:val="single" w:sz="8" w:space="0" w:color="4F81BD"/>
            </w:tcBorders>
          </w:tcPr>
          <w:p w:rsidR="00822877" w:rsidRPr="008211FD" w:rsidRDefault="00822877" w:rsidP="00CE3680">
            <w:pPr>
              <w:spacing w:after="0" w:line="240" w:lineRule="auto"/>
              <w:ind w:firstLine="23"/>
              <w:jc w:val="center"/>
              <w:rPr>
                <w:rFonts w:ascii="Times New Roman" w:eastAsia="Times New Roman" w:hAnsi="Times New Roman"/>
                <w:b/>
                <w:bCs/>
                <w:sz w:val="19"/>
                <w:szCs w:val="19"/>
              </w:rPr>
            </w:pPr>
            <w:r w:rsidRPr="008211FD">
              <w:rPr>
                <w:rFonts w:ascii="Times New Roman" w:eastAsia="Times New Roman" w:hAnsi="Times New Roman"/>
                <w:b/>
                <w:bCs/>
                <w:sz w:val="19"/>
                <w:szCs w:val="19"/>
              </w:rPr>
              <w:t>T</w:t>
            </w:r>
          </w:p>
        </w:tc>
      </w:tr>
      <w:tr w:rsidR="00822877" w:rsidRPr="008211FD" w:rsidTr="00CE3680">
        <w:tc>
          <w:tcPr>
            <w:tcW w:w="749"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Bradesco</w:t>
            </w:r>
          </w:p>
        </w:tc>
        <w:tc>
          <w:tcPr>
            <w:tcW w:w="420"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VP</w:t>
            </w:r>
          </w:p>
        </w:tc>
        <w:tc>
          <w:tcPr>
            <w:tcW w:w="49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D</w:t>
            </w:r>
          </w:p>
        </w:tc>
        <w:tc>
          <w:tcPr>
            <w:tcW w:w="583"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left="-35" w:firstLine="23"/>
              <w:jc w:val="center"/>
              <w:rPr>
                <w:rFonts w:ascii="Times New Roman" w:hAnsi="Times New Roman"/>
                <w:sz w:val="20"/>
                <w:szCs w:val="20"/>
              </w:rPr>
            </w:pPr>
            <w:r w:rsidRPr="008211FD">
              <w:rPr>
                <w:rFonts w:ascii="Times New Roman" w:hAnsi="Times New Roman"/>
                <w:sz w:val="20"/>
                <w:szCs w:val="20"/>
              </w:rPr>
              <w:t>P</w:t>
            </w:r>
          </w:p>
        </w:tc>
        <w:tc>
          <w:tcPr>
            <w:tcW w:w="499"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left="-35" w:firstLine="23"/>
              <w:jc w:val="center"/>
              <w:rPr>
                <w:rFonts w:ascii="Times New Roman" w:hAnsi="Times New Roman"/>
                <w:sz w:val="20"/>
                <w:szCs w:val="20"/>
              </w:rPr>
            </w:pPr>
          </w:p>
        </w:tc>
        <w:tc>
          <w:tcPr>
            <w:tcW w:w="490"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left="-35" w:firstLine="23"/>
              <w:jc w:val="center"/>
              <w:rPr>
                <w:rFonts w:ascii="Times New Roman" w:hAnsi="Times New Roman"/>
                <w:sz w:val="20"/>
                <w:szCs w:val="20"/>
              </w:rPr>
            </w:pPr>
          </w:p>
        </w:tc>
        <w:tc>
          <w:tcPr>
            <w:tcW w:w="407"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left="-35" w:firstLine="23"/>
              <w:jc w:val="center"/>
              <w:rPr>
                <w:rFonts w:ascii="Times New Roman" w:hAnsi="Times New Roman"/>
                <w:sz w:val="20"/>
                <w:szCs w:val="20"/>
              </w:rPr>
            </w:pPr>
            <w:r w:rsidRPr="008211FD">
              <w:rPr>
                <w:rFonts w:ascii="Times New Roman" w:hAnsi="Times New Roman"/>
                <w:sz w:val="20"/>
                <w:szCs w:val="20"/>
              </w:rPr>
              <w:t>D, P</w:t>
            </w:r>
          </w:p>
        </w:tc>
        <w:tc>
          <w:tcPr>
            <w:tcW w:w="575"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left="-35" w:firstLine="23"/>
              <w:jc w:val="center"/>
              <w:rPr>
                <w:rFonts w:ascii="Times New Roman" w:hAnsi="Times New Roman"/>
                <w:sz w:val="20"/>
                <w:szCs w:val="20"/>
              </w:rPr>
            </w:pPr>
            <w:r w:rsidRPr="008211FD">
              <w:rPr>
                <w:rFonts w:ascii="Times New Roman" w:hAnsi="Times New Roman"/>
                <w:sz w:val="20"/>
                <w:szCs w:val="20"/>
              </w:rPr>
              <w:t>D</w:t>
            </w:r>
          </w:p>
        </w:tc>
        <w:tc>
          <w:tcPr>
            <w:tcW w:w="49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left="-35" w:firstLine="23"/>
              <w:jc w:val="center"/>
              <w:rPr>
                <w:rFonts w:ascii="Times New Roman" w:hAnsi="Times New Roman"/>
                <w:sz w:val="20"/>
                <w:szCs w:val="20"/>
              </w:rPr>
            </w:pPr>
            <w:r w:rsidRPr="008211FD">
              <w:rPr>
                <w:rFonts w:ascii="Times New Roman" w:hAnsi="Times New Roman"/>
                <w:sz w:val="20"/>
                <w:szCs w:val="20"/>
              </w:rPr>
              <w:t>VP</w:t>
            </w:r>
          </w:p>
        </w:tc>
        <w:tc>
          <w:tcPr>
            <w:tcW w:w="285"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left="-35" w:firstLine="23"/>
              <w:jc w:val="center"/>
              <w:rPr>
                <w:rFonts w:ascii="Times New Roman" w:hAnsi="Times New Roman"/>
                <w:sz w:val="20"/>
                <w:szCs w:val="20"/>
              </w:rPr>
            </w:pPr>
            <w:r w:rsidRPr="008211FD">
              <w:rPr>
                <w:rFonts w:ascii="Times New Roman" w:hAnsi="Times New Roman"/>
                <w:sz w:val="20"/>
                <w:szCs w:val="20"/>
              </w:rPr>
              <w:t>7</w:t>
            </w:r>
          </w:p>
        </w:tc>
      </w:tr>
      <w:tr w:rsidR="00822877" w:rsidRPr="008211FD" w:rsidTr="00CE3680">
        <w:tc>
          <w:tcPr>
            <w:tcW w:w="749"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lang w:val="en-US"/>
              </w:rPr>
            </w:pPr>
            <w:r w:rsidRPr="008211FD">
              <w:rPr>
                <w:rFonts w:ascii="Times New Roman" w:eastAsia="Times New Roman" w:hAnsi="Times New Roman"/>
                <w:bCs/>
                <w:sz w:val="20"/>
                <w:szCs w:val="20"/>
                <w:lang w:val="en-US"/>
              </w:rPr>
              <w:t>Itaú</w:t>
            </w:r>
          </w:p>
        </w:tc>
        <w:tc>
          <w:tcPr>
            <w:tcW w:w="420"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DS</w:t>
            </w:r>
          </w:p>
        </w:tc>
        <w:tc>
          <w:tcPr>
            <w:tcW w:w="496"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D</w:t>
            </w:r>
          </w:p>
        </w:tc>
        <w:tc>
          <w:tcPr>
            <w:tcW w:w="583"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D</w:t>
            </w:r>
          </w:p>
        </w:tc>
        <w:tc>
          <w:tcPr>
            <w:tcW w:w="499"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P</w:t>
            </w:r>
          </w:p>
        </w:tc>
        <w:tc>
          <w:tcPr>
            <w:tcW w:w="490"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p>
        </w:tc>
        <w:tc>
          <w:tcPr>
            <w:tcW w:w="407"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D</w:t>
            </w:r>
          </w:p>
        </w:tc>
        <w:tc>
          <w:tcPr>
            <w:tcW w:w="575"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D</w:t>
            </w:r>
          </w:p>
        </w:tc>
        <w:tc>
          <w:tcPr>
            <w:tcW w:w="496"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VP</w:t>
            </w:r>
          </w:p>
        </w:tc>
        <w:tc>
          <w:tcPr>
            <w:tcW w:w="285"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7</w:t>
            </w:r>
          </w:p>
        </w:tc>
      </w:tr>
      <w:tr w:rsidR="00822877" w:rsidRPr="008211FD" w:rsidTr="00CE3680">
        <w:tc>
          <w:tcPr>
            <w:tcW w:w="749"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lang w:val="en-US"/>
              </w:rPr>
            </w:pPr>
            <w:r w:rsidRPr="008211FD">
              <w:rPr>
                <w:rFonts w:ascii="Times New Roman" w:eastAsia="Times New Roman" w:hAnsi="Times New Roman"/>
                <w:bCs/>
                <w:sz w:val="20"/>
                <w:szCs w:val="20"/>
                <w:lang w:val="en-US"/>
              </w:rPr>
              <w:t>Unibanco</w:t>
            </w:r>
          </w:p>
        </w:tc>
        <w:tc>
          <w:tcPr>
            <w:tcW w:w="420"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P</w:t>
            </w:r>
          </w:p>
        </w:tc>
        <w:tc>
          <w:tcPr>
            <w:tcW w:w="49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P</w:t>
            </w:r>
          </w:p>
        </w:tc>
        <w:tc>
          <w:tcPr>
            <w:tcW w:w="583"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D</w:t>
            </w:r>
          </w:p>
        </w:tc>
        <w:tc>
          <w:tcPr>
            <w:tcW w:w="499"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VP</w:t>
            </w:r>
          </w:p>
        </w:tc>
        <w:tc>
          <w:tcPr>
            <w:tcW w:w="490"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rPr>
            </w:pPr>
          </w:p>
        </w:tc>
        <w:tc>
          <w:tcPr>
            <w:tcW w:w="407"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DT</w:t>
            </w:r>
          </w:p>
        </w:tc>
        <w:tc>
          <w:tcPr>
            <w:tcW w:w="575"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D</w:t>
            </w:r>
          </w:p>
        </w:tc>
        <w:tc>
          <w:tcPr>
            <w:tcW w:w="49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S</w:t>
            </w:r>
          </w:p>
        </w:tc>
        <w:tc>
          <w:tcPr>
            <w:tcW w:w="285"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7</w:t>
            </w:r>
          </w:p>
        </w:tc>
      </w:tr>
      <w:tr w:rsidR="00822877" w:rsidRPr="008211FD" w:rsidTr="00CE3680">
        <w:tc>
          <w:tcPr>
            <w:tcW w:w="749"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rPr>
                <w:rFonts w:ascii="Times New Roman" w:eastAsia="Times New Roman" w:hAnsi="Times New Roman"/>
                <w:b/>
                <w:bCs/>
                <w:sz w:val="20"/>
                <w:szCs w:val="20"/>
                <w:lang w:val="en-US"/>
              </w:rPr>
            </w:pPr>
            <w:r w:rsidRPr="008211FD">
              <w:rPr>
                <w:rFonts w:ascii="Times New Roman" w:eastAsia="Times New Roman" w:hAnsi="Times New Roman"/>
                <w:bCs/>
                <w:sz w:val="20"/>
                <w:szCs w:val="20"/>
                <w:lang w:val="en-US"/>
              </w:rPr>
              <w:t>Citigroup</w:t>
            </w:r>
          </w:p>
        </w:tc>
        <w:tc>
          <w:tcPr>
            <w:tcW w:w="420"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center"/>
              <w:rPr>
                <w:rFonts w:ascii="Times New Roman" w:hAnsi="Times New Roman"/>
                <w:sz w:val="20"/>
                <w:szCs w:val="20"/>
              </w:rPr>
            </w:pPr>
          </w:p>
        </w:tc>
        <w:tc>
          <w:tcPr>
            <w:tcW w:w="496"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center"/>
              <w:rPr>
                <w:rFonts w:ascii="Times New Roman" w:hAnsi="Times New Roman"/>
                <w:sz w:val="20"/>
                <w:szCs w:val="20"/>
              </w:rPr>
            </w:pPr>
          </w:p>
        </w:tc>
        <w:tc>
          <w:tcPr>
            <w:tcW w:w="583"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D</w:t>
            </w:r>
          </w:p>
        </w:tc>
        <w:tc>
          <w:tcPr>
            <w:tcW w:w="499"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D</w:t>
            </w:r>
          </w:p>
        </w:tc>
        <w:tc>
          <w:tcPr>
            <w:tcW w:w="490"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jc w:val="center"/>
              <w:rPr>
                <w:rFonts w:ascii="Times New Roman" w:hAnsi="Times New Roman"/>
                <w:sz w:val="20"/>
                <w:szCs w:val="20"/>
              </w:rPr>
            </w:pPr>
            <w:r w:rsidRPr="008211FD">
              <w:rPr>
                <w:rFonts w:ascii="Times New Roman" w:hAnsi="Times New Roman"/>
                <w:sz w:val="20"/>
                <w:szCs w:val="20"/>
              </w:rPr>
              <w:t>VP,DT</w:t>
            </w:r>
          </w:p>
        </w:tc>
        <w:tc>
          <w:tcPr>
            <w:tcW w:w="407"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p>
        </w:tc>
        <w:tc>
          <w:tcPr>
            <w:tcW w:w="575"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D</w:t>
            </w:r>
          </w:p>
        </w:tc>
        <w:tc>
          <w:tcPr>
            <w:tcW w:w="496"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VP</w:t>
            </w:r>
          </w:p>
        </w:tc>
        <w:tc>
          <w:tcPr>
            <w:tcW w:w="285" w:type="pct"/>
            <w:tcBorders>
              <w:top w:val="single" w:sz="8" w:space="0" w:color="4F81BD"/>
              <w:left w:val="single" w:sz="8" w:space="0" w:color="4F81BD"/>
              <w:bottom w:val="single" w:sz="8" w:space="0" w:color="4F81BD"/>
              <w:right w:val="single" w:sz="8" w:space="0" w:color="4F81BD"/>
            </w:tcBorders>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6</w:t>
            </w:r>
          </w:p>
        </w:tc>
      </w:tr>
      <w:tr w:rsidR="00822877" w:rsidRPr="008211FD" w:rsidTr="00CE3680">
        <w:tc>
          <w:tcPr>
            <w:tcW w:w="749"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rPr>
                <w:rFonts w:ascii="Times New Roman" w:eastAsia="Times New Roman" w:hAnsi="Times New Roman"/>
                <w:b/>
                <w:bCs/>
                <w:sz w:val="20"/>
                <w:szCs w:val="20"/>
                <w:lang w:val="en-US"/>
              </w:rPr>
            </w:pPr>
            <w:r w:rsidRPr="008211FD">
              <w:rPr>
                <w:rFonts w:ascii="Times New Roman" w:eastAsia="Times New Roman" w:hAnsi="Times New Roman"/>
                <w:bCs/>
                <w:sz w:val="20"/>
                <w:szCs w:val="20"/>
                <w:lang w:val="en-US"/>
              </w:rPr>
              <w:t xml:space="preserve">ABN Amro </w:t>
            </w:r>
          </w:p>
        </w:tc>
        <w:tc>
          <w:tcPr>
            <w:tcW w:w="420"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center"/>
              <w:rPr>
                <w:rFonts w:ascii="Times New Roman" w:hAnsi="Times New Roman"/>
                <w:sz w:val="20"/>
                <w:szCs w:val="20"/>
              </w:rPr>
            </w:pPr>
          </w:p>
        </w:tc>
        <w:tc>
          <w:tcPr>
            <w:tcW w:w="49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jc w:val="center"/>
              <w:rPr>
                <w:rFonts w:ascii="Times New Roman" w:hAnsi="Times New Roman"/>
                <w:sz w:val="20"/>
                <w:szCs w:val="20"/>
              </w:rPr>
            </w:pPr>
          </w:p>
        </w:tc>
        <w:tc>
          <w:tcPr>
            <w:tcW w:w="583"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VP</w:t>
            </w:r>
          </w:p>
        </w:tc>
        <w:tc>
          <w:tcPr>
            <w:tcW w:w="499"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VP</w:t>
            </w:r>
          </w:p>
        </w:tc>
        <w:tc>
          <w:tcPr>
            <w:tcW w:w="490"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VP</w:t>
            </w:r>
          </w:p>
        </w:tc>
        <w:tc>
          <w:tcPr>
            <w:tcW w:w="407"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DT</w:t>
            </w:r>
          </w:p>
        </w:tc>
        <w:tc>
          <w:tcPr>
            <w:tcW w:w="575"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rPr>
            </w:pPr>
          </w:p>
        </w:tc>
        <w:tc>
          <w:tcPr>
            <w:tcW w:w="496"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rPr>
            </w:pPr>
          </w:p>
        </w:tc>
        <w:tc>
          <w:tcPr>
            <w:tcW w:w="285" w:type="pct"/>
            <w:tcBorders>
              <w:top w:val="single" w:sz="8" w:space="0" w:color="4F81BD"/>
              <w:left w:val="single" w:sz="8" w:space="0" w:color="4F81BD"/>
              <w:bottom w:val="single" w:sz="8" w:space="0" w:color="4F81BD"/>
              <w:right w:val="single" w:sz="8" w:space="0" w:color="4F81BD"/>
            </w:tcBorders>
            <w:shd w:val="clear" w:color="auto" w:fill="D3DFEE"/>
          </w:tcPr>
          <w:p w:rsidR="00822877" w:rsidRPr="008211FD" w:rsidRDefault="00822877"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4</w:t>
            </w:r>
          </w:p>
        </w:tc>
      </w:tr>
    </w:tbl>
    <w:p w:rsidR="00822877" w:rsidRPr="00C3402F" w:rsidRDefault="00822877" w:rsidP="00822877">
      <w:pPr>
        <w:tabs>
          <w:tab w:val="left" w:pos="2418"/>
        </w:tabs>
        <w:spacing w:after="0" w:line="240" w:lineRule="auto"/>
        <w:rPr>
          <w:rFonts w:ascii="Times New Roman" w:hAnsi="Times New Roman"/>
          <w:sz w:val="18"/>
          <w:szCs w:val="18"/>
        </w:rPr>
      </w:pPr>
      <w:r w:rsidRPr="002045BC">
        <w:rPr>
          <w:rFonts w:ascii="Times New Roman" w:hAnsi="Times New Roman"/>
          <w:b/>
          <w:sz w:val="18"/>
          <w:szCs w:val="18"/>
        </w:rPr>
        <w:t>Fonte</w:t>
      </w:r>
      <w:r>
        <w:rPr>
          <w:rFonts w:ascii="Times New Roman" w:hAnsi="Times New Roman"/>
          <w:sz w:val="18"/>
          <w:szCs w:val="18"/>
        </w:rPr>
        <w:t>: Adaptação de MINELLA</w:t>
      </w:r>
      <w:r w:rsidR="00A5454E">
        <w:rPr>
          <w:rFonts w:ascii="Times New Roman" w:hAnsi="Times New Roman"/>
          <w:sz w:val="18"/>
          <w:szCs w:val="18"/>
        </w:rPr>
        <w:t xml:space="preserve">, Ary César. </w:t>
      </w:r>
      <w:r w:rsidR="00A5454E" w:rsidRPr="00A5454E">
        <w:rPr>
          <w:rFonts w:ascii="Times New Roman" w:hAnsi="Times New Roman"/>
          <w:sz w:val="18"/>
          <w:szCs w:val="18"/>
        </w:rPr>
        <w:t>Reestruturação do sistema financeiro brasileiro</w:t>
      </w:r>
      <w:r w:rsidR="00A5454E">
        <w:rPr>
          <w:rFonts w:ascii="Times New Roman" w:hAnsi="Times New Roman"/>
          <w:sz w:val="18"/>
          <w:szCs w:val="18"/>
        </w:rPr>
        <w:t xml:space="preserve">... Op. cit., </w:t>
      </w:r>
      <w:r w:rsidRPr="00C3402F">
        <w:rPr>
          <w:rFonts w:ascii="Times New Roman" w:hAnsi="Times New Roman"/>
          <w:sz w:val="18"/>
          <w:szCs w:val="18"/>
        </w:rPr>
        <w:t>p. 273.</w:t>
      </w:r>
    </w:p>
    <w:p w:rsidR="00822877" w:rsidRDefault="00822877" w:rsidP="00822877">
      <w:pPr>
        <w:tabs>
          <w:tab w:val="left" w:pos="0"/>
        </w:tabs>
        <w:spacing w:line="240" w:lineRule="auto"/>
        <w:rPr>
          <w:rFonts w:ascii="Times New Roman" w:hAnsi="Times New Roman"/>
          <w:sz w:val="18"/>
          <w:szCs w:val="18"/>
        </w:rPr>
      </w:pPr>
      <w:r w:rsidRPr="00C3402F">
        <w:rPr>
          <w:rFonts w:ascii="Times New Roman" w:hAnsi="Times New Roman"/>
          <w:sz w:val="18"/>
          <w:szCs w:val="18"/>
        </w:rPr>
        <w:t>Cargos: P: Presidente; VP: Vice-Presidente; D: Diretor; DT: Diretor Técnico; DC: Diretor Conselheiro; T: Tesoureiro; DS: Diretor Secretário; S: Secretário</w:t>
      </w:r>
    </w:p>
    <w:p w:rsidR="00822877" w:rsidRDefault="00822877" w:rsidP="00822877">
      <w:pPr>
        <w:tabs>
          <w:tab w:val="left" w:pos="0"/>
        </w:tabs>
        <w:spacing w:after="0" w:line="360" w:lineRule="auto"/>
        <w:jc w:val="both"/>
        <w:rPr>
          <w:rFonts w:ascii="Times New Roman" w:hAnsi="Times New Roman"/>
          <w:sz w:val="24"/>
          <w:szCs w:val="24"/>
        </w:rPr>
      </w:pPr>
      <w:r>
        <w:rPr>
          <w:rFonts w:ascii="Times New Roman" w:hAnsi="Times New Roman"/>
          <w:sz w:val="24"/>
          <w:szCs w:val="24"/>
        </w:rPr>
        <w:tab/>
      </w:r>
    </w:p>
    <w:p w:rsidR="00822877" w:rsidRDefault="00822877" w:rsidP="00822877">
      <w:pPr>
        <w:tabs>
          <w:tab w:val="left" w:pos="0"/>
        </w:tabs>
        <w:spacing w:after="0" w:line="360" w:lineRule="auto"/>
        <w:jc w:val="both"/>
        <w:rPr>
          <w:rFonts w:ascii="Times New Roman" w:hAnsi="Times New Roman"/>
          <w:sz w:val="24"/>
          <w:szCs w:val="24"/>
        </w:rPr>
      </w:pPr>
      <w:r>
        <w:rPr>
          <w:rFonts w:ascii="Times New Roman" w:hAnsi="Times New Roman"/>
          <w:sz w:val="24"/>
          <w:szCs w:val="24"/>
        </w:rPr>
        <w:tab/>
        <w:t xml:space="preserve">Como podemos observar, os grupos </w:t>
      </w:r>
      <w:r w:rsidR="00534612">
        <w:rPr>
          <w:rFonts w:ascii="Times New Roman" w:hAnsi="Times New Roman"/>
          <w:sz w:val="24"/>
          <w:szCs w:val="24"/>
        </w:rPr>
        <w:t>do setor bancário</w:t>
      </w:r>
      <w:r w:rsidR="00624189">
        <w:rPr>
          <w:rFonts w:ascii="Times New Roman" w:hAnsi="Times New Roman"/>
          <w:sz w:val="24"/>
          <w:szCs w:val="24"/>
        </w:rPr>
        <w:t>-financeiro</w:t>
      </w:r>
      <w:r>
        <w:rPr>
          <w:rFonts w:ascii="Times New Roman" w:hAnsi="Times New Roman"/>
          <w:sz w:val="24"/>
          <w:szCs w:val="24"/>
        </w:rPr>
        <w:t xml:space="preserve"> representados no Conselho participavam de uma ampla e variada gama de entidades ligadas ao </w:t>
      </w:r>
      <w:r w:rsidR="00534612">
        <w:rPr>
          <w:rFonts w:ascii="Times New Roman" w:hAnsi="Times New Roman"/>
          <w:sz w:val="24"/>
          <w:szCs w:val="24"/>
        </w:rPr>
        <w:t xml:space="preserve">seu </w:t>
      </w:r>
      <w:r>
        <w:rPr>
          <w:rFonts w:ascii="Times New Roman" w:hAnsi="Times New Roman"/>
          <w:sz w:val="24"/>
          <w:szCs w:val="24"/>
        </w:rPr>
        <w:t xml:space="preserve">setor. Numa amostra maior de agentes, Minella assevera que o comando dessas entidades no Brasil se caracteriza por uma </w:t>
      </w:r>
      <w:r w:rsidR="00624189">
        <w:rPr>
          <w:rFonts w:ascii="Times New Roman" w:hAnsi="Times New Roman"/>
          <w:sz w:val="24"/>
          <w:szCs w:val="24"/>
        </w:rPr>
        <w:t>i</w:t>
      </w:r>
      <w:r w:rsidR="000A730D">
        <w:rPr>
          <w:rFonts w:ascii="Times New Roman" w:hAnsi="Times New Roman"/>
          <w:sz w:val="24"/>
          <w:szCs w:val="24"/>
        </w:rPr>
        <w:t>n</w:t>
      </w:r>
      <w:r w:rsidR="00624189">
        <w:rPr>
          <w:rFonts w:ascii="Times New Roman" w:hAnsi="Times New Roman"/>
          <w:sz w:val="24"/>
          <w:szCs w:val="24"/>
        </w:rPr>
        <w:t>tensa atuação</w:t>
      </w:r>
      <w:r>
        <w:rPr>
          <w:rFonts w:ascii="Times New Roman" w:hAnsi="Times New Roman"/>
          <w:sz w:val="24"/>
          <w:szCs w:val="24"/>
        </w:rPr>
        <w:t xml:space="preserve"> de um conjunto reduzido de grupos </w:t>
      </w:r>
      <w:r w:rsidR="00624189">
        <w:rPr>
          <w:rFonts w:ascii="Times New Roman" w:hAnsi="Times New Roman"/>
          <w:sz w:val="24"/>
          <w:szCs w:val="24"/>
        </w:rPr>
        <w:t>bancário-</w:t>
      </w:r>
      <w:r>
        <w:rPr>
          <w:rFonts w:ascii="Times New Roman" w:hAnsi="Times New Roman"/>
          <w:sz w:val="24"/>
          <w:szCs w:val="24"/>
        </w:rPr>
        <w:t xml:space="preserve">financeiros, </w:t>
      </w:r>
      <w:r w:rsidR="00624189">
        <w:rPr>
          <w:rFonts w:ascii="Times New Roman" w:hAnsi="Times New Roman"/>
          <w:sz w:val="24"/>
          <w:szCs w:val="24"/>
        </w:rPr>
        <w:t>com forte participação d</w:t>
      </w:r>
      <w:r>
        <w:rPr>
          <w:rFonts w:ascii="Times New Roman" w:hAnsi="Times New Roman"/>
          <w:sz w:val="24"/>
          <w:szCs w:val="24"/>
        </w:rPr>
        <w:t>os estrangeiros</w:t>
      </w:r>
      <w:r w:rsidR="00624189">
        <w:rPr>
          <w:rFonts w:ascii="Times New Roman" w:hAnsi="Times New Roman"/>
          <w:sz w:val="24"/>
          <w:szCs w:val="24"/>
        </w:rPr>
        <w:t>.</w:t>
      </w:r>
      <w:r>
        <w:rPr>
          <w:rStyle w:val="Refdenotaderodap"/>
          <w:rFonts w:ascii="Times New Roman" w:hAnsi="Times New Roman"/>
          <w:sz w:val="24"/>
          <w:szCs w:val="24"/>
        </w:rPr>
        <w:footnoteReference w:id="292"/>
      </w:r>
      <w:r>
        <w:rPr>
          <w:rFonts w:ascii="Times New Roman" w:hAnsi="Times New Roman"/>
          <w:sz w:val="24"/>
          <w:szCs w:val="24"/>
        </w:rPr>
        <w:t xml:space="preserve"> Outrossim, convém realçar que a participação simultânea nestas entidades leva a cada uma de suas direções ser composta por vários prepostos de diferenciados grupos </w:t>
      </w:r>
      <w:r w:rsidR="00624189">
        <w:rPr>
          <w:rFonts w:ascii="Times New Roman" w:hAnsi="Times New Roman"/>
          <w:sz w:val="24"/>
          <w:szCs w:val="24"/>
        </w:rPr>
        <w:t xml:space="preserve">do setor </w:t>
      </w:r>
      <w:r>
        <w:rPr>
          <w:rFonts w:ascii="Times New Roman" w:hAnsi="Times New Roman"/>
          <w:sz w:val="24"/>
          <w:szCs w:val="24"/>
        </w:rPr>
        <w:t xml:space="preserve">financeiro. Por sua vez, o entrelaçamento é também percebido não apenas no interior de cada entidade mas também na abrangência participativa de cada grupo </w:t>
      </w:r>
      <w:r w:rsidR="005E2ED7">
        <w:rPr>
          <w:rFonts w:ascii="Times New Roman" w:hAnsi="Times New Roman"/>
          <w:sz w:val="24"/>
          <w:szCs w:val="24"/>
        </w:rPr>
        <w:t>bancário-</w:t>
      </w:r>
      <w:r>
        <w:rPr>
          <w:rFonts w:ascii="Times New Roman" w:hAnsi="Times New Roman"/>
          <w:sz w:val="24"/>
          <w:szCs w:val="24"/>
        </w:rPr>
        <w:t>financeiro, de sorte que é possível sustentar a hipótese de Minella (de uma rede transassociativa) também para os atores financeiros no CDES.</w:t>
      </w:r>
    </w:p>
    <w:p w:rsidR="00822877" w:rsidRDefault="00822877" w:rsidP="00822877">
      <w:pPr>
        <w:tabs>
          <w:tab w:val="left" w:pos="0"/>
        </w:tabs>
        <w:spacing w:after="0" w:line="360" w:lineRule="auto"/>
        <w:jc w:val="both"/>
        <w:rPr>
          <w:rFonts w:ascii="Times New Roman" w:hAnsi="Times New Roman"/>
          <w:sz w:val="24"/>
          <w:szCs w:val="24"/>
        </w:rPr>
      </w:pPr>
      <w:r>
        <w:rPr>
          <w:rFonts w:ascii="Times New Roman" w:hAnsi="Times New Roman"/>
          <w:sz w:val="24"/>
          <w:szCs w:val="24"/>
        </w:rPr>
        <w:tab/>
        <w:t xml:space="preserve">As implicações desta rede, segundo o autor, reforçam as assimetrias de poder em favor dos </w:t>
      </w:r>
      <w:r w:rsidR="00624189">
        <w:rPr>
          <w:rFonts w:ascii="Times New Roman" w:hAnsi="Times New Roman"/>
          <w:sz w:val="24"/>
          <w:szCs w:val="24"/>
        </w:rPr>
        <w:t xml:space="preserve">grandes </w:t>
      </w:r>
      <w:r>
        <w:rPr>
          <w:rFonts w:ascii="Times New Roman" w:hAnsi="Times New Roman"/>
          <w:sz w:val="24"/>
          <w:szCs w:val="24"/>
        </w:rPr>
        <w:t xml:space="preserve">grupos </w:t>
      </w:r>
      <w:r w:rsidR="00624189">
        <w:rPr>
          <w:rFonts w:ascii="Times New Roman" w:hAnsi="Times New Roman"/>
          <w:sz w:val="24"/>
          <w:szCs w:val="24"/>
        </w:rPr>
        <w:t xml:space="preserve">do setor </w:t>
      </w:r>
      <w:r w:rsidR="007A4A10">
        <w:rPr>
          <w:rFonts w:ascii="Times New Roman" w:hAnsi="Times New Roman"/>
          <w:sz w:val="24"/>
          <w:szCs w:val="24"/>
        </w:rPr>
        <w:t xml:space="preserve">bancário-financeiro </w:t>
      </w:r>
      <w:r w:rsidR="00624189">
        <w:rPr>
          <w:rFonts w:ascii="Times New Roman" w:hAnsi="Times New Roman"/>
          <w:sz w:val="24"/>
          <w:szCs w:val="24"/>
        </w:rPr>
        <w:t>de origem</w:t>
      </w:r>
      <w:r>
        <w:rPr>
          <w:rFonts w:ascii="Times New Roman" w:hAnsi="Times New Roman"/>
          <w:sz w:val="24"/>
          <w:szCs w:val="24"/>
        </w:rPr>
        <w:t xml:space="preserve"> nacionais e internacionais em relação aos demais porque: i) potencializa a capacidade de atuação coordenada no âmbito político e corporativo; ii) cria um canal privilegiado de fluxo de informação sobre a dinâmica interna das associações; iii) define estratégias de relacionamento com o governo, os demais segmentos empresariais e com os trabalhadores do sistema financeiro.</w:t>
      </w:r>
      <w:r>
        <w:rPr>
          <w:rStyle w:val="Refdenotaderodap"/>
          <w:rFonts w:ascii="Times New Roman" w:hAnsi="Times New Roman"/>
          <w:sz w:val="24"/>
          <w:szCs w:val="24"/>
        </w:rPr>
        <w:footnoteReference w:id="293"/>
      </w:r>
    </w:p>
    <w:p w:rsidR="00136827" w:rsidRPr="00801C8C" w:rsidRDefault="00822877" w:rsidP="0054787C">
      <w:pPr>
        <w:spacing w:after="0" w:line="360" w:lineRule="auto"/>
        <w:jc w:val="both"/>
        <w:rPr>
          <w:rFonts w:ascii="Times New Roman" w:hAnsi="Times New Roman"/>
          <w:sz w:val="24"/>
          <w:szCs w:val="24"/>
        </w:rPr>
      </w:pPr>
      <w:r>
        <w:rPr>
          <w:rFonts w:ascii="Times New Roman" w:hAnsi="Times New Roman"/>
          <w:sz w:val="24"/>
          <w:szCs w:val="24"/>
        </w:rPr>
        <w:tab/>
        <w:t>Uma terceira hipótese levantada e não trabalhada pelo autor, é a de que, como a maioria dos conglo</w:t>
      </w:r>
      <w:r w:rsidR="007010D3">
        <w:rPr>
          <w:rFonts w:ascii="Times New Roman" w:hAnsi="Times New Roman"/>
          <w:sz w:val="24"/>
          <w:szCs w:val="24"/>
        </w:rPr>
        <w:t xml:space="preserve">merados </w:t>
      </w:r>
      <w:r w:rsidR="007F5D0A">
        <w:rPr>
          <w:rFonts w:ascii="Times New Roman" w:hAnsi="Times New Roman"/>
          <w:sz w:val="24"/>
          <w:szCs w:val="24"/>
        </w:rPr>
        <w:t>bancária-financeira</w:t>
      </w:r>
      <w:r w:rsidR="007010D3">
        <w:rPr>
          <w:rFonts w:ascii="Times New Roman" w:hAnsi="Times New Roman"/>
          <w:sz w:val="24"/>
          <w:szCs w:val="24"/>
        </w:rPr>
        <w:t xml:space="preserve">se constitui como </w:t>
      </w:r>
      <w:r w:rsidR="00BB315D">
        <w:rPr>
          <w:rFonts w:ascii="Times New Roman" w:hAnsi="Times New Roman"/>
          <w:sz w:val="24"/>
          <w:szCs w:val="24"/>
        </w:rPr>
        <w:t>capital financeiro</w:t>
      </w:r>
      <w:r>
        <w:rPr>
          <w:rFonts w:ascii="Times New Roman" w:hAnsi="Times New Roman"/>
          <w:sz w:val="24"/>
          <w:szCs w:val="24"/>
        </w:rPr>
        <w:t xml:space="preserve">, ou seja, atuante também no setor não </w:t>
      </w:r>
      <w:r w:rsidR="007010D3">
        <w:rPr>
          <w:rFonts w:ascii="Times New Roman" w:hAnsi="Times New Roman"/>
          <w:sz w:val="24"/>
          <w:szCs w:val="24"/>
        </w:rPr>
        <w:t>bancário</w:t>
      </w:r>
      <w:r w:rsidR="00684342">
        <w:rPr>
          <w:rFonts w:ascii="Times New Roman" w:hAnsi="Times New Roman"/>
          <w:sz w:val="24"/>
          <w:szCs w:val="24"/>
        </w:rPr>
        <w:t>-financeiro</w:t>
      </w:r>
      <w:r>
        <w:rPr>
          <w:rFonts w:ascii="Times New Roman" w:hAnsi="Times New Roman"/>
          <w:sz w:val="24"/>
          <w:szCs w:val="24"/>
        </w:rPr>
        <w:t xml:space="preserve">, a rede transassociativa alcança outras esferas associativas, se envolvendo na representação de classe de outros setores ou ramos econômicos. </w:t>
      </w:r>
    </w:p>
    <w:p w:rsidR="0089208F" w:rsidRPr="00414D01" w:rsidRDefault="00136827" w:rsidP="00822877">
      <w:pPr>
        <w:tabs>
          <w:tab w:val="left" w:pos="0"/>
        </w:tabs>
        <w:spacing w:after="0" w:line="360" w:lineRule="auto"/>
        <w:jc w:val="both"/>
        <w:rPr>
          <w:rFonts w:ascii="Times New Roman" w:hAnsi="Times New Roman"/>
          <w:sz w:val="24"/>
          <w:szCs w:val="24"/>
        </w:rPr>
      </w:pPr>
      <w:r>
        <w:rPr>
          <w:rFonts w:ascii="Times New Roman" w:hAnsi="Times New Roman"/>
          <w:sz w:val="24"/>
          <w:szCs w:val="24"/>
        </w:rPr>
        <w:tab/>
      </w:r>
      <w:r w:rsidR="00822877">
        <w:rPr>
          <w:rFonts w:ascii="Times New Roman" w:hAnsi="Times New Roman"/>
          <w:sz w:val="24"/>
          <w:szCs w:val="24"/>
        </w:rPr>
        <w:t>No que concerne aos conselheiros-</w:t>
      </w:r>
      <w:r w:rsidR="00533AFA">
        <w:rPr>
          <w:rFonts w:ascii="Times New Roman" w:hAnsi="Times New Roman"/>
          <w:sz w:val="24"/>
          <w:szCs w:val="24"/>
        </w:rPr>
        <w:t>banqueiros</w:t>
      </w:r>
      <w:r w:rsidR="00822877" w:rsidRPr="00C34B74">
        <w:rPr>
          <w:rFonts w:ascii="Times New Roman" w:hAnsi="Times New Roman"/>
          <w:i/>
          <w:sz w:val="24"/>
          <w:szCs w:val="24"/>
        </w:rPr>
        <w:t>do CDES</w:t>
      </w:r>
      <w:r w:rsidR="00822877">
        <w:rPr>
          <w:rFonts w:ascii="Times New Roman" w:hAnsi="Times New Roman"/>
          <w:sz w:val="24"/>
          <w:szCs w:val="24"/>
        </w:rPr>
        <w:t xml:space="preserve">, de fato suas conexões </w:t>
      </w:r>
      <w:r w:rsidR="00533AFA">
        <w:rPr>
          <w:rFonts w:ascii="Times New Roman" w:hAnsi="Times New Roman"/>
          <w:sz w:val="24"/>
          <w:szCs w:val="24"/>
        </w:rPr>
        <w:t xml:space="preserve">corporativas </w:t>
      </w:r>
      <w:r w:rsidR="00822877">
        <w:rPr>
          <w:rFonts w:ascii="Times New Roman" w:hAnsi="Times New Roman"/>
          <w:sz w:val="24"/>
          <w:szCs w:val="24"/>
        </w:rPr>
        <w:t xml:space="preserve">se estendiam a setores econômicos não </w:t>
      </w:r>
      <w:r w:rsidR="007010D3">
        <w:rPr>
          <w:rFonts w:ascii="Times New Roman" w:hAnsi="Times New Roman"/>
          <w:sz w:val="24"/>
          <w:szCs w:val="24"/>
        </w:rPr>
        <w:t>bancário</w:t>
      </w:r>
      <w:r w:rsidR="00684342">
        <w:rPr>
          <w:rFonts w:ascii="Times New Roman" w:hAnsi="Times New Roman"/>
          <w:sz w:val="24"/>
          <w:szCs w:val="24"/>
        </w:rPr>
        <w:t>-financeiros</w:t>
      </w:r>
      <w:r w:rsidR="00822877">
        <w:rPr>
          <w:rFonts w:ascii="Times New Roman" w:hAnsi="Times New Roman"/>
          <w:sz w:val="24"/>
          <w:szCs w:val="24"/>
        </w:rPr>
        <w:t>, principalmente em vários segmentos da indústria</w:t>
      </w:r>
      <w:r w:rsidR="007010D3">
        <w:rPr>
          <w:rFonts w:ascii="Times New Roman" w:hAnsi="Times New Roman"/>
          <w:sz w:val="24"/>
          <w:szCs w:val="24"/>
        </w:rPr>
        <w:t xml:space="preserve"> fabril</w:t>
      </w:r>
      <w:r w:rsidR="00822877">
        <w:rPr>
          <w:rFonts w:ascii="Times New Roman" w:hAnsi="Times New Roman"/>
          <w:sz w:val="24"/>
          <w:szCs w:val="24"/>
        </w:rPr>
        <w:t xml:space="preserve">, </w:t>
      </w:r>
      <w:r w:rsidR="00822877" w:rsidRPr="00CA0EE3">
        <w:rPr>
          <w:rFonts w:ascii="Times New Roman" w:hAnsi="Times New Roman"/>
          <w:i/>
          <w:sz w:val="24"/>
          <w:szCs w:val="24"/>
        </w:rPr>
        <w:t xml:space="preserve">mas isto não significou </w:t>
      </w:r>
      <w:r w:rsidR="003D08BD">
        <w:rPr>
          <w:rFonts w:ascii="Times New Roman" w:hAnsi="Times New Roman"/>
          <w:i/>
          <w:sz w:val="24"/>
          <w:szCs w:val="24"/>
        </w:rPr>
        <w:t>o estabelecimento de</w:t>
      </w:r>
      <w:r w:rsidR="00822877" w:rsidRPr="00CA0EE3">
        <w:rPr>
          <w:rFonts w:ascii="Times New Roman" w:hAnsi="Times New Roman"/>
          <w:i/>
          <w:sz w:val="24"/>
          <w:szCs w:val="24"/>
        </w:rPr>
        <w:t xml:space="preserve"> vínculos </w:t>
      </w:r>
      <w:r w:rsidR="003D08BD">
        <w:rPr>
          <w:rFonts w:ascii="Times New Roman" w:hAnsi="Times New Roman"/>
          <w:i/>
          <w:sz w:val="24"/>
          <w:szCs w:val="24"/>
        </w:rPr>
        <w:t xml:space="preserve">associativos </w:t>
      </w:r>
      <w:r w:rsidR="00822877">
        <w:rPr>
          <w:rFonts w:ascii="Times New Roman" w:hAnsi="Times New Roman"/>
          <w:i/>
          <w:sz w:val="24"/>
          <w:szCs w:val="24"/>
        </w:rPr>
        <w:t xml:space="preserve">com entidades não </w:t>
      </w:r>
      <w:r w:rsidR="009532DF">
        <w:rPr>
          <w:rFonts w:ascii="Times New Roman" w:hAnsi="Times New Roman"/>
          <w:i/>
          <w:sz w:val="24"/>
          <w:szCs w:val="24"/>
        </w:rPr>
        <w:t xml:space="preserve">bancárias e </w:t>
      </w:r>
      <w:r w:rsidR="00822877" w:rsidRPr="00CA0EE3">
        <w:rPr>
          <w:rFonts w:ascii="Times New Roman" w:hAnsi="Times New Roman"/>
          <w:i/>
          <w:sz w:val="24"/>
          <w:szCs w:val="24"/>
        </w:rPr>
        <w:t>financeiras.</w:t>
      </w:r>
      <w:r w:rsidR="007010D3" w:rsidRPr="00414D01">
        <w:rPr>
          <w:rFonts w:ascii="Times New Roman" w:hAnsi="Times New Roman"/>
          <w:sz w:val="24"/>
          <w:szCs w:val="24"/>
        </w:rPr>
        <w:t xml:space="preserve">Ou seja, mesmo </w:t>
      </w:r>
      <w:r w:rsidR="00F30E20" w:rsidRPr="00414D01">
        <w:rPr>
          <w:rFonts w:ascii="Times New Roman" w:hAnsi="Times New Roman"/>
          <w:sz w:val="24"/>
          <w:szCs w:val="24"/>
        </w:rPr>
        <w:t>atuando em</w:t>
      </w:r>
      <w:r w:rsidR="007010D3" w:rsidRPr="00414D01">
        <w:rPr>
          <w:rFonts w:ascii="Times New Roman" w:hAnsi="Times New Roman"/>
          <w:sz w:val="24"/>
          <w:szCs w:val="24"/>
        </w:rPr>
        <w:t xml:space="preserve"> atividades </w:t>
      </w:r>
      <w:r w:rsidR="00F30E20" w:rsidRPr="00414D01">
        <w:rPr>
          <w:rFonts w:ascii="Times New Roman" w:hAnsi="Times New Roman"/>
          <w:sz w:val="24"/>
          <w:szCs w:val="24"/>
        </w:rPr>
        <w:t xml:space="preserve">econômicas </w:t>
      </w:r>
      <w:r w:rsidR="00533AFA" w:rsidRPr="00414D01">
        <w:rPr>
          <w:rFonts w:ascii="Times New Roman" w:hAnsi="Times New Roman"/>
          <w:sz w:val="24"/>
          <w:szCs w:val="24"/>
        </w:rPr>
        <w:t>não bancário</w:t>
      </w:r>
      <w:r w:rsidR="007010D3" w:rsidRPr="00414D01">
        <w:rPr>
          <w:rFonts w:ascii="Times New Roman" w:hAnsi="Times New Roman"/>
          <w:sz w:val="24"/>
          <w:szCs w:val="24"/>
        </w:rPr>
        <w:t xml:space="preserve">-financeiras não </w:t>
      </w:r>
      <w:r w:rsidR="00C34B74" w:rsidRPr="00414D01">
        <w:rPr>
          <w:rFonts w:ascii="Times New Roman" w:hAnsi="Times New Roman"/>
          <w:sz w:val="24"/>
          <w:szCs w:val="24"/>
        </w:rPr>
        <w:t xml:space="preserve">visualizamos a presença </w:t>
      </w:r>
      <w:r w:rsidR="007010D3" w:rsidRPr="00414D01">
        <w:rPr>
          <w:rFonts w:ascii="Times New Roman" w:hAnsi="Times New Roman"/>
          <w:sz w:val="24"/>
          <w:szCs w:val="24"/>
        </w:rPr>
        <w:t xml:space="preserve">de tais conselheiros em entidades </w:t>
      </w:r>
      <w:r w:rsidR="00F30E20" w:rsidRPr="00414D01">
        <w:rPr>
          <w:rFonts w:ascii="Times New Roman" w:hAnsi="Times New Roman"/>
          <w:sz w:val="24"/>
          <w:szCs w:val="24"/>
        </w:rPr>
        <w:t>tradicionalmente</w:t>
      </w:r>
      <w:r w:rsidR="00C34B74" w:rsidRPr="00414D01">
        <w:rPr>
          <w:rFonts w:ascii="Times New Roman" w:hAnsi="Times New Roman"/>
          <w:sz w:val="24"/>
          <w:szCs w:val="24"/>
        </w:rPr>
        <w:t xml:space="preserve">representativas </w:t>
      </w:r>
      <w:r w:rsidR="009532DF">
        <w:rPr>
          <w:rFonts w:ascii="Times New Roman" w:hAnsi="Times New Roman"/>
          <w:sz w:val="24"/>
          <w:szCs w:val="24"/>
        </w:rPr>
        <w:t>dos setores</w:t>
      </w:r>
      <w:r w:rsidR="00914B41" w:rsidRPr="00414D01">
        <w:rPr>
          <w:rFonts w:ascii="Times New Roman" w:hAnsi="Times New Roman"/>
          <w:sz w:val="24"/>
          <w:szCs w:val="24"/>
        </w:rPr>
        <w:t>industriais</w:t>
      </w:r>
      <w:r w:rsidR="007010D3" w:rsidRPr="00414D01">
        <w:rPr>
          <w:rFonts w:ascii="Times New Roman" w:hAnsi="Times New Roman"/>
          <w:sz w:val="24"/>
          <w:szCs w:val="24"/>
        </w:rPr>
        <w:t>, comerciais, de serviços, etc</w:t>
      </w:r>
      <w:r w:rsidR="00914B41" w:rsidRPr="00414D01">
        <w:rPr>
          <w:rFonts w:ascii="Times New Roman" w:hAnsi="Times New Roman"/>
          <w:sz w:val="24"/>
          <w:szCs w:val="24"/>
        </w:rPr>
        <w:t>, com a clara exceção da ABAG, como vimos no quadro 2.10.</w:t>
      </w:r>
    </w:p>
    <w:p w:rsidR="008D6009" w:rsidRPr="00414D01" w:rsidRDefault="0089208F" w:rsidP="00822877">
      <w:pPr>
        <w:tabs>
          <w:tab w:val="left" w:pos="0"/>
        </w:tabs>
        <w:spacing w:after="0" w:line="360" w:lineRule="auto"/>
        <w:jc w:val="both"/>
        <w:rPr>
          <w:rFonts w:ascii="Times New Roman" w:hAnsi="Times New Roman"/>
          <w:sz w:val="24"/>
          <w:szCs w:val="24"/>
        </w:rPr>
      </w:pPr>
      <w:r w:rsidRPr="00414D01">
        <w:rPr>
          <w:rFonts w:ascii="Times New Roman" w:hAnsi="Times New Roman"/>
          <w:sz w:val="24"/>
          <w:szCs w:val="24"/>
        </w:rPr>
        <w:tab/>
      </w:r>
      <w:r w:rsidR="00412C2A" w:rsidRPr="00414D01">
        <w:rPr>
          <w:rFonts w:ascii="Times New Roman" w:hAnsi="Times New Roman"/>
          <w:sz w:val="24"/>
          <w:szCs w:val="24"/>
        </w:rPr>
        <w:t>Dois exemplos pod</w:t>
      </w:r>
      <w:r w:rsidR="00105787" w:rsidRPr="00414D01">
        <w:rPr>
          <w:rFonts w:ascii="Times New Roman" w:hAnsi="Times New Roman"/>
          <w:sz w:val="24"/>
          <w:szCs w:val="24"/>
        </w:rPr>
        <w:t xml:space="preserve">em </w:t>
      </w:r>
      <w:r w:rsidR="00414D01" w:rsidRPr="00414D01">
        <w:rPr>
          <w:rFonts w:ascii="Times New Roman" w:hAnsi="Times New Roman"/>
          <w:sz w:val="24"/>
          <w:szCs w:val="24"/>
        </w:rPr>
        <w:t>e</w:t>
      </w:r>
      <w:r w:rsidR="00105787" w:rsidRPr="00414D01">
        <w:rPr>
          <w:rFonts w:ascii="Times New Roman" w:hAnsi="Times New Roman"/>
          <w:sz w:val="24"/>
          <w:szCs w:val="24"/>
        </w:rPr>
        <w:t>lucidar melhor a questão</w:t>
      </w:r>
      <w:r w:rsidR="00412C2A" w:rsidRPr="00414D01">
        <w:rPr>
          <w:rFonts w:ascii="Times New Roman" w:hAnsi="Times New Roman"/>
          <w:sz w:val="24"/>
          <w:szCs w:val="24"/>
        </w:rPr>
        <w:t>. C</w:t>
      </w:r>
      <w:r w:rsidR="009D64F9" w:rsidRPr="00414D01">
        <w:rPr>
          <w:rFonts w:ascii="Times New Roman" w:hAnsi="Times New Roman"/>
          <w:sz w:val="24"/>
          <w:szCs w:val="24"/>
        </w:rPr>
        <w:t xml:space="preserve">onselheiros como Benjamin Steinbruch, Jorge Gerdau, Waldermar Verdi e Eduardo Eugênio Vieira eram representantes </w:t>
      </w:r>
      <w:r w:rsidR="00F82C56">
        <w:rPr>
          <w:rFonts w:ascii="Times New Roman" w:hAnsi="Times New Roman"/>
          <w:sz w:val="24"/>
          <w:szCs w:val="24"/>
        </w:rPr>
        <w:t xml:space="preserve">de setores de atividades </w:t>
      </w:r>
      <w:r w:rsidR="009D64F9" w:rsidRPr="00414D01">
        <w:rPr>
          <w:rFonts w:ascii="Times New Roman" w:hAnsi="Times New Roman"/>
          <w:sz w:val="24"/>
          <w:szCs w:val="24"/>
        </w:rPr>
        <w:t xml:space="preserve">do capital produtor de valor e </w:t>
      </w:r>
      <w:r w:rsidR="00412C2A" w:rsidRPr="00414D01">
        <w:rPr>
          <w:rFonts w:ascii="Times New Roman" w:hAnsi="Times New Roman"/>
          <w:sz w:val="24"/>
          <w:szCs w:val="24"/>
        </w:rPr>
        <w:t>conectavam-se</w:t>
      </w:r>
      <w:r w:rsidR="009D64F9" w:rsidRPr="00414D01">
        <w:rPr>
          <w:rFonts w:ascii="Times New Roman" w:hAnsi="Times New Roman"/>
          <w:sz w:val="24"/>
          <w:szCs w:val="24"/>
        </w:rPr>
        <w:t xml:space="preserve"> ao setor bancário (alguns tinham bancos vinculados aos seus grupos econômicos), mas não mantinham </w:t>
      </w:r>
      <w:r w:rsidR="00412C2A" w:rsidRPr="00414D01">
        <w:rPr>
          <w:rFonts w:ascii="Times New Roman" w:hAnsi="Times New Roman"/>
          <w:sz w:val="24"/>
          <w:szCs w:val="24"/>
        </w:rPr>
        <w:t>ligações</w:t>
      </w:r>
      <w:r w:rsidR="009D64F9" w:rsidRPr="00414D01">
        <w:rPr>
          <w:rFonts w:ascii="Times New Roman" w:hAnsi="Times New Roman"/>
          <w:sz w:val="24"/>
          <w:szCs w:val="24"/>
        </w:rPr>
        <w:t xml:space="preserve"> com entidades bancárias. Aliás, </w:t>
      </w:r>
      <w:r w:rsidRPr="00414D01">
        <w:rPr>
          <w:rFonts w:ascii="Times New Roman" w:hAnsi="Times New Roman"/>
          <w:sz w:val="24"/>
          <w:szCs w:val="24"/>
        </w:rPr>
        <w:t xml:space="preserve">Paulo Godoy (Presidente ABDIB) foi </w:t>
      </w:r>
      <w:r w:rsidR="009D64F9" w:rsidRPr="00414D01">
        <w:rPr>
          <w:rFonts w:ascii="Times New Roman" w:hAnsi="Times New Roman"/>
          <w:sz w:val="24"/>
          <w:szCs w:val="24"/>
        </w:rPr>
        <w:t xml:space="preserve">o único conselheiro </w:t>
      </w:r>
      <w:r w:rsidR="00F82C56">
        <w:rPr>
          <w:rFonts w:ascii="Times New Roman" w:hAnsi="Times New Roman"/>
          <w:sz w:val="24"/>
          <w:szCs w:val="24"/>
        </w:rPr>
        <w:t xml:space="preserve">vinculado à atividadeeconômica </w:t>
      </w:r>
      <w:r w:rsidR="009532DF" w:rsidRPr="00414D01">
        <w:rPr>
          <w:rFonts w:ascii="Times New Roman" w:hAnsi="Times New Roman"/>
          <w:sz w:val="24"/>
          <w:szCs w:val="24"/>
        </w:rPr>
        <w:t xml:space="preserve">do capital produtor de valor </w:t>
      </w:r>
      <w:r w:rsidR="000A730D">
        <w:rPr>
          <w:rFonts w:ascii="Times New Roman" w:hAnsi="Times New Roman"/>
          <w:sz w:val="24"/>
          <w:szCs w:val="24"/>
        </w:rPr>
        <w:t>ligado à entidade d</w:t>
      </w:r>
      <w:r w:rsidR="009D64F9" w:rsidRPr="00414D01">
        <w:rPr>
          <w:rFonts w:ascii="Times New Roman" w:hAnsi="Times New Roman"/>
          <w:sz w:val="24"/>
          <w:szCs w:val="24"/>
        </w:rPr>
        <w:t xml:space="preserve">o </w:t>
      </w:r>
      <w:r w:rsidRPr="00414D01">
        <w:rPr>
          <w:rFonts w:ascii="Times New Roman" w:hAnsi="Times New Roman"/>
          <w:sz w:val="24"/>
          <w:szCs w:val="24"/>
        </w:rPr>
        <w:t xml:space="preserve">capital bancário (membro do conselho consultivo da FEBRABAN).  </w:t>
      </w:r>
      <w:r w:rsidR="00412C2A" w:rsidRPr="00414D01">
        <w:rPr>
          <w:rFonts w:ascii="Times New Roman" w:hAnsi="Times New Roman"/>
          <w:sz w:val="24"/>
          <w:szCs w:val="24"/>
        </w:rPr>
        <w:t xml:space="preserve">Por outro lado, Roberto Setúbal, Milu Villela, Marcio Arthur Cypriano, Fernando Moreira Salles, Gabriel Ferreira, Gustavo Marin Garate Fábio Coletti Barbosa, todos banqueiros, </w:t>
      </w:r>
      <w:r w:rsidR="008D648E" w:rsidRPr="00414D01">
        <w:rPr>
          <w:rFonts w:ascii="Times New Roman" w:hAnsi="Times New Roman"/>
          <w:sz w:val="24"/>
          <w:szCs w:val="24"/>
        </w:rPr>
        <w:t>não mantinham vínculos com entidades patronais d</w:t>
      </w:r>
      <w:r w:rsidR="00F82C56">
        <w:rPr>
          <w:rFonts w:ascii="Times New Roman" w:hAnsi="Times New Roman"/>
          <w:sz w:val="24"/>
          <w:szCs w:val="24"/>
        </w:rPr>
        <w:t>e setores d</w:t>
      </w:r>
      <w:r w:rsidR="008D648E" w:rsidRPr="00414D01">
        <w:rPr>
          <w:rFonts w:ascii="Times New Roman" w:hAnsi="Times New Roman"/>
          <w:sz w:val="24"/>
          <w:szCs w:val="24"/>
        </w:rPr>
        <w:t>o capital produtivo.</w:t>
      </w:r>
    </w:p>
    <w:p w:rsidR="008D648E" w:rsidRDefault="008D648E" w:rsidP="00822877">
      <w:pPr>
        <w:tabs>
          <w:tab w:val="left" w:pos="0"/>
        </w:tabs>
        <w:spacing w:after="0" w:line="360" w:lineRule="auto"/>
        <w:jc w:val="both"/>
        <w:rPr>
          <w:rFonts w:ascii="Times New Roman" w:hAnsi="Times New Roman"/>
          <w:color w:val="FF0000"/>
          <w:sz w:val="24"/>
          <w:szCs w:val="24"/>
        </w:rPr>
      </w:pPr>
      <w:r>
        <w:rPr>
          <w:rFonts w:ascii="Times New Roman" w:hAnsi="Times New Roman"/>
          <w:sz w:val="24"/>
          <w:szCs w:val="24"/>
        </w:rPr>
        <w:tab/>
        <w:t xml:space="preserve">Se defrontarmos o quadro 2.14 (entidades bancárias e financeiras não bancárias) com o quadro 2.17 (entidades industriais e comerciais) veremos que poucos conselheiros (Miguel João Jorge Filho, Roger Agnelli e Viviane Senna) </w:t>
      </w:r>
      <w:r w:rsidRPr="00F82C56">
        <w:rPr>
          <w:rFonts w:ascii="Times New Roman" w:hAnsi="Times New Roman"/>
          <w:i/>
          <w:sz w:val="24"/>
          <w:szCs w:val="24"/>
        </w:rPr>
        <w:t>aparentemente</w:t>
      </w:r>
      <w:r>
        <w:rPr>
          <w:rFonts w:ascii="Times New Roman" w:hAnsi="Times New Roman"/>
          <w:sz w:val="24"/>
          <w:szCs w:val="24"/>
        </w:rPr>
        <w:t xml:space="preserve"> satisfaziam a presença em associações de diferentes setores da atividade econômica (do setor ba</w:t>
      </w:r>
      <w:r w:rsidR="00105787">
        <w:rPr>
          <w:rFonts w:ascii="Times New Roman" w:hAnsi="Times New Roman"/>
          <w:sz w:val="24"/>
          <w:szCs w:val="24"/>
        </w:rPr>
        <w:t>ncário, financeiro não bancário e</w:t>
      </w:r>
      <w:r>
        <w:rPr>
          <w:rFonts w:ascii="Times New Roman" w:hAnsi="Times New Roman"/>
          <w:sz w:val="24"/>
          <w:szCs w:val="24"/>
        </w:rPr>
        <w:t xml:space="preserve"> industrial).</w:t>
      </w:r>
      <w:r>
        <w:rPr>
          <w:rStyle w:val="Refdenotaderodap"/>
          <w:rFonts w:ascii="Times New Roman" w:hAnsi="Times New Roman"/>
          <w:sz w:val="24"/>
          <w:szCs w:val="24"/>
        </w:rPr>
        <w:footnoteReference w:id="294"/>
      </w:r>
    </w:p>
    <w:p w:rsidR="001956C1" w:rsidRPr="00414D01" w:rsidRDefault="008D6009" w:rsidP="00822877">
      <w:pPr>
        <w:tabs>
          <w:tab w:val="left" w:pos="0"/>
        </w:tabs>
        <w:spacing w:after="0" w:line="360" w:lineRule="auto"/>
        <w:jc w:val="both"/>
        <w:rPr>
          <w:rFonts w:ascii="Times New Roman" w:hAnsi="Times New Roman"/>
          <w:sz w:val="24"/>
          <w:szCs w:val="24"/>
        </w:rPr>
      </w:pPr>
      <w:r>
        <w:rPr>
          <w:rFonts w:ascii="Times New Roman" w:hAnsi="Times New Roman"/>
          <w:color w:val="FF0000"/>
          <w:sz w:val="24"/>
          <w:szCs w:val="24"/>
        </w:rPr>
        <w:tab/>
      </w:r>
      <w:r w:rsidR="008D648E" w:rsidRPr="00414D01">
        <w:rPr>
          <w:rFonts w:ascii="Times New Roman" w:hAnsi="Times New Roman"/>
          <w:sz w:val="24"/>
          <w:szCs w:val="24"/>
        </w:rPr>
        <w:t>Neste sentido, a</w:t>
      </w:r>
      <w:r w:rsidR="00533AFA" w:rsidRPr="00414D01">
        <w:rPr>
          <w:rFonts w:ascii="Times New Roman" w:hAnsi="Times New Roman"/>
          <w:sz w:val="24"/>
          <w:szCs w:val="24"/>
        </w:rPr>
        <w:t xml:space="preserve"> pesquisa constatou que mesmo diante da interpenetração</w:t>
      </w:r>
      <w:r w:rsidR="003F399D" w:rsidRPr="00414D01">
        <w:rPr>
          <w:rFonts w:ascii="Times New Roman" w:hAnsi="Times New Roman"/>
          <w:sz w:val="24"/>
          <w:szCs w:val="24"/>
        </w:rPr>
        <w:t xml:space="preserve"> entre capitais funcionantes e monetários</w:t>
      </w:r>
      <w:r w:rsidR="00AD23B7" w:rsidRPr="00414D01">
        <w:rPr>
          <w:rFonts w:ascii="Times New Roman" w:hAnsi="Times New Roman"/>
          <w:sz w:val="24"/>
          <w:szCs w:val="24"/>
        </w:rPr>
        <w:t xml:space="preserve"> (capital financeiro)</w:t>
      </w:r>
      <w:r w:rsidR="003F399D" w:rsidRPr="00414D01">
        <w:rPr>
          <w:rFonts w:ascii="Times New Roman" w:hAnsi="Times New Roman"/>
          <w:sz w:val="24"/>
          <w:szCs w:val="24"/>
        </w:rPr>
        <w:t xml:space="preserve">, </w:t>
      </w:r>
      <w:r w:rsidR="003F399D" w:rsidRPr="00414D01">
        <w:rPr>
          <w:rFonts w:ascii="Times New Roman" w:hAnsi="Times New Roman"/>
          <w:i/>
          <w:sz w:val="24"/>
          <w:szCs w:val="24"/>
        </w:rPr>
        <w:t xml:space="preserve">na amostra de grupos e firmas </w:t>
      </w:r>
      <w:r w:rsidR="00AD23B7" w:rsidRPr="00414D01">
        <w:rPr>
          <w:rFonts w:ascii="Times New Roman" w:hAnsi="Times New Roman"/>
          <w:i/>
          <w:sz w:val="24"/>
          <w:szCs w:val="24"/>
        </w:rPr>
        <w:t>representados n</w:t>
      </w:r>
      <w:r w:rsidR="003F399D" w:rsidRPr="00414D01">
        <w:rPr>
          <w:rFonts w:ascii="Times New Roman" w:hAnsi="Times New Roman"/>
          <w:i/>
          <w:sz w:val="24"/>
          <w:szCs w:val="24"/>
        </w:rPr>
        <w:t>o CDES</w:t>
      </w:r>
      <w:r w:rsidR="003F399D" w:rsidRPr="00414D01">
        <w:rPr>
          <w:rFonts w:ascii="Times New Roman" w:hAnsi="Times New Roman"/>
          <w:sz w:val="24"/>
          <w:szCs w:val="24"/>
        </w:rPr>
        <w:t>,</w:t>
      </w:r>
      <w:r w:rsidR="00533AFA" w:rsidRPr="00414D01">
        <w:rPr>
          <w:rFonts w:ascii="Times New Roman" w:hAnsi="Times New Roman"/>
          <w:sz w:val="24"/>
          <w:szCs w:val="24"/>
        </w:rPr>
        <w:t xml:space="preserve"> não se verificou </w:t>
      </w:r>
      <w:r w:rsidR="00AD23B7" w:rsidRPr="00414D01">
        <w:rPr>
          <w:rFonts w:ascii="Times New Roman" w:hAnsi="Times New Roman"/>
          <w:sz w:val="24"/>
          <w:szCs w:val="24"/>
        </w:rPr>
        <w:t xml:space="preserve">a participação de </w:t>
      </w:r>
      <w:r w:rsidR="00533AFA" w:rsidRPr="00414D01">
        <w:rPr>
          <w:rFonts w:ascii="Times New Roman" w:hAnsi="Times New Roman"/>
          <w:sz w:val="24"/>
          <w:szCs w:val="24"/>
        </w:rPr>
        <w:t>conselheiros-</w:t>
      </w:r>
      <w:r w:rsidR="00AD23B7" w:rsidRPr="00414D01">
        <w:rPr>
          <w:rFonts w:ascii="Times New Roman" w:hAnsi="Times New Roman"/>
          <w:sz w:val="24"/>
          <w:szCs w:val="24"/>
        </w:rPr>
        <w:t xml:space="preserve">banqueiros em entidades </w:t>
      </w:r>
      <w:r w:rsidR="00BB315D" w:rsidRPr="00414D01">
        <w:rPr>
          <w:rFonts w:ascii="Times New Roman" w:hAnsi="Times New Roman"/>
          <w:sz w:val="24"/>
          <w:szCs w:val="24"/>
        </w:rPr>
        <w:t>industriais</w:t>
      </w:r>
      <w:r w:rsidR="00AD23B7" w:rsidRPr="00414D01">
        <w:rPr>
          <w:rFonts w:ascii="Times New Roman" w:hAnsi="Times New Roman"/>
          <w:sz w:val="24"/>
          <w:szCs w:val="24"/>
        </w:rPr>
        <w:t xml:space="preserve"> (</w:t>
      </w:r>
      <w:r w:rsidR="000834BC">
        <w:rPr>
          <w:rFonts w:ascii="Times New Roman" w:hAnsi="Times New Roman"/>
          <w:sz w:val="24"/>
          <w:szCs w:val="24"/>
        </w:rPr>
        <w:t>FIESP</w:t>
      </w:r>
      <w:r w:rsidR="00AD23B7" w:rsidRPr="00414D01">
        <w:rPr>
          <w:rFonts w:ascii="Times New Roman" w:hAnsi="Times New Roman"/>
          <w:sz w:val="24"/>
          <w:szCs w:val="24"/>
        </w:rPr>
        <w:t xml:space="preserve">, CNI, </w:t>
      </w:r>
      <w:r w:rsidR="001956C1" w:rsidRPr="00414D01">
        <w:rPr>
          <w:rFonts w:ascii="Times New Roman" w:hAnsi="Times New Roman"/>
          <w:sz w:val="24"/>
          <w:szCs w:val="24"/>
        </w:rPr>
        <w:t>I</w:t>
      </w:r>
      <w:r w:rsidR="00AD23B7" w:rsidRPr="00414D01">
        <w:rPr>
          <w:rFonts w:ascii="Times New Roman" w:hAnsi="Times New Roman"/>
          <w:sz w:val="24"/>
          <w:szCs w:val="24"/>
        </w:rPr>
        <w:t>EDI</w:t>
      </w:r>
      <w:r w:rsidR="001956C1" w:rsidRPr="00414D01">
        <w:rPr>
          <w:rFonts w:ascii="Times New Roman" w:hAnsi="Times New Roman"/>
          <w:sz w:val="24"/>
          <w:szCs w:val="24"/>
        </w:rPr>
        <w:t>, PNBE</w:t>
      </w:r>
      <w:r w:rsidR="00AD23B7" w:rsidRPr="00414D01">
        <w:rPr>
          <w:rFonts w:ascii="Times New Roman" w:hAnsi="Times New Roman"/>
          <w:sz w:val="24"/>
          <w:szCs w:val="24"/>
        </w:rPr>
        <w:t>)</w:t>
      </w:r>
      <w:r w:rsidR="00DB2287" w:rsidRPr="00414D01">
        <w:rPr>
          <w:rFonts w:ascii="Times New Roman" w:hAnsi="Times New Roman"/>
          <w:sz w:val="24"/>
          <w:szCs w:val="24"/>
        </w:rPr>
        <w:t>, do comércio e</w:t>
      </w:r>
      <w:r w:rsidRPr="00414D01">
        <w:rPr>
          <w:rFonts w:ascii="Times New Roman" w:hAnsi="Times New Roman"/>
          <w:sz w:val="24"/>
          <w:szCs w:val="24"/>
        </w:rPr>
        <w:t xml:space="preserve"> do setor </w:t>
      </w:r>
      <w:r w:rsidR="003A5269" w:rsidRPr="00414D01">
        <w:rPr>
          <w:rFonts w:ascii="Times New Roman" w:hAnsi="Times New Roman"/>
          <w:sz w:val="24"/>
          <w:szCs w:val="24"/>
        </w:rPr>
        <w:t>de serviços</w:t>
      </w:r>
      <w:r w:rsidR="00DB2287" w:rsidRPr="00414D01">
        <w:rPr>
          <w:rFonts w:ascii="Times New Roman" w:hAnsi="Times New Roman"/>
          <w:sz w:val="24"/>
          <w:szCs w:val="24"/>
        </w:rPr>
        <w:t>, considerando também sindicatos, associações paralelas, outras federações estaduais do patronato des</w:t>
      </w:r>
      <w:r w:rsidR="00A837AA">
        <w:rPr>
          <w:rFonts w:ascii="Times New Roman" w:hAnsi="Times New Roman"/>
          <w:sz w:val="24"/>
          <w:szCs w:val="24"/>
        </w:rPr>
        <w:t>s</w:t>
      </w:r>
      <w:r w:rsidR="00DB2287" w:rsidRPr="00414D01">
        <w:rPr>
          <w:rFonts w:ascii="Times New Roman" w:hAnsi="Times New Roman"/>
          <w:sz w:val="24"/>
          <w:szCs w:val="24"/>
        </w:rPr>
        <w:t>es setores</w:t>
      </w:r>
      <w:r w:rsidR="00AD23B7" w:rsidRPr="00414D01">
        <w:rPr>
          <w:rFonts w:ascii="Times New Roman" w:hAnsi="Times New Roman"/>
          <w:sz w:val="24"/>
          <w:szCs w:val="24"/>
        </w:rPr>
        <w:t xml:space="preserve">. O entrecruzamento de capitais não se replicou nas entidades </w:t>
      </w:r>
      <w:r w:rsidR="00AD23B7" w:rsidRPr="00414D01">
        <w:rPr>
          <w:rFonts w:ascii="Times New Roman" w:hAnsi="Times New Roman"/>
          <w:i/>
          <w:sz w:val="24"/>
          <w:szCs w:val="24"/>
        </w:rPr>
        <w:t>que se credencia</w:t>
      </w:r>
      <w:r w:rsidR="00490E6A" w:rsidRPr="00414D01">
        <w:rPr>
          <w:rFonts w:ascii="Times New Roman" w:hAnsi="Times New Roman"/>
          <w:i/>
          <w:sz w:val="24"/>
          <w:szCs w:val="24"/>
        </w:rPr>
        <w:t>va</w:t>
      </w:r>
      <w:r w:rsidR="00AD23B7" w:rsidRPr="00414D01">
        <w:rPr>
          <w:rFonts w:ascii="Times New Roman" w:hAnsi="Times New Roman"/>
          <w:i/>
          <w:sz w:val="24"/>
          <w:szCs w:val="24"/>
        </w:rPr>
        <w:t>m por representar</w:t>
      </w:r>
      <w:r w:rsidR="000A730D">
        <w:rPr>
          <w:rFonts w:ascii="Times New Roman" w:hAnsi="Times New Roman"/>
          <w:i/>
          <w:sz w:val="24"/>
          <w:szCs w:val="24"/>
        </w:rPr>
        <w:t>, predomina</w:t>
      </w:r>
      <w:r w:rsidR="00A837AA">
        <w:rPr>
          <w:rFonts w:ascii="Times New Roman" w:hAnsi="Times New Roman"/>
          <w:i/>
          <w:sz w:val="24"/>
          <w:szCs w:val="24"/>
        </w:rPr>
        <w:t>ntemente,</w:t>
      </w:r>
      <w:r w:rsidR="00F82C56">
        <w:rPr>
          <w:rFonts w:ascii="Times New Roman" w:hAnsi="Times New Roman"/>
          <w:sz w:val="24"/>
          <w:szCs w:val="24"/>
        </w:rPr>
        <w:t>tais ou quais setores da</w:t>
      </w:r>
      <w:r w:rsidR="005E5700" w:rsidRPr="00414D01">
        <w:rPr>
          <w:rFonts w:ascii="Times New Roman" w:hAnsi="Times New Roman"/>
          <w:sz w:val="24"/>
          <w:szCs w:val="24"/>
        </w:rPr>
        <w:t xml:space="preserve"> fração do capital não bancário.</w:t>
      </w:r>
    </w:p>
    <w:p w:rsidR="00822877" w:rsidRPr="00414D01" w:rsidRDefault="001956C1" w:rsidP="00822877">
      <w:pPr>
        <w:tabs>
          <w:tab w:val="left" w:pos="0"/>
        </w:tabs>
        <w:spacing w:after="0" w:line="360" w:lineRule="auto"/>
        <w:jc w:val="both"/>
        <w:rPr>
          <w:rFonts w:ascii="Times New Roman" w:hAnsi="Times New Roman"/>
          <w:sz w:val="24"/>
          <w:szCs w:val="24"/>
        </w:rPr>
      </w:pPr>
      <w:r w:rsidRPr="00414D01">
        <w:rPr>
          <w:rFonts w:ascii="Times New Roman" w:hAnsi="Times New Roman"/>
          <w:sz w:val="24"/>
          <w:szCs w:val="24"/>
        </w:rPr>
        <w:tab/>
      </w:r>
      <w:r w:rsidR="00533AFA" w:rsidRPr="00414D01">
        <w:rPr>
          <w:rFonts w:ascii="Times New Roman" w:hAnsi="Times New Roman"/>
          <w:i/>
          <w:sz w:val="24"/>
          <w:szCs w:val="24"/>
        </w:rPr>
        <w:t>No estudo sobre es</w:t>
      </w:r>
      <w:r w:rsidR="007A4A10" w:rsidRPr="00414D01">
        <w:rPr>
          <w:rFonts w:ascii="Times New Roman" w:hAnsi="Times New Roman"/>
          <w:i/>
          <w:sz w:val="24"/>
          <w:szCs w:val="24"/>
        </w:rPr>
        <w:t>s</w:t>
      </w:r>
      <w:r w:rsidR="00533AFA" w:rsidRPr="00414D01">
        <w:rPr>
          <w:rFonts w:ascii="Times New Roman" w:hAnsi="Times New Roman"/>
          <w:i/>
          <w:sz w:val="24"/>
          <w:szCs w:val="24"/>
        </w:rPr>
        <w:t>a amostra,</w:t>
      </w:r>
      <w:r w:rsidR="00490E6A" w:rsidRPr="00414D01">
        <w:rPr>
          <w:rFonts w:ascii="Times New Roman" w:hAnsi="Times New Roman"/>
          <w:sz w:val="24"/>
          <w:szCs w:val="24"/>
        </w:rPr>
        <w:t xml:space="preserve"> o conjunto da dinâmica e interconexões entre as fr</w:t>
      </w:r>
      <w:r w:rsidR="00533AFA" w:rsidRPr="00414D01">
        <w:rPr>
          <w:rFonts w:ascii="Times New Roman" w:hAnsi="Times New Roman"/>
          <w:sz w:val="24"/>
          <w:szCs w:val="24"/>
        </w:rPr>
        <w:t xml:space="preserve">ações capitalistas </w:t>
      </w:r>
      <w:r w:rsidR="005E5700" w:rsidRPr="00414D01">
        <w:rPr>
          <w:rFonts w:ascii="Times New Roman" w:hAnsi="Times New Roman"/>
          <w:sz w:val="24"/>
          <w:szCs w:val="24"/>
        </w:rPr>
        <w:t>ultrapassava</w:t>
      </w:r>
      <w:r w:rsidRPr="00414D01">
        <w:rPr>
          <w:rFonts w:ascii="Times New Roman" w:hAnsi="Times New Roman"/>
          <w:sz w:val="24"/>
          <w:szCs w:val="24"/>
        </w:rPr>
        <w:t xml:space="preserve">a </w:t>
      </w:r>
      <w:r w:rsidR="008D6009" w:rsidRPr="00414D01">
        <w:rPr>
          <w:rFonts w:ascii="Times New Roman" w:hAnsi="Times New Roman"/>
          <w:sz w:val="24"/>
          <w:szCs w:val="24"/>
        </w:rPr>
        <w:t>setorialização das demandas oriundas</w:t>
      </w:r>
      <w:r w:rsidR="009F647D" w:rsidRPr="00414D01">
        <w:rPr>
          <w:rFonts w:ascii="Times New Roman" w:hAnsi="Times New Roman"/>
          <w:sz w:val="24"/>
          <w:szCs w:val="24"/>
        </w:rPr>
        <w:t xml:space="preserve"> das </w:t>
      </w:r>
      <w:r w:rsidR="008D6009" w:rsidRPr="00414D01">
        <w:rPr>
          <w:rFonts w:ascii="Times New Roman" w:hAnsi="Times New Roman"/>
          <w:sz w:val="24"/>
          <w:szCs w:val="24"/>
        </w:rPr>
        <w:t xml:space="preserve">diversas </w:t>
      </w:r>
      <w:r w:rsidR="009F647D" w:rsidRPr="00414D01">
        <w:rPr>
          <w:rFonts w:ascii="Times New Roman" w:hAnsi="Times New Roman"/>
          <w:sz w:val="24"/>
          <w:szCs w:val="24"/>
        </w:rPr>
        <w:t xml:space="preserve">entidades organizativas e representativas </w:t>
      </w:r>
      <w:r w:rsidR="007B0529">
        <w:rPr>
          <w:rFonts w:ascii="Times New Roman" w:hAnsi="Times New Roman"/>
          <w:sz w:val="24"/>
          <w:szCs w:val="24"/>
        </w:rPr>
        <w:t>de seto</w:t>
      </w:r>
      <w:r w:rsidR="000A730D">
        <w:rPr>
          <w:rFonts w:ascii="Times New Roman" w:hAnsi="Times New Roman"/>
          <w:sz w:val="24"/>
          <w:szCs w:val="24"/>
        </w:rPr>
        <w:t>r</w:t>
      </w:r>
      <w:r w:rsidR="007B0529">
        <w:rPr>
          <w:rFonts w:ascii="Times New Roman" w:hAnsi="Times New Roman"/>
          <w:sz w:val="24"/>
          <w:szCs w:val="24"/>
        </w:rPr>
        <w:t xml:space="preserve">es </w:t>
      </w:r>
      <w:r w:rsidR="009F647D" w:rsidRPr="00414D01">
        <w:rPr>
          <w:rFonts w:ascii="Times New Roman" w:hAnsi="Times New Roman"/>
          <w:sz w:val="24"/>
          <w:szCs w:val="24"/>
        </w:rPr>
        <w:t xml:space="preserve">do capitale, portanto, estamos diante de </w:t>
      </w:r>
      <w:r w:rsidRPr="00414D01">
        <w:rPr>
          <w:rFonts w:ascii="Times New Roman" w:hAnsi="Times New Roman"/>
          <w:sz w:val="24"/>
          <w:szCs w:val="24"/>
        </w:rPr>
        <w:t>um desafio</w:t>
      </w:r>
      <w:r w:rsidR="009F647D" w:rsidRPr="00414D01">
        <w:rPr>
          <w:rFonts w:ascii="Times New Roman" w:hAnsi="Times New Roman"/>
          <w:sz w:val="24"/>
          <w:szCs w:val="24"/>
        </w:rPr>
        <w:t xml:space="preserve"> maior para o pesquisador, tendo em vista que </w:t>
      </w:r>
      <w:r w:rsidR="009F647D" w:rsidRPr="00414D01">
        <w:rPr>
          <w:rFonts w:ascii="Times New Roman" w:hAnsi="Times New Roman"/>
          <w:i/>
          <w:sz w:val="24"/>
          <w:szCs w:val="24"/>
        </w:rPr>
        <w:t xml:space="preserve">a </w:t>
      </w:r>
      <w:r w:rsidR="007B0529">
        <w:rPr>
          <w:rFonts w:ascii="Times New Roman" w:hAnsi="Times New Roman"/>
          <w:i/>
          <w:sz w:val="24"/>
          <w:szCs w:val="24"/>
        </w:rPr>
        <w:t>especialização</w:t>
      </w:r>
      <w:r w:rsidR="009F647D" w:rsidRPr="00414D01">
        <w:rPr>
          <w:rFonts w:ascii="Times New Roman" w:hAnsi="Times New Roman"/>
          <w:i/>
          <w:sz w:val="24"/>
          <w:szCs w:val="24"/>
        </w:rPr>
        <w:t xml:space="preserve"> da</w:t>
      </w:r>
      <w:r w:rsidR="007B0529">
        <w:rPr>
          <w:rFonts w:ascii="Times New Roman" w:hAnsi="Times New Roman"/>
          <w:i/>
          <w:sz w:val="24"/>
          <w:szCs w:val="24"/>
        </w:rPr>
        <w:t>s entidades de</w:t>
      </w:r>
      <w:r w:rsidR="009F647D" w:rsidRPr="00414D01">
        <w:rPr>
          <w:rFonts w:ascii="Times New Roman" w:hAnsi="Times New Roman"/>
          <w:i/>
          <w:sz w:val="24"/>
          <w:szCs w:val="24"/>
        </w:rPr>
        <w:t xml:space="preserve"> representação </w:t>
      </w:r>
      <w:r w:rsidR="00533AFA" w:rsidRPr="00414D01">
        <w:rPr>
          <w:rFonts w:ascii="Times New Roman" w:hAnsi="Times New Roman"/>
          <w:i/>
          <w:sz w:val="24"/>
          <w:szCs w:val="24"/>
        </w:rPr>
        <w:t xml:space="preserve">de interesses </w:t>
      </w:r>
      <w:r w:rsidR="009F647D" w:rsidRPr="00414D01">
        <w:rPr>
          <w:rFonts w:ascii="Times New Roman" w:hAnsi="Times New Roman"/>
          <w:i/>
          <w:sz w:val="24"/>
          <w:szCs w:val="24"/>
        </w:rPr>
        <w:t>empresaria</w:t>
      </w:r>
      <w:r w:rsidR="000A730D">
        <w:rPr>
          <w:rFonts w:ascii="Times New Roman" w:hAnsi="Times New Roman"/>
          <w:i/>
          <w:sz w:val="24"/>
          <w:szCs w:val="24"/>
        </w:rPr>
        <w:t>is</w:t>
      </w:r>
      <w:r w:rsidR="009F647D" w:rsidRPr="00414D01">
        <w:rPr>
          <w:rFonts w:ascii="Times New Roman" w:hAnsi="Times New Roman"/>
          <w:i/>
          <w:sz w:val="24"/>
          <w:szCs w:val="24"/>
        </w:rPr>
        <w:t xml:space="preserve"> não correspond</w:t>
      </w:r>
      <w:r w:rsidR="00533AFA" w:rsidRPr="00414D01">
        <w:rPr>
          <w:rFonts w:ascii="Times New Roman" w:hAnsi="Times New Roman"/>
          <w:i/>
          <w:sz w:val="24"/>
          <w:szCs w:val="24"/>
        </w:rPr>
        <w:t>ia</w:t>
      </w:r>
      <w:r w:rsidR="009F647D" w:rsidRPr="00414D01">
        <w:rPr>
          <w:rFonts w:ascii="Times New Roman" w:hAnsi="Times New Roman"/>
          <w:i/>
          <w:sz w:val="24"/>
          <w:szCs w:val="24"/>
        </w:rPr>
        <w:t xml:space="preserve"> ao conjunto das </w:t>
      </w:r>
      <w:r w:rsidR="0010452C" w:rsidRPr="00414D01">
        <w:rPr>
          <w:rFonts w:ascii="Times New Roman" w:hAnsi="Times New Roman"/>
          <w:i/>
          <w:sz w:val="24"/>
          <w:szCs w:val="24"/>
        </w:rPr>
        <w:t>conexões</w:t>
      </w:r>
      <w:r w:rsidR="009F647D" w:rsidRPr="00414D01">
        <w:rPr>
          <w:rFonts w:ascii="Times New Roman" w:hAnsi="Times New Roman"/>
          <w:i/>
          <w:sz w:val="24"/>
          <w:szCs w:val="24"/>
        </w:rPr>
        <w:t xml:space="preserve"> econômicas de que seus representados participa</w:t>
      </w:r>
      <w:r w:rsidR="00533AFA" w:rsidRPr="00414D01">
        <w:rPr>
          <w:rFonts w:ascii="Times New Roman" w:hAnsi="Times New Roman"/>
          <w:i/>
          <w:sz w:val="24"/>
          <w:szCs w:val="24"/>
        </w:rPr>
        <w:t>va</w:t>
      </w:r>
      <w:r w:rsidR="009F647D" w:rsidRPr="00414D01">
        <w:rPr>
          <w:rFonts w:ascii="Times New Roman" w:hAnsi="Times New Roman"/>
          <w:sz w:val="24"/>
          <w:szCs w:val="24"/>
        </w:rPr>
        <w:t xml:space="preserve">. </w:t>
      </w:r>
      <w:r w:rsidR="0010452C" w:rsidRPr="00414D01">
        <w:rPr>
          <w:rFonts w:ascii="Times New Roman" w:hAnsi="Times New Roman"/>
          <w:sz w:val="24"/>
          <w:szCs w:val="24"/>
        </w:rPr>
        <w:t xml:space="preserve">As frações do capital exercitam e involucram </w:t>
      </w:r>
      <w:r w:rsidR="007B0529">
        <w:rPr>
          <w:rFonts w:ascii="Times New Roman" w:hAnsi="Times New Roman"/>
          <w:sz w:val="24"/>
          <w:szCs w:val="24"/>
        </w:rPr>
        <w:t>funções e dinâmicas</w:t>
      </w:r>
      <w:r w:rsidR="0010452C" w:rsidRPr="00414D01">
        <w:rPr>
          <w:rFonts w:ascii="Times New Roman" w:hAnsi="Times New Roman"/>
          <w:sz w:val="24"/>
          <w:szCs w:val="24"/>
        </w:rPr>
        <w:t xml:space="preserve"> econômicas não abarcadas pelas organizações representativas dos setores empresariais. P</w:t>
      </w:r>
      <w:r w:rsidR="009F647D" w:rsidRPr="00414D01">
        <w:rPr>
          <w:rFonts w:ascii="Times New Roman" w:hAnsi="Times New Roman"/>
          <w:sz w:val="24"/>
          <w:szCs w:val="24"/>
        </w:rPr>
        <w:t xml:space="preserve">ara o pesquisador, complexifica </w:t>
      </w:r>
      <w:r w:rsidR="0010452C" w:rsidRPr="00414D01">
        <w:rPr>
          <w:rFonts w:ascii="Times New Roman" w:hAnsi="Times New Roman"/>
          <w:sz w:val="24"/>
          <w:szCs w:val="24"/>
        </w:rPr>
        <w:t xml:space="preserve">estabelecer </w:t>
      </w:r>
      <w:r w:rsidR="009F647D" w:rsidRPr="00414D01">
        <w:rPr>
          <w:rFonts w:ascii="Times New Roman" w:hAnsi="Times New Roman"/>
          <w:sz w:val="24"/>
          <w:szCs w:val="24"/>
        </w:rPr>
        <w:t xml:space="preserve">a conexão direta </w:t>
      </w:r>
      <w:r w:rsidR="008D6009" w:rsidRPr="00414D01">
        <w:rPr>
          <w:rFonts w:ascii="Times New Roman" w:hAnsi="Times New Roman"/>
          <w:sz w:val="24"/>
          <w:szCs w:val="24"/>
        </w:rPr>
        <w:t>d</w:t>
      </w:r>
      <w:r w:rsidR="009F647D" w:rsidRPr="00414D01">
        <w:rPr>
          <w:rFonts w:ascii="Times New Roman" w:hAnsi="Times New Roman"/>
          <w:sz w:val="24"/>
          <w:szCs w:val="24"/>
        </w:rPr>
        <w:t>as demandas das entidades empres</w:t>
      </w:r>
      <w:r w:rsidR="00414D01">
        <w:rPr>
          <w:rFonts w:ascii="Times New Roman" w:hAnsi="Times New Roman"/>
          <w:sz w:val="24"/>
          <w:szCs w:val="24"/>
        </w:rPr>
        <w:t>ariais de dado setor</w:t>
      </w:r>
      <w:r w:rsidR="00A837AA">
        <w:rPr>
          <w:rFonts w:ascii="Times New Roman" w:hAnsi="Times New Roman"/>
          <w:sz w:val="24"/>
          <w:szCs w:val="24"/>
        </w:rPr>
        <w:t xml:space="preserve"> (fabril, agroindustrial, comercial, de serviços, bancário)</w:t>
      </w:r>
      <w:r w:rsidR="00414D01">
        <w:rPr>
          <w:rFonts w:ascii="Times New Roman" w:hAnsi="Times New Roman"/>
          <w:sz w:val="24"/>
          <w:szCs w:val="24"/>
        </w:rPr>
        <w:t>, apanhado isoladamente</w:t>
      </w:r>
      <w:r w:rsidR="009F647D" w:rsidRPr="00414D01">
        <w:rPr>
          <w:rFonts w:ascii="Times New Roman" w:hAnsi="Times New Roman"/>
          <w:sz w:val="24"/>
          <w:szCs w:val="24"/>
        </w:rPr>
        <w:t xml:space="preserve">, junto ao Estado restrito, como sendo expressão unívoca </w:t>
      </w:r>
      <w:r w:rsidR="008D6009" w:rsidRPr="00414D01">
        <w:rPr>
          <w:rFonts w:ascii="Times New Roman" w:hAnsi="Times New Roman"/>
          <w:sz w:val="24"/>
          <w:szCs w:val="24"/>
        </w:rPr>
        <w:t xml:space="preserve">e homogênea </w:t>
      </w:r>
      <w:r w:rsidR="009F647D" w:rsidRPr="00414D01">
        <w:rPr>
          <w:rFonts w:ascii="Times New Roman" w:hAnsi="Times New Roman"/>
          <w:sz w:val="24"/>
          <w:szCs w:val="24"/>
        </w:rPr>
        <w:t>d</w:t>
      </w:r>
      <w:r w:rsidR="00F15F68" w:rsidRPr="00414D01">
        <w:rPr>
          <w:rFonts w:ascii="Times New Roman" w:hAnsi="Times New Roman"/>
          <w:sz w:val="24"/>
          <w:szCs w:val="24"/>
        </w:rPr>
        <w:t>os interesses de</w:t>
      </w:r>
      <w:r w:rsidR="008D6009" w:rsidRPr="00414D01">
        <w:rPr>
          <w:rFonts w:ascii="Times New Roman" w:hAnsi="Times New Roman"/>
          <w:sz w:val="24"/>
          <w:szCs w:val="24"/>
        </w:rPr>
        <w:t xml:space="preserve"> um </w:t>
      </w:r>
      <w:r w:rsidR="009F647D" w:rsidRPr="00414D01">
        <w:rPr>
          <w:rFonts w:ascii="Times New Roman" w:hAnsi="Times New Roman"/>
          <w:sz w:val="24"/>
          <w:szCs w:val="24"/>
        </w:rPr>
        <w:t>empresariado</w:t>
      </w:r>
      <w:r w:rsidR="007B0529">
        <w:rPr>
          <w:rFonts w:ascii="Times New Roman" w:hAnsi="Times New Roman"/>
          <w:sz w:val="24"/>
          <w:szCs w:val="24"/>
        </w:rPr>
        <w:t xml:space="preserve">que estabelece variadas e díspares relações </w:t>
      </w:r>
      <w:r w:rsidR="00F15F68" w:rsidRPr="00414D01">
        <w:rPr>
          <w:rFonts w:ascii="Times New Roman" w:hAnsi="Times New Roman"/>
          <w:sz w:val="24"/>
          <w:szCs w:val="24"/>
        </w:rPr>
        <w:t>no mundo econômico</w:t>
      </w:r>
      <w:r w:rsidR="009F647D" w:rsidRPr="00414D01">
        <w:rPr>
          <w:rFonts w:ascii="Times New Roman" w:hAnsi="Times New Roman"/>
          <w:sz w:val="24"/>
          <w:szCs w:val="24"/>
        </w:rPr>
        <w:t xml:space="preserve">, e não como resultado da </w:t>
      </w:r>
      <w:r w:rsidR="008D6009" w:rsidRPr="00414D01">
        <w:rPr>
          <w:rFonts w:ascii="Times New Roman" w:hAnsi="Times New Roman"/>
          <w:sz w:val="24"/>
          <w:szCs w:val="24"/>
        </w:rPr>
        <w:t xml:space="preserve">operação da </w:t>
      </w:r>
      <w:r w:rsidR="009F647D" w:rsidRPr="00414D01">
        <w:rPr>
          <w:rFonts w:ascii="Times New Roman" w:hAnsi="Times New Roman"/>
          <w:sz w:val="24"/>
          <w:szCs w:val="24"/>
        </w:rPr>
        <w:t>hegemonia</w:t>
      </w:r>
      <w:r w:rsidR="008D6009" w:rsidRPr="00414D01">
        <w:rPr>
          <w:rFonts w:ascii="Times New Roman" w:hAnsi="Times New Roman"/>
          <w:sz w:val="24"/>
          <w:szCs w:val="24"/>
        </w:rPr>
        <w:t xml:space="preserve"> intrafração capitalista</w:t>
      </w:r>
      <w:r w:rsidR="009F647D" w:rsidRPr="00414D01">
        <w:rPr>
          <w:rFonts w:ascii="Times New Roman" w:hAnsi="Times New Roman"/>
          <w:sz w:val="24"/>
          <w:szCs w:val="24"/>
        </w:rPr>
        <w:t xml:space="preserve">. </w:t>
      </w:r>
      <w:r w:rsidRPr="00414D01">
        <w:rPr>
          <w:rFonts w:ascii="Times New Roman" w:hAnsi="Times New Roman"/>
          <w:sz w:val="24"/>
          <w:szCs w:val="24"/>
        </w:rPr>
        <w:t>O alerta, contudo, é útil para pensar</w:t>
      </w:r>
      <w:r w:rsidR="00F15F68" w:rsidRPr="00414D01">
        <w:rPr>
          <w:rFonts w:ascii="Times New Roman" w:hAnsi="Times New Roman"/>
          <w:sz w:val="24"/>
          <w:szCs w:val="24"/>
        </w:rPr>
        <w:t>mos</w:t>
      </w:r>
      <w:r w:rsidRPr="00414D01">
        <w:rPr>
          <w:rFonts w:ascii="Times New Roman" w:hAnsi="Times New Roman"/>
          <w:sz w:val="24"/>
          <w:szCs w:val="24"/>
        </w:rPr>
        <w:t xml:space="preserve"> as demandas empresariais como expressão da hegemonia intrafração capitalist</w:t>
      </w:r>
      <w:r w:rsidR="00F15F68" w:rsidRPr="00414D01">
        <w:rPr>
          <w:rFonts w:ascii="Times New Roman" w:hAnsi="Times New Roman"/>
          <w:sz w:val="24"/>
          <w:szCs w:val="24"/>
        </w:rPr>
        <w:t xml:space="preserve">a numa dada conjectura política e </w:t>
      </w:r>
      <w:r w:rsidRPr="00414D01">
        <w:rPr>
          <w:rFonts w:ascii="Times New Roman" w:hAnsi="Times New Roman"/>
          <w:sz w:val="24"/>
          <w:szCs w:val="24"/>
        </w:rPr>
        <w:t>econômica e</w:t>
      </w:r>
      <w:r w:rsidR="00F15F68" w:rsidRPr="00414D01">
        <w:rPr>
          <w:rFonts w:ascii="Times New Roman" w:hAnsi="Times New Roman"/>
          <w:sz w:val="24"/>
          <w:szCs w:val="24"/>
        </w:rPr>
        <w:t xml:space="preserve"> também </w:t>
      </w:r>
      <w:r w:rsidRPr="00414D01">
        <w:rPr>
          <w:rFonts w:ascii="Times New Roman" w:hAnsi="Times New Roman"/>
          <w:sz w:val="24"/>
          <w:szCs w:val="24"/>
        </w:rPr>
        <w:t xml:space="preserve">pretende </w:t>
      </w:r>
      <w:r w:rsidR="00F15F68" w:rsidRPr="00414D01">
        <w:rPr>
          <w:rFonts w:ascii="Times New Roman" w:hAnsi="Times New Roman"/>
          <w:sz w:val="24"/>
          <w:szCs w:val="24"/>
        </w:rPr>
        <w:t xml:space="preserve">coligar </w:t>
      </w:r>
      <w:r w:rsidRPr="00414D01">
        <w:rPr>
          <w:rFonts w:ascii="Times New Roman" w:hAnsi="Times New Roman"/>
          <w:sz w:val="24"/>
          <w:szCs w:val="24"/>
        </w:rPr>
        <w:t>as contradições</w:t>
      </w:r>
      <w:r w:rsidR="00F15F68" w:rsidRPr="00414D01">
        <w:rPr>
          <w:rFonts w:ascii="Times New Roman" w:hAnsi="Times New Roman"/>
          <w:sz w:val="24"/>
          <w:szCs w:val="24"/>
        </w:rPr>
        <w:t xml:space="preserve"> e as tensões econômicas intracapitalistas com as disputas projetivas</w:t>
      </w:r>
      <w:r w:rsidR="00105787" w:rsidRPr="00414D01">
        <w:rPr>
          <w:rFonts w:ascii="Times New Roman" w:hAnsi="Times New Roman"/>
          <w:sz w:val="24"/>
          <w:szCs w:val="24"/>
        </w:rPr>
        <w:t xml:space="preserve"> empresariais</w:t>
      </w:r>
      <w:r w:rsidR="00F15F68" w:rsidRPr="00414D01">
        <w:rPr>
          <w:rFonts w:ascii="Times New Roman" w:hAnsi="Times New Roman"/>
          <w:sz w:val="24"/>
          <w:szCs w:val="24"/>
        </w:rPr>
        <w:t xml:space="preserve"> no seio do aparelho de Estado.</w:t>
      </w:r>
    </w:p>
    <w:p w:rsidR="00822877" w:rsidRDefault="00CC4B24" w:rsidP="00822877">
      <w:pPr>
        <w:tabs>
          <w:tab w:val="left" w:pos="0"/>
        </w:tabs>
        <w:spacing w:after="0" w:line="360" w:lineRule="auto"/>
        <w:jc w:val="both"/>
        <w:rPr>
          <w:rFonts w:ascii="Times New Roman" w:hAnsi="Times New Roman"/>
          <w:sz w:val="24"/>
          <w:szCs w:val="24"/>
        </w:rPr>
      </w:pPr>
      <w:r>
        <w:rPr>
          <w:rFonts w:ascii="Times New Roman" w:hAnsi="Times New Roman"/>
          <w:color w:val="FF0000"/>
          <w:sz w:val="24"/>
          <w:szCs w:val="24"/>
        </w:rPr>
        <w:tab/>
      </w:r>
      <w:r w:rsidR="00822877">
        <w:rPr>
          <w:rFonts w:ascii="Times New Roman" w:hAnsi="Times New Roman"/>
          <w:sz w:val="24"/>
          <w:szCs w:val="24"/>
        </w:rPr>
        <w:t>Os exemplos a seguir mostram as conexões realizadas por alguns conselheiros</w:t>
      </w:r>
      <w:r w:rsidR="007A4A10">
        <w:rPr>
          <w:rFonts w:ascii="Times New Roman" w:hAnsi="Times New Roman"/>
          <w:sz w:val="24"/>
          <w:szCs w:val="24"/>
        </w:rPr>
        <w:t>-empresários</w:t>
      </w:r>
      <w:r w:rsidR="00822877">
        <w:rPr>
          <w:rFonts w:ascii="Times New Roman" w:hAnsi="Times New Roman"/>
          <w:sz w:val="24"/>
          <w:szCs w:val="24"/>
        </w:rPr>
        <w:t xml:space="preserve"> entre </w:t>
      </w:r>
      <w:r w:rsidR="007010D3">
        <w:rPr>
          <w:rFonts w:ascii="Times New Roman" w:hAnsi="Times New Roman"/>
          <w:sz w:val="24"/>
          <w:szCs w:val="24"/>
        </w:rPr>
        <w:t>os bancos</w:t>
      </w:r>
      <w:r w:rsidR="00252F7C">
        <w:rPr>
          <w:rFonts w:ascii="Times New Roman" w:hAnsi="Times New Roman"/>
          <w:sz w:val="24"/>
          <w:szCs w:val="24"/>
        </w:rPr>
        <w:t>,</w:t>
      </w:r>
      <w:r w:rsidR="00822877">
        <w:rPr>
          <w:rFonts w:ascii="Times New Roman" w:hAnsi="Times New Roman"/>
          <w:sz w:val="24"/>
          <w:szCs w:val="24"/>
        </w:rPr>
        <w:t xml:space="preserve"> setores </w:t>
      </w:r>
      <w:r w:rsidR="007A4A10">
        <w:rPr>
          <w:rFonts w:ascii="Times New Roman" w:hAnsi="Times New Roman"/>
          <w:sz w:val="24"/>
          <w:szCs w:val="24"/>
        </w:rPr>
        <w:t xml:space="preserve">financeiros </w:t>
      </w:r>
      <w:r w:rsidR="00822877">
        <w:rPr>
          <w:rFonts w:ascii="Times New Roman" w:hAnsi="Times New Roman"/>
          <w:sz w:val="24"/>
          <w:szCs w:val="24"/>
        </w:rPr>
        <w:t xml:space="preserve">não </w:t>
      </w:r>
      <w:r w:rsidR="007A4A10">
        <w:rPr>
          <w:rFonts w:ascii="Times New Roman" w:hAnsi="Times New Roman"/>
          <w:sz w:val="24"/>
          <w:szCs w:val="24"/>
        </w:rPr>
        <w:t>bancários</w:t>
      </w:r>
      <w:r w:rsidR="00252F7C">
        <w:rPr>
          <w:rFonts w:ascii="Times New Roman" w:hAnsi="Times New Roman"/>
          <w:sz w:val="24"/>
          <w:szCs w:val="24"/>
        </w:rPr>
        <w:t xml:space="preserve"> e o</w:t>
      </w:r>
      <w:r w:rsidR="005E5700">
        <w:rPr>
          <w:rFonts w:ascii="Times New Roman" w:hAnsi="Times New Roman"/>
          <w:sz w:val="24"/>
          <w:szCs w:val="24"/>
        </w:rPr>
        <w:t xml:space="preserve">s setores produtivos de </w:t>
      </w:r>
      <w:r w:rsidR="00252F7C">
        <w:rPr>
          <w:rFonts w:ascii="Times New Roman" w:hAnsi="Times New Roman"/>
          <w:sz w:val="24"/>
          <w:szCs w:val="24"/>
        </w:rPr>
        <w:t>valor</w:t>
      </w:r>
      <w:r w:rsidR="00822877">
        <w:rPr>
          <w:rFonts w:ascii="Times New Roman" w:hAnsi="Times New Roman"/>
          <w:sz w:val="24"/>
          <w:szCs w:val="24"/>
        </w:rPr>
        <w:t xml:space="preserve">: </w:t>
      </w:r>
    </w:p>
    <w:p w:rsidR="00822877" w:rsidRDefault="00822877" w:rsidP="00822877">
      <w:pPr>
        <w:pStyle w:val="PargrafodaLista"/>
        <w:numPr>
          <w:ilvl w:val="0"/>
          <w:numId w:val="3"/>
        </w:numPr>
        <w:tabs>
          <w:tab w:val="left" w:pos="0"/>
        </w:tabs>
        <w:spacing w:after="0" w:line="360" w:lineRule="auto"/>
        <w:ind w:left="426"/>
        <w:jc w:val="both"/>
        <w:rPr>
          <w:rFonts w:ascii="Times New Roman" w:hAnsi="Times New Roman"/>
          <w:sz w:val="24"/>
          <w:szCs w:val="24"/>
        </w:rPr>
      </w:pPr>
      <w:r w:rsidRPr="00430DE2">
        <w:rPr>
          <w:rFonts w:ascii="Times New Roman" w:hAnsi="Times New Roman"/>
          <w:sz w:val="24"/>
          <w:szCs w:val="24"/>
        </w:rPr>
        <w:t xml:space="preserve">Benjamin Steinbruch: </w:t>
      </w:r>
      <w:r w:rsidR="005D72BB">
        <w:rPr>
          <w:rFonts w:ascii="Times New Roman" w:hAnsi="Times New Roman"/>
          <w:sz w:val="24"/>
          <w:szCs w:val="24"/>
        </w:rPr>
        <w:t>So</w:t>
      </w:r>
      <w:r>
        <w:rPr>
          <w:rFonts w:ascii="Times New Roman" w:hAnsi="Times New Roman"/>
          <w:sz w:val="24"/>
          <w:szCs w:val="24"/>
        </w:rPr>
        <w:t>cio</w:t>
      </w:r>
      <w:r w:rsidRPr="00430DE2">
        <w:rPr>
          <w:rFonts w:ascii="Times New Roman" w:hAnsi="Times New Roman"/>
          <w:sz w:val="24"/>
          <w:szCs w:val="24"/>
        </w:rPr>
        <w:t>proprietário do Banco Fibra. Presidente da Cia. Siderúrgica Na</w:t>
      </w:r>
      <w:r>
        <w:rPr>
          <w:rFonts w:ascii="Times New Roman" w:hAnsi="Times New Roman"/>
          <w:sz w:val="24"/>
          <w:szCs w:val="24"/>
        </w:rPr>
        <w:t xml:space="preserve">cional (CSN) e do Grupo Vicunha. </w:t>
      </w:r>
      <w:r w:rsidRPr="00430DE2">
        <w:rPr>
          <w:rFonts w:ascii="Times New Roman" w:hAnsi="Times New Roman"/>
          <w:sz w:val="24"/>
          <w:szCs w:val="24"/>
        </w:rPr>
        <w:t xml:space="preserve">Participava ainda do Conselho de Administração do BNDES e da Petrobrás. </w:t>
      </w:r>
    </w:p>
    <w:p w:rsidR="00822877" w:rsidRPr="00430DE2" w:rsidRDefault="00822877" w:rsidP="00822877">
      <w:pPr>
        <w:pStyle w:val="PargrafodaLista"/>
        <w:numPr>
          <w:ilvl w:val="0"/>
          <w:numId w:val="3"/>
        </w:numPr>
        <w:tabs>
          <w:tab w:val="left" w:pos="0"/>
        </w:tabs>
        <w:spacing w:after="0" w:line="360" w:lineRule="auto"/>
        <w:ind w:left="426"/>
        <w:jc w:val="both"/>
        <w:rPr>
          <w:rFonts w:ascii="Times New Roman" w:hAnsi="Times New Roman"/>
          <w:sz w:val="24"/>
          <w:szCs w:val="24"/>
        </w:rPr>
      </w:pPr>
      <w:r w:rsidRPr="00430DE2">
        <w:rPr>
          <w:rFonts w:ascii="Times New Roman" w:hAnsi="Times New Roman"/>
          <w:sz w:val="24"/>
          <w:szCs w:val="24"/>
        </w:rPr>
        <w:t>Daniel Feffer: Conselheiro Quotista da MDS Corretora e Administradora de Seguros e Vice-Presidente da Suzano Holding S</w:t>
      </w:r>
      <w:r>
        <w:rPr>
          <w:rFonts w:ascii="Times New Roman" w:hAnsi="Times New Roman"/>
          <w:sz w:val="24"/>
          <w:szCs w:val="24"/>
        </w:rPr>
        <w:t>/</w:t>
      </w:r>
      <w:r w:rsidRPr="00430DE2">
        <w:rPr>
          <w:rFonts w:ascii="Times New Roman" w:hAnsi="Times New Roman"/>
          <w:sz w:val="24"/>
          <w:szCs w:val="24"/>
        </w:rPr>
        <w:t xml:space="preserve">A (papel e celulose). </w:t>
      </w:r>
    </w:p>
    <w:p w:rsidR="00822877" w:rsidRDefault="00822877" w:rsidP="00822877">
      <w:pPr>
        <w:pStyle w:val="PargrafodaLista"/>
        <w:numPr>
          <w:ilvl w:val="0"/>
          <w:numId w:val="3"/>
        </w:numPr>
        <w:tabs>
          <w:tab w:val="left" w:pos="0"/>
        </w:tabs>
        <w:spacing w:after="0" w:line="360" w:lineRule="auto"/>
        <w:ind w:left="426"/>
        <w:jc w:val="both"/>
        <w:rPr>
          <w:rFonts w:ascii="Times New Roman" w:hAnsi="Times New Roman"/>
          <w:sz w:val="24"/>
          <w:szCs w:val="24"/>
        </w:rPr>
      </w:pPr>
      <w:r w:rsidRPr="00A7146E">
        <w:rPr>
          <w:rFonts w:ascii="Times New Roman" w:hAnsi="Times New Roman"/>
          <w:sz w:val="24"/>
          <w:szCs w:val="24"/>
        </w:rPr>
        <w:t>Eduardo Eugênio Gouvea Vieira: Membro do Conselho de Administração do Banco SOGERAL S/A (1987-1999); Diretor-Presidente do Inter-Continental Seguradora S/A (1979-1990). Membro do Conselho Superior da Petróleo Ipiranga</w:t>
      </w:r>
      <w:r>
        <w:rPr>
          <w:rFonts w:ascii="Times New Roman" w:hAnsi="Times New Roman"/>
          <w:sz w:val="24"/>
          <w:szCs w:val="24"/>
        </w:rPr>
        <w:t>.</w:t>
      </w:r>
      <w:r w:rsidRPr="00A7146E">
        <w:rPr>
          <w:rFonts w:ascii="Times New Roman" w:hAnsi="Times New Roman"/>
          <w:sz w:val="24"/>
          <w:szCs w:val="24"/>
        </w:rPr>
        <w:t xml:space="preserve"> Presidente do Conselho de Administra</w:t>
      </w:r>
      <w:r>
        <w:rPr>
          <w:rFonts w:ascii="Times New Roman" w:hAnsi="Times New Roman"/>
          <w:sz w:val="24"/>
          <w:szCs w:val="24"/>
        </w:rPr>
        <w:t>ção da Cia. Petroquímica do Sul</w:t>
      </w:r>
      <w:r w:rsidRPr="00A7146E">
        <w:rPr>
          <w:rFonts w:ascii="Times New Roman" w:hAnsi="Times New Roman"/>
          <w:sz w:val="24"/>
          <w:szCs w:val="24"/>
        </w:rPr>
        <w:t>, dentre outras empresas do setor. Integra</w:t>
      </w:r>
      <w:r>
        <w:rPr>
          <w:rFonts w:ascii="Times New Roman" w:hAnsi="Times New Roman"/>
          <w:sz w:val="24"/>
          <w:szCs w:val="24"/>
        </w:rPr>
        <w:t>va</w:t>
      </w:r>
      <w:r w:rsidRPr="00A7146E">
        <w:rPr>
          <w:rFonts w:ascii="Times New Roman" w:hAnsi="Times New Roman"/>
          <w:sz w:val="24"/>
          <w:szCs w:val="24"/>
        </w:rPr>
        <w:t xml:space="preserve"> o Conselho de Administração do BNDES.</w:t>
      </w:r>
    </w:p>
    <w:p w:rsidR="00822877" w:rsidRDefault="00822877" w:rsidP="00822877">
      <w:pPr>
        <w:pStyle w:val="PargrafodaLista"/>
        <w:numPr>
          <w:ilvl w:val="0"/>
          <w:numId w:val="3"/>
        </w:numPr>
        <w:tabs>
          <w:tab w:val="left" w:pos="0"/>
        </w:tabs>
        <w:spacing w:after="0" w:line="360" w:lineRule="auto"/>
        <w:ind w:left="426"/>
        <w:jc w:val="both"/>
        <w:rPr>
          <w:rFonts w:ascii="Times New Roman" w:hAnsi="Times New Roman"/>
          <w:sz w:val="24"/>
          <w:szCs w:val="24"/>
        </w:rPr>
      </w:pPr>
      <w:r w:rsidRPr="00486707">
        <w:rPr>
          <w:rFonts w:ascii="Times New Roman" w:hAnsi="Times New Roman"/>
          <w:sz w:val="24"/>
          <w:szCs w:val="24"/>
        </w:rPr>
        <w:t>Fernando Xavier Ferreira: Membro do Comitê Latino Americano da Bolsa de Nova York e Presidente do Grupo Telefônica do Brasil.</w:t>
      </w:r>
    </w:p>
    <w:p w:rsidR="00822877" w:rsidRPr="00345A2C" w:rsidRDefault="00822877" w:rsidP="00822877">
      <w:pPr>
        <w:pStyle w:val="PargrafodaLista"/>
        <w:numPr>
          <w:ilvl w:val="0"/>
          <w:numId w:val="3"/>
        </w:numPr>
        <w:tabs>
          <w:tab w:val="left" w:pos="0"/>
        </w:tabs>
        <w:spacing w:after="0" w:line="360" w:lineRule="auto"/>
        <w:ind w:left="426"/>
        <w:jc w:val="both"/>
        <w:rPr>
          <w:rFonts w:ascii="Times New Roman" w:hAnsi="Times New Roman"/>
          <w:sz w:val="24"/>
          <w:szCs w:val="24"/>
        </w:rPr>
      </w:pPr>
      <w:r>
        <w:rPr>
          <w:rFonts w:ascii="Times New Roman" w:hAnsi="Times New Roman"/>
          <w:sz w:val="24"/>
          <w:szCs w:val="24"/>
        </w:rPr>
        <w:t xml:space="preserve">Fábio Coletti Barbosa: </w:t>
      </w:r>
      <w:r w:rsidRPr="00E31BD5">
        <w:rPr>
          <w:rFonts w:ascii="Times New Roman" w:hAnsi="Times New Roman"/>
          <w:color w:val="000000"/>
          <w:sz w:val="24"/>
          <w:szCs w:val="24"/>
        </w:rPr>
        <w:t>Presidente d</w:t>
      </w:r>
      <w:r>
        <w:rPr>
          <w:rFonts w:ascii="Times New Roman" w:hAnsi="Times New Roman"/>
          <w:color w:val="000000"/>
          <w:sz w:val="24"/>
          <w:szCs w:val="24"/>
        </w:rPr>
        <w:t>o Banco ABN AMRO no Brasil (1996</w:t>
      </w:r>
      <w:r w:rsidRPr="00E31BD5">
        <w:rPr>
          <w:rFonts w:ascii="Times New Roman" w:hAnsi="Times New Roman"/>
          <w:color w:val="000000"/>
          <w:sz w:val="24"/>
          <w:szCs w:val="24"/>
        </w:rPr>
        <w:t>)</w:t>
      </w:r>
      <w:r>
        <w:rPr>
          <w:rFonts w:ascii="Times New Roman" w:hAnsi="Times New Roman"/>
          <w:color w:val="000000"/>
          <w:sz w:val="24"/>
          <w:szCs w:val="24"/>
        </w:rPr>
        <w:t xml:space="preserve"> e do Banco Real (1998)</w:t>
      </w:r>
      <w:r w:rsidRPr="00E31BD5">
        <w:rPr>
          <w:rFonts w:ascii="Times New Roman" w:hAnsi="Times New Roman"/>
          <w:color w:val="000000"/>
          <w:sz w:val="24"/>
          <w:szCs w:val="24"/>
        </w:rPr>
        <w:t>. Assumiu, posteriormente, a presidência do Grupo Santander Brasil. Dir</w:t>
      </w:r>
      <w:r>
        <w:rPr>
          <w:rFonts w:ascii="Times New Roman" w:hAnsi="Times New Roman"/>
          <w:color w:val="000000"/>
          <w:sz w:val="24"/>
          <w:szCs w:val="24"/>
        </w:rPr>
        <w:t>etor Executivo e de</w:t>
      </w:r>
      <w:r w:rsidRPr="00E31BD5">
        <w:rPr>
          <w:rFonts w:ascii="Times New Roman" w:hAnsi="Times New Roman"/>
          <w:color w:val="000000"/>
          <w:sz w:val="24"/>
          <w:szCs w:val="24"/>
        </w:rPr>
        <w:t xml:space="preserve"> Finanças da CVRD.Membro do </w:t>
      </w:r>
      <w:r w:rsidRPr="00E31BD5">
        <w:rPr>
          <w:rFonts w:ascii="Times New Roman" w:hAnsi="Times New Roman"/>
          <w:sz w:val="24"/>
          <w:szCs w:val="24"/>
        </w:rPr>
        <w:t>Cons</w:t>
      </w:r>
      <w:r>
        <w:rPr>
          <w:rFonts w:ascii="Times New Roman" w:hAnsi="Times New Roman"/>
          <w:sz w:val="24"/>
          <w:szCs w:val="24"/>
        </w:rPr>
        <w:t>elho de Administração</w:t>
      </w:r>
      <w:r w:rsidRPr="00E31BD5">
        <w:rPr>
          <w:rFonts w:ascii="Times New Roman" w:hAnsi="Times New Roman"/>
          <w:color w:val="000000"/>
          <w:sz w:val="24"/>
          <w:szCs w:val="24"/>
        </w:rPr>
        <w:t xml:space="preserve"> da Petrobrás.</w:t>
      </w:r>
    </w:p>
    <w:p w:rsidR="00822877" w:rsidRPr="00E94B4B" w:rsidRDefault="00822877" w:rsidP="00822877">
      <w:pPr>
        <w:pStyle w:val="PargrafodaLista"/>
        <w:numPr>
          <w:ilvl w:val="0"/>
          <w:numId w:val="3"/>
        </w:numPr>
        <w:tabs>
          <w:tab w:val="left" w:pos="0"/>
        </w:tabs>
        <w:spacing w:after="0" w:line="360" w:lineRule="auto"/>
        <w:ind w:left="426"/>
        <w:jc w:val="both"/>
        <w:rPr>
          <w:rFonts w:ascii="Times New Roman" w:hAnsi="Times New Roman"/>
          <w:sz w:val="24"/>
          <w:szCs w:val="24"/>
        </w:rPr>
      </w:pPr>
      <w:r w:rsidRPr="00E94B4B">
        <w:rPr>
          <w:rFonts w:ascii="Times New Roman" w:hAnsi="Times New Roman"/>
          <w:color w:val="000000"/>
          <w:sz w:val="24"/>
          <w:szCs w:val="24"/>
        </w:rPr>
        <w:t xml:space="preserve">Jorge Gerdau Johannpeter: Proprietário do Banco Gerdau (Grupo Gerdau). Membro do Conselho de Administração da Petrobrás. </w:t>
      </w:r>
    </w:p>
    <w:p w:rsidR="00822877" w:rsidRPr="00E94B4B" w:rsidRDefault="00822877" w:rsidP="00822877">
      <w:pPr>
        <w:pStyle w:val="PargrafodaLista"/>
        <w:numPr>
          <w:ilvl w:val="0"/>
          <w:numId w:val="3"/>
        </w:numPr>
        <w:tabs>
          <w:tab w:val="left" w:pos="0"/>
        </w:tabs>
        <w:spacing w:after="0" w:line="360" w:lineRule="auto"/>
        <w:ind w:left="426"/>
        <w:jc w:val="both"/>
        <w:rPr>
          <w:rFonts w:ascii="Times New Roman" w:hAnsi="Times New Roman"/>
          <w:sz w:val="24"/>
          <w:szCs w:val="24"/>
        </w:rPr>
      </w:pPr>
      <w:r w:rsidRPr="00E94B4B">
        <w:rPr>
          <w:rFonts w:ascii="Times New Roman" w:hAnsi="Times New Roman"/>
          <w:sz w:val="24"/>
          <w:szCs w:val="24"/>
        </w:rPr>
        <w:t xml:space="preserve">Miguel João Jorge Filho: Vice-presidente Executivo de RH, Assuntos Corporativos e Jurídicos do Grupo Santander Banespa (2002-2007), cargo </w:t>
      </w:r>
      <w:r w:rsidR="00BB315D">
        <w:rPr>
          <w:rFonts w:ascii="Times New Roman" w:hAnsi="Times New Roman"/>
          <w:sz w:val="24"/>
          <w:szCs w:val="24"/>
        </w:rPr>
        <w:t xml:space="preserve">similar </w:t>
      </w:r>
      <w:r w:rsidRPr="00E94B4B">
        <w:rPr>
          <w:rFonts w:ascii="Times New Roman" w:hAnsi="Times New Roman"/>
          <w:sz w:val="24"/>
          <w:szCs w:val="24"/>
        </w:rPr>
        <w:t>assumido na Volkswagen do Brasil (1995-2000). A Volkswagen encontrava ainda seus interesses representados no CDES até julho de 2004 por meio de seu institor, o conselheiro Ricardo Luiz dos Santos Carvalho, presidente da ANFAVEA.</w:t>
      </w:r>
    </w:p>
    <w:p w:rsidR="00822877" w:rsidRPr="00486707" w:rsidRDefault="00822877" w:rsidP="00822877">
      <w:pPr>
        <w:pStyle w:val="PargrafodaLista"/>
        <w:numPr>
          <w:ilvl w:val="0"/>
          <w:numId w:val="3"/>
        </w:numPr>
        <w:tabs>
          <w:tab w:val="left" w:pos="0"/>
        </w:tabs>
        <w:spacing w:after="0" w:line="360" w:lineRule="auto"/>
        <w:ind w:left="426"/>
        <w:jc w:val="both"/>
        <w:rPr>
          <w:rFonts w:ascii="Times New Roman" w:hAnsi="Times New Roman"/>
          <w:sz w:val="24"/>
          <w:szCs w:val="24"/>
        </w:rPr>
      </w:pPr>
      <w:r>
        <w:rPr>
          <w:rFonts w:ascii="Times New Roman" w:hAnsi="Times New Roman"/>
          <w:sz w:val="24"/>
          <w:szCs w:val="24"/>
        </w:rPr>
        <w:t>Roger Agnelli: Presidente do Bradespar S.A até o ano 2001 e também do Conselho de Administração da Cia. Vale do Rio Doce que, por sua vez, possuía 22% do controle acionário da Usiminas. O Bradespar tinha participações em dois grupos representados no CDES: a Gerdau, a Usiminas</w:t>
      </w:r>
      <w:r w:rsidR="000A730D">
        <w:rPr>
          <w:rFonts w:ascii="Times New Roman" w:hAnsi="Times New Roman"/>
          <w:sz w:val="24"/>
          <w:szCs w:val="24"/>
        </w:rPr>
        <w:t>,</w:t>
      </w:r>
      <w:r w:rsidR="000A730D">
        <w:rPr>
          <w:rStyle w:val="Refdenotaderodap"/>
          <w:rFonts w:ascii="Times New Roman" w:hAnsi="Times New Roman"/>
          <w:sz w:val="24"/>
          <w:szCs w:val="24"/>
        </w:rPr>
        <w:footnoteReference w:id="295"/>
      </w:r>
      <w:r>
        <w:rPr>
          <w:rFonts w:ascii="Times New Roman" w:hAnsi="Times New Roman"/>
          <w:sz w:val="24"/>
          <w:szCs w:val="24"/>
        </w:rPr>
        <w:t xml:space="preserve"> a Sadia, do ministro Furlan, e a Iochpe-Maxion.</w:t>
      </w:r>
      <w:r w:rsidR="000A730D">
        <w:rPr>
          <w:rStyle w:val="Refdenotaderodap"/>
          <w:rFonts w:ascii="Times New Roman" w:hAnsi="Times New Roman"/>
          <w:sz w:val="24"/>
          <w:szCs w:val="24"/>
        </w:rPr>
        <w:footnoteReference w:id="296"/>
      </w:r>
      <w:r>
        <w:rPr>
          <w:rFonts w:ascii="Times New Roman" w:hAnsi="Times New Roman"/>
          <w:sz w:val="24"/>
          <w:szCs w:val="24"/>
        </w:rPr>
        <w:t xml:space="preserve"> Vale lembrar que o conselheiro Márcio Artur Cypriano ocupava o cargo de Presidente do Grupo Bradesco (1999-2009).</w:t>
      </w:r>
    </w:p>
    <w:p w:rsidR="00822877" w:rsidRPr="00486707" w:rsidRDefault="00822877" w:rsidP="00822877">
      <w:pPr>
        <w:pStyle w:val="PargrafodaLista"/>
        <w:numPr>
          <w:ilvl w:val="0"/>
          <w:numId w:val="3"/>
        </w:numPr>
        <w:tabs>
          <w:tab w:val="left" w:pos="0"/>
        </w:tabs>
        <w:spacing w:after="0" w:line="360" w:lineRule="auto"/>
        <w:ind w:left="426"/>
        <w:jc w:val="both"/>
        <w:rPr>
          <w:rFonts w:ascii="Times New Roman" w:hAnsi="Times New Roman"/>
          <w:sz w:val="24"/>
          <w:szCs w:val="24"/>
        </w:rPr>
      </w:pPr>
      <w:r w:rsidRPr="00486707">
        <w:rPr>
          <w:rFonts w:ascii="Times New Roman" w:hAnsi="Times New Roman"/>
          <w:sz w:val="24"/>
          <w:szCs w:val="24"/>
        </w:rPr>
        <w:t>Waldemar Verdi Júnior: Membro do Conselho de Administração do Banco Dibens S</w:t>
      </w:r>
      <w:r>
        <w:rPr>
          <w:rFonts w:ascii="Times New Roman" w:hAnsi="Times New Roman"/>
          <w:sz w:val="24"/>
          <w:szCs w:val="24"/>
        </w:rPr>
        <w:t>/A</w:t>
      </w:r>
      <w:r w:rsidRPr="00486707">
        <w:rPr>
          <w:rFonts w:ascii="Times New Roman" w:hAnsi="Times New Roman"/>
          <w:sz w:val="24"/>
          <w:szCs w:val="24"/>
        </w:rPr>
        <w:t xml:space="preserve"> e Vice-Presidente do Grupo Verdi (hoje conhecido como Grupo Rodobens), </w:t>
      </w:r>
      <w:r w:rsidRPr="00486707">
        <w:rPr>
          <w:rFonts w:ascii="Times New Roman" w:hAnsi="Times New Roman"/>
          <w:i/>
          <w:sz w:val="24"/>
          <w:szCs w:val="24"/>
        </w:rPr>
        <w:t>holding</w:t>
      </w:r>
      <w:r w:rsidRPr="00486707">
        <w:rPr>
          <w:rFonts w:ascii="Times New Roman" w:hAnsi="Times New Roman"/>
          <w:sz w:val="24"/>
          <w:szCs w:val="24"/>
        </w:rPr>
        <w:t xml:space="preserve"> que atua em várias áreas: concessionárias de ca</w:t>
      </w:r>
      <w:r>
        <w:rPr>
          <w:rFonts w:ascii="Times New Roman" w:hAnsi="Times New Roman"/>
          <w:sz w:val="24"/>
          <w:szCs w:val="24"/>
        </w:rPr>
        <w:t>m</w:t>
      </w:r>
      <w:r w:rsidRPr="00486707">
        <w:rPr>
          <w:rFonts w:ascii="Times New Roman" w:hAnsi="Times New Roman"/>
          <w:sz w:val="24"/>
          <w:szCs w:val="24"/>
        </w:rPr>
        <w:t>inhões, ônibus e automóveis, seguradora, importações de veículos, consórcios, etc.</w:t>
      </w:r>
      <w:r>
        <w:rPr>
          <w:rFonts w:ascii="Times New Roman" w:hAnsi="Times New Roman"/>
          <w:sz w:val="24"/>
          <w:szCs w:val="24"/>
        </w:rPr>
        <w:t xml:space="preserve"> Em 2004, o Banco Dibens foi integralmente vendido para o Unibanco, ocasião em Verdi passou a ter assento no Conselho.</w:t>
      </w:r>
    </w:p>
    <w:p w:rsidR="00AE7A2F" w:rsidRDefault="00CC4B24" w:rsidP="00822877">
      <w:pPr>
        <w:pStyle w:val="NormalWeb"/>
        <w:spacing w:before="0" w:beforeAutospacing="0" w:after="0" w:afterAutospacing="0" w:line="360" w:lineRule="auto"/>
        <w:ind w:firstLine="708"/>
        <w:jc w:val="both"/>
      </w:pPr>
      <w:r>
        <w:t>Todos os grupos não bancários</w:t>
      </w:r>
      <w:r w:rsidR="00822877">
        <w:t xml:space="preserve"> expostos acima estavam representados no CDES pelos mesmos conselheiros vinculados </w:t>
      </w:r>
      <w:r w:rsidR="00005F41">
        <w:t xml:space="preserve">aosetor bancário e </w:t>
      </w:r>
      <w:r w:rsidR="001C1CC9">
        <w:t xml:space="preserve">financeiro </w:t>
      </w:r>
      <w:r w:rsidR="00005F41">
        <w:t xml:space="preserve">não bancário. </w:t>
      </w:r>
      <w:r w:rsidR="00822877" w:rsidRPr="00DA4DB1">
        <w:t>Trata</w:t>
      </w:r>
      <w:r w:rsidR="00822877">
        <w:t>va</w:t>
      </w:r>
      <w:r w:rsidR="00822877" w:rsidRPr="00DA4DB1">
        <w:t xml:space="preserve">-se, sem dúvidas, de uma </w:t>
      </w:r>
      <w:r w:rsidR="00822877" w:rsidRPr="00DA4DB1">
        <w:rPr>
          <w:i/>
        </w:rPr>
        <w:t xml:space="preserve">rede </w:t>
      </w:r>
      <w:r w:rsidR="00822877">
        <w:rPr>
          <w:i/>
        </w:rPr>
        <w:t xml:space="preserve">de </w:t>
      </w:r>
      <w:r>
        <w:rPr>
          <w:i/>
        </w:rPr>
        <w:t xml:space="preserve">grandes </w:t>
      </w:r>
      <w:r w:rsidR="00822877">
        <w:rPr>
          <w:i/>
        </w:rPr>
        <w:t>grupos econômicos</w:t>
      </w:r>
      <w:r w:rsidR="00822877" w:rsidRPr="00E3110F">
        <w:rPr>
          <w:i/>
        </w:rPr>
        <w:t>no interior do Conselho</w:t>
      </w:r>
      <w:r w:rsidR="00822877">
        <w:t xml:space="preserve"> viabilizada pela</w:t>
      </w:r>
      <w:r w:rsidR="00822877" w:rsidRPr="00DA4DB1">
        <w:t xml:space="preserve"> superconcentração de megaempresários que, </w:t>
      </w:r>
      <w:r w:rsidR="00822877" w:rsidRPr="00DA4DB1">
        <w:rPr>
          <w:i/>
        </w:rPr>
        <w:t>nomeados</w:t>
      </w:r>
      <w:r w:rsidR="00822877" w:rsidRPr="00DA4DB1">
        <w:t xml:space="preserve"> pelo Presidente da República, </w:t>
      </w:r>
      <w:r w:rsidR="00822877">
        <w:t>representava os</w:t>
      </w:r>
      <w:r w:rsidR="00822877" w:rsidRPr="00DA4DB1">
        <w:t xml:space="preserve"> elementos mais avançados</w:t>
      </w:r>
      <w:r w:rsidR="00822877">
        <w:t xml:space="preserve"> de alguns</w:t>
      </w:r>
      <w:r w:rsidR="00822877" w:rsidRPr="00DA4DB1">
        <w:t xml:space="preserve"> setores do capitalismo brasileiro.</w:t>
      </w:r>
      <w:r w:rsidR="00822877">
        <w:t xml:space="preserve"> Sua composição apresentava forte conteúdo empresarial, com presença proeminente de grandes grupos econômicos responsáveis pelo processo de monopolização e internacionalização</w:t>
      </w:r>
      <w:r w:rsidR="00822877">
        <w:rPr>
          <w:rStyle w:val="Refdenotaderodap"/>
        </w:rPr>
        <w:footnoteReference w:id="297"/>
      </w:r>
      <w:r w:rsidR="00822877">
        <w:t xml:space="preserve"> da economia brasileira.</w:t>
      </w:r>
    </w:p>
    <w:p w:rsidR="00700362" w:rsidRPr="00414D01" w:rsidRDefault="00AE7A2F" w:rsidP="00700362">
      <w:pPr>
        <w:spacing w:line="360" w:lineRule="auto"/>
        <w:ind w:firstLine="708"/>
        <w:jc w:val="both"/>
        <w:rPr>
          <w:rFonts w:ascii="Times New Roman" w:hAnsi="Times New Roman"/>
          <w:sz w:val="24"/>
          <w:szCs w:val="24"/>
        </w:rPr>
      </w:pPr>
      <w:r w:rsidRPr="00414D01">
        <w:rPr>
          <w:rFonts w:ascii="Times New Roman" w:hAnsi="Times New Roman"/>
          <w:sz w:val="24"/>
          <w:szCs w:val="24"/>
        </w:rPr>
        <w:t>Outro elemento fundamental é que a origem de classe dos conselheiros não es</w:t>
      </w:r>
      <w:r w:rsidR="00BB315D" w:rsidRPr="00414D01">
        <w:rPr>
          <w:rFonts w:ascii="Times New Roman" w:hAnsi="Times New Roman"/>
          <w:sz w:val="24"/>
          <w:szCs w:val="24"/>
        </w:rPr>
        <w:t>gotava</w:t>
      </w:r>
      <w:r w:rsidRPr="00414D01">
        <w:rPr>
          <w:rFonts w:ascii="Times New Roman" w:hAnsi="Times New Roman"/>
          <w:sz w:val="24"/>
          <w:szCs w:val="24"/>
        </w:rPr>
        <w:t xml:space="preserve"> sua atuação. Conselheiros sindicalistas, por exemplo, estavam também ligados aos fundos de pensão e aprofundavam as relações entre o setor monetário (os fundos) e os diferentes setores de extração de valor de diferentes modalidades.</w:t>
      </w:r>
      <w:r w:rsidR="00700362" w:rsidRPr="00414D01">
        <w:rPr>
          <w:rFonts w:ascii="Times New Roman" w:hAnsi="Times New Roman"/>
          <w:sz w:val="24"/>
          <w:szCs w:val="24"/>
        </w:rPr>
        <w:t xml:space="preserve">Segundo Zibechi, </w:t>
      </w:r>
    </w:p>
    <w:p w:rsidR="00700362" w:rsidRPr="00414D01" w:rsidRDefault="00700362" w:rsidP="00700362">
      <w:pPr>
        <w:spacing w:line="240" w:lineRule="auto"/>
        <w:ind w:left="2268"/>
        <w:jc w:val="both"/>
        <w:rPr>
          <w:rFonts w:ascii="Times New Roman" w:hAnsi="Times New Roman"/>
          <w:sz w:val="20"/>
          <w:szCs w:val="20"/>
        </w:rPr>
      </w:pPr>
      <w:r w:rsidRPr="00414D01">
        <w:rPr>
          <w:rFonts w:ascii="Times New Roman" w:hAnsi="Times New Roman"/>
          <w:sz w:val="20"/>
          <w:szCs w:val="20"/>
        </w:rPr>
        <w:t xml:space="preserve">O Previ é o principal investidor no mercado de capitais no Brasil e tem participação acionária nas maiores empresas: além da </w:t>
      </w:r>
      <w:r w:rsidRPr="00414D01">
        <w:rPr>
          <w:rFonts w:ascii="Times New Roman" w:hAnsi="Times New Roman"/>
          <w:b/>
          <w:sz w:val="20"/>
          <w:szCs w:val="20"/>
        </w:rPr>
        <w:t>Vale</w:t>
      </w:r>
      <w:r w:rsidRPr="00414D01">
        <w:rPr>
          <w:rFonts w:ascii="Times New Roman" w:hAnsi="Times New Roman"/>
          <w:sz w:val="20"/>
          <w:szCs w:val="20"/>
        </w:rPr>
        <w:t xml:space="preserve">, figura na </w:t>
      </w:r>
      <w:r w:rsidRPr="00414D01">
        <w:rPr>
          <w:rFonts w:ascii="Times New Roman" w:hAnsi="Times New Roman"/>
          <w:b/>
          <w:sz w:val="20"/>
          <w:szCs w:val="20"/>
        </w:rPr>
        <w:t>Embraer, Petrobras, os bancos Itaú-Unibanco e Bradesco</w:t>
      </w:r>
      <w:r w:rsidRPr="00414D01">
        <w:rPr>
          <w:rFonts w:ascii="Times New Roman" w:hAnsi="Times New Roman"/>
          <w:sz w:val="20"/>
          <w:szCs w:val="20"/>
        </w:rPr>
        <w:t xml:space="preserve">, Ambev, </w:t>
      </w:r>
      <w:r w:rsidRPr="00414D01">
        <w:rPr>
          <w:rFonts w:ascii="Times New Roman" w:hAnsi="Times New Roman"/>
          <w:b/>
          <w:sz w:val="20"/>
          <w:szCs w:val="20"/>
        </w:rPr>
        <w:t>Usiminas, Gerdau</w:t>
      </w:r>
      <w:r w:rsidRPr="00414D01">
        <w:rPr>
          <w:rFonts w:ascii="Times New Roman" w:hAnsi="Times New Roman"/>
          <w:sz w:val="20"/>
          <w:szCs w:val="20"/>
        </w:rPr>
        <w:t xml:space="preserve">, </w:t>
      </w:r>
      <w:r w:rsidRPr="00414D01">
        <w:rPr>
          <w:rFonts w:ascii="Times New Roman" w:hAnsi="Times New Roman"/>
          <w:b/>
          <w:sz w:val="20"/>
          <w:szCs w:val="20"/>
        </w:rPr>
        <w:t>Neoenergia</w:t>
      </w:r>
      <w:r w:rsidRPr="00414D01">
        <w:rPr>
          <w:rFonts w:ascii="Times New Roman" w:hAnsi="Times New Roman"/>
          <w:sz w:val="20"/>
          <w:szCs w:val="20"/>
        </w:rPr>
        <w:t xml:space="preserve">, CPFL e a </w:t>
      </w:r>
      <w:r w:rsidRPr="00414D01">
        <w:rPr>
          <w:rFonts w:ascii="Times New Roman" w:hAnsi="Times New Roman"/>
          <w:b/>
          <w:sz w:val="20"/>
          <w:szCs w:val="20"/>
        </w:rPr>
        <w:t>empresa de telefonia Oi,</w:t>
      </w:r>
      <w:r w:rsidRPr="00414D01">
        <w:rPr>
          <w:rFonts w:ascii="Times New Roman" w:hAnsi="Times New Roman"/>
          <w:sz w:val="20"/>
          <w:szCs w:val="20"/>
        </w:rPr>
        <w:t xml:space="preserve"> além de se estender ao setor imobiliário tendo investimentos em 14 </w:t>
      </w:r>
      <w:r w:rsidRPr="00414D01">
        <w:rPr>
          <w:rFonts w:ascii="Times New Roman" w:hAnsi="Times New Roman"/>
          <w:i/>
          <w:sz w:val="20"/>
          <w:szCs w:val="20"/>
        </w:rPr>
        <w:t>shopping centers</w:t>
      </w:r>
      <w:r w:rsidRPr="00414D01">
        <w:rPr>
          <w:rFonts w:ascii="Times New Roman" w:hAnsi="Times New Roman"/>
          <w:sz w:val="20"/>
          <w:szCs w:val="20"/>
        </w:rPr>
        <w:t>.</w:t>
      </w:r>
      <w:r w:rsidRPr="00414D01">
        <w:rPr>
          <w:rStyle w:val="Refdenotaderodap"/>
          <w:rFonts w:ascii="Times New Roman" w:hAnsi="Times New Roman"/>
          <w:sz w:val="20"/>
          <w:szCs w:val="20"/>
        </w:rPr>
        <w:footnoteReference w:id="298"/>
      </w:r>
    </w:p>
    <w:p w:rsidR="00822877" w:rsidRPr="00DA4DB1" w:rsidRDefault="00822877" w:rsidP="00822877">
      <w:pPr>
        <w:tabs>
          <w:tab w:val="left" w:pos="0"/>
        </w:tabs>
        <w:spacing w:line="360" w:lineRule="auto"/>
        <w:jc w:val="both"/>
        <w:rPr>
          <w:rFonts w:ascii="Times New Roman" w:hAnsi="Times New Roman"/>
          <w:sz w:val="24"/>
          <w:szCs w:val="24"/>
        </w:rPr>
      </w:pPr>
      <w:r>
        <w:rPr>
          <w:rFonts w:ascii="Times New Roman" w:hAnsi="Times New Roman"/>
          <w:sz w:val="24"/>
          <w:szCs w:val="24"/>
        </w:rPr>
        <w:tab/>
        <w:t xml:space="preserve">A </w:t>
      </w:r>
      <w:r w:rsidRPr="00B046DA">
        <w:rPr>
          <w:rFonts w:ascii="Times New Roman" w:hAnsi="Times New Roman"/>
          <w:i/>
          <w:sz w:val="24"/>
          <w:szCs w:val="24"/>
        </w:rPr>
        <w:t>red</w:t>
      </w:r>
      <w:r>
        <w:rPr>
          <w:rFonts w:ascii="Times New Roman" w:hAnsi="Times New Roman"/>
          <w:i/>
          <w:sz w:val="24"/>
          <w:szCs w:val="24"/>
        </w:rPr>
        <w:t>e</w:t>
      </w:r>
      <w:r w:rsidRPr="00B046DA">
        <w:rPr>
          <w:rFonts w:ascii="Times New Roman" w:hAnsi="Times New Roman"/>
          <w:i/>
          <w:sz w:val="24"/>
          <w:szCs w:val="24"/>
        </w:rPr>
        <w:t xml:space="preserve"> de </w:t>
      </w:r>
      <w:r w:rsidRPr="00A804C6">
        <w:rPr>
          <w:rFonts w:ascii="Times New Roman" w:hAnsi="Times New Roman"/>
          <w:i/>
          <w:sz w:val="24"/>
          <w:szCs w:val="24"/>
        </w:rPr>
        <w:t>grupos econômicos</w:t>
      </w:r>
      <w:r>
        <w:rPr>
          <w:rFonts w:ascii="Times New Roman" w:hAnsi="Times New Roman"/>
          <w:sz w:val="24"/>
          <w:szCs w:val="24"/>
        </w:rPr>
        <w:t xml:space="preserve"> no CDES foi suscetível de maior organicidade e tamanho ao considerarmos que o BNDES - principal “ator de ligação”, na última década e meia, entre aglomerados econômicos</w:t>
      </w:r>
      <w:r w:rsidR="00480F3B">
        <w:rPr>
          <w:rFonts w:ascii="Times New Roman" w:hAnsi="Times New Roman"/>
          <w:sz w:val="24"/>
          <w:szCs w:val="24"/>
        </w:rPr>
        <w:t>, ao lado d</w:t>
      </w:r>
      <w:r>
        <w:rPr>
          <w:rFonts w:ascii="Times New Roman" w:hAnsi="Times New Roman"/>
          <w:sz w:val="24"/>
          <w:szCs w:val="24"/>
        </w:rPr>
        <w:t>os fundos de pensão das empresas estatais</w:t>
      </w:r>
      <w:r w:rsidR="00CC4B24">
        <w:rPr>
          <w:rFonts w:ascii="Times New Roman" w:hAnsi="Times New Roman"/>
          <w:sz w:val="24"/>
          <w:szCs w:val="24"/>
        </w:rPr>
        <w:t xml:space="preserve">, como </w:t>
      </w:r>
      <w:r>
        <w:rPr>
          <w:rFonts w:ascii="Times New Roman" w:hAnsi="Times New Roman"/>
          <w:sz w:val="24"/>
          <w:szCs w:val="24"/>
        </w:rPr>
        <w:t>Previ, Funcef, Petros, entre outros</w:t>
      </w:r>
      <w:r>
        <w:rPr>
          <w:rStyle w:val="Refdenotaderodap"/>
          <w:rFonts w:ascii="Times New Roman" w:hAnsi="Times New Roman"/>
          <w:sz w:val="24"/>
          <w:szCs w:val="24"/>
        </w:rPr>
        <w:footnoteReference w:id="299"/>
      </w:r>
      <w:r w:rsidR="00AE7A2F">
        <w:rPr>
          <w:rFonts w:ascii="Times New Roman" w:hAnsi="Times New Roman"/>
          <w:sz w:val="24"/>
          <w:szCs w:val="24"/>
        </w:rPr>
        <w:t xml:space="preserve">- abrigava em suas diretorias diversos conselheiros-empresários, demonstrando a forte penetração dos aparelhos privados de hegemonia empresariais no </w:t>
      </w:r>
      <w:r w:rsidR="00480F3B">
        <w:rPr>
          <w:rFonts w:ascii="Times New Roman" w:hAnsi="Times New Roman"/>
          <w:sz w:val="24"/>
          <w:szCs w:val="24"/>
        </w:rPr>
        <w:t>BNDES</w:t>
      </w:r>
      <w:r w:rsidR="00AE7A2F">
        <w:rPr>
          <w:rFonts w:ascii="Times New Roman" w:hAnsi="Times New Roman"/>
          <w:sz w:val="24"/>
          <w:szCs w:val="24"/>
        </w:rPr>
        <w:t xml:space="preserve">, por meio de </w:t>
      </w:r>
      <w:r>
        <w:rPr>
          <w:rFonts w:ascii="Times New Roman" w:hAnsi="Times New Roman"/>
          <w:sz w:val="24"/>
          <w:szCs w:val="24"/>
        </w:rPr>
        <w:t>assentos em seu Conselho de Administração. O quadro 2.16 expõe os conselheiros que atuaram no BNDES e em bancos estaduais de desenvolvimento:</w:t>
      </w:r>
    </w:p>
    <w:p w:rsidR="00FD610C" w:rsidRDefault="00FD610C" w:rsidP="00FD610C">
      <w:pPr>
        <w:spacing w:after="0"/>
        <w:jc w:val="center"/>
        <w:rPr>
          <w:rFonts w:ascii="Times New Roman" w:hAnsi="Times New Roman"/>
          <w:b/>
          <w:sz w:val="24"/>
          <w:szCs w:val="24"/>
        </w:rPr>
      </w:pPr>
      <w:r>
        <w:rPr>
          <w:rFonts w:ascii="Times New Roman" w:hAnsi="Times New Roman"/>
          <w:b/>
          <w:sz w:val="24"/>
          <w:szCs w:val="24"/>
        </w:rPr>
        <w:t xml:space="preserve">Quadro 2.16 – A presença de conselheiros no BNDES e em </w:t>
      </w:r>
    </w:p>
    <w:p w:rsidR="00FD610C" w:rsidRDefault="00FD610C" w:rsidP="00FD610C">
      <w:pPr>
        <w:jc w:val="center"/>
        <w:rPr>
          <w:rFonts w:ascii="Times New Roman" w:hAnsi="Times New Roman"/>
          <w:b/>
          <w:sz w:val="24"/>
          <w:szCs w:val="24"/>
        </w:rPr>
      </w:pPr>
      <w:r>
        <w:rPr>
          <w:rFonts w:ascii="Times New Roman" w:hAnsi="Times New Roman"/>
          <w:b/>
          <w:sz w:val="24"/>
          <w:szCs w:val="24"/>
        </w:rPr>
        <w:t>Bancos Estaduais de Desenvolvimento</w:t>
      </w:r>
    </w:p>
    <w:tbl>
      <w:tblPr>
        <w:tblW w:w="4877"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3321"/>
        <w:gridCol w:w="5738"/>
      </w:tblGrid>
      <w:tr w:rsidR="00FD610C" w:rsidRPr="008211FD" w:rsidTr="00CE3680">
        <w:tc>
          <w:tcPr>
            <w:tcW w:w="1833" w:type="pct"/>
            <w:tcBorders>
              <w:top w:val="single" w:sz="8" w:space="0" w:color="4F81BD"/>
              <w:left w:val="single" w:sz="8" w:space="0" w:color="4F81BD"/>
              <w:bottom w:val="single" w:sz="1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Conselheiros</w:t>
            </w:r>
          </w:p>
        </w:tc>
        <w:tc>
          <w:tcPr>
            <w:tcW w:w="3167" w:type="pct"/>
            <w:tcBorders>
              <w:top w:val="single" w:sz="8" w:space="0" w:color="4F81BD"/>
              <w:left w:val="single" w:sz="8" w:space="0" w:color="4F81BD"/>
              <w:bottom w:val="single" w:sz="1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Bancos de Desenvolvimento (Nacional e Estaduais)</w:t>
            </w:r>
          </w:p>
        </w:tc>
      </w:tr>
      <w:tr w:rsidR="00FD610C" w:rsidRPr="008211FD" w:rsidTr="00CE3680">
        <w:tc>
          <w:tcPr>
            <w:tcW w:w="1833"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1) Benjamin Steibruch</w:t>
            </w:r>
          </w:p>
        </w:tc>
        <w:tc>
          <w:tcPr>
            <w:tcW w:w="3167"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jc w:val="both"/>
              <w:rPr>
                <w:rFonts w:ascii="Times New Roman" w:hAnsi="Times New Roman"/>
                <w:sz w:val="20"/>
                <w:szCs w:val="20"/>
              </w:rPr>
            </w:pPr>
            <w:r w:rsidRPr="008211FD">
              <w:rPr>
                <w:rFonts w:ascii="Times New Roman" w:hAnsi="Times New Roman"/>
                <w:sz w:val="20"/>
                <w:szCs w:val="20"/>
              </w:rPr>
              <w:t>Conselho de Administração do BNDES.</w:t>
            </w:r>
          </w:p>
        </w:tc>
      </w:tr>
      <w:tr w:rsidR="00FD610C" w:rsidRPr="008211FD" w:rsidTr="00CE3680">
        <w:tc>
          <w:tcPr>
            <w:tcW w:w="1833"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 xml:space="preserve">2) Eduardo Eugênio Gouvêa Vieira </w:t>
            </w:r>
          </w:p>
        </w:tc>
        <w:tc>
          <w:tcPr>
            <w:tcW w:w="3167"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jc w:val="both"/>
              <w:rPr>
                <w:rFonts w:ascii="Times New Roman" w:hAnsi="Times New Roman"/>
                <w:sz w:val="20"/>
                <w:szCs w:val="20"/>
              </w:rPr>
            </w:pPr>
            <w:r w:rsidRPr="008211FD">
              <w:rPr>
                <w:rFonts w:ascii="Times New Roman" w:hAnsi="Times New Roman"/>
                <w:sz w:val="20"/>
                <w:szCs w:val="20"/>
              </w:rPr>
              <w:t>Conselho de Administração do BNDES.</w:t>
            </w:r>
          </w:p>
        </w:tc>
      </w:tr>
      <w:tr w:rsidR="00FD610C" w:rsidRPr="008211FD" w:rsidTr="00CE3680">
        <w:tc>
          <w:tcPr>
            <w:tcW w:w="1833"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3) João Elisio F. de Campos</w:t>
            </w:r>
          </w:p>
        </w:tc>
        <w:tc>
          <w:tcPr>
            <w:tcW w:w="3167"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jc w:val="both"/>
              <w:rPr>
                <w:rFonts w:ascii="Times New Roman" w:hAnsi="Times New Roman"/>
                <w:sz w:val="20"/>
                <w:szCs w:val="20"/>
              </w:rPr>
            </w:pPr>
            <w:r w:rsidRPr="008211FD">
              <w:rPr>
                <w:rFonts w:ascii="Times New Roman" w:hAnsi="Times New Roman"/>
                <w:sz w:val="20"/>
                <w:szCs w:val="20"/>
              </w:rPr>
              <w:t>Presidente do Banco de Desenvolvimento do Paraná S.A.</w:t>
            </w:r>
          </w:p>
        </w:tc>
      </w:tr>
      <w:tr w:rsidR="00FD610C" w:rsidRPr="008211FD" w:rsidTr="00CE3680">
        <w:tc>
          <w:tcPr>
            <w:tcW w:w="1833"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Cs/>
                <w:sz w:val="20"/>
                <w:szCs w:val="20"/>
              </w:rPr>
            </w:pPr>
            <w:r w:rsidRPr="008211FD">
              <w:rPr>
                <w:rFonts w:ascii="Times New Roman" w:eastAsia="Times New Roman" w:hAnsi="Times New Roman"/>
                <w:bCs/>
                <w:sz w:val="20"/>
                <w:szCs w:val="20"/>
              </w:rPr>
              <w:t>4) José Mendo Mizael de Souza</w:t>
            </w:r>
          </w:p>
        </w:tc>
        <w:tc>
          <w:tcPr>
            <w:tcW w:w="3167"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jc w:val="both"/>
              <w:rPr>
                <w:rFonts w:ascii="Times New Roman" w:hAnsi="Times New Roman"/>
                <w:sz w:val="20"/>
                <w:szCs w:val="20"/>
              </w:rPr>
            </w:pPr>
            <w:r w:rsidRPr="008211FD">
              <w:rPr>
                <w:rFonts w:ascii="Times New Roman" w:hAnsi="Times New Roman"/>
                <w:sz w:val="20"/>
                <w:szCs w:val="20"/>
              </w:rPr>
              <w:t>Diretor Banco de Desenvolvimento de Minas Gerais (BDMG).</w:t>
            </w:r>
          </w:p>
        </w:tc>
      </w:tr>
      <w:tr w:rsidR="00FD610C" w:rsidRPr="008211FD" w:rsidTr="00CE3680">
        <w:tc>
          <w:tcPr>
            <w:tcW w:w="1833"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5) Luiz Carlos Delben Leite</w:t>
            </w:r>
          </w:p>
        </w:tc>
        <w:tc>
          <w:tcPr>
            <w:tcW w:w="3167"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jc w:val="both"/>
              <w:rPr>
                <w:rFonts w:ascii="Times New Roman" w:hAnsi="Times New Roman"/>
                <w:sz w:val="20"/>
                <w:szCs w:val="20"/>
              </w:rPr>
            </w:pPr>
            <w:r w:rsidRPr="008211FD">
              <w:rPr>
                <w:rFonts w:ascii="Times New Roman" w:hAnsi="Times New Roman"/>
                <w:sz w:val="20"/>
                <w:szCs w:val="20"/>
              </w:rPr>
              <w:t>Presidente do BNDES (1993).</w:t>
            </w:r>
          </w:p>
        </w:tc>
      </w:tr>
      <w:tr w:rsidR="00FD610C" w:rsidRPr="008211FD" w:rsidTr="00CE3680">
        <w:tc>
          <w:tcPr>
            <w:tcW w:w="1833"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6) Mauro Knijnik</w:t>
            </w:r>
          </w:p>
        </w:tc>
        <w:tc>
          <w:tcPr>
            <w:tcW w:w="3167"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jc w:val="both"/>
              <w:rPr>
                <w:rFonts w:ascii="Times New Roman" w:hAnsi="Times New Roman"/>
                <w:sz w:val="20"/>
                <w:szCs w:val="20"/>
              </w:rPr>
            </w:pPr>
            <w:r w:rsidRPr="008211FD">
              <w:rPr>
                <w:rFonts w:ascii="Times New Roman" w:hAnsi="Times New Roman"/>
                <w:color w:val="000000"/>
                <w:sz w:val="20"/>
                <w:szCs w:val="20"/>
              </w:rPr>
              <w:t>Vice-Presidente do Banco Regional de Desenvolvimento do Extremo Sul (BRDE) e Presidente do Conselho de Administração do Banco do Estado do RS - Banrisul; Presidente da Junta de Coordenação Financeira do Estado do RS.</w:t>
            </w:r>
          </w:p>
        </w:tc>
      </w:tr>
    </w:tbl>
    <w:p w:rsidR="00D1400E" w:rsidRPr="00720548" w:rsidRDefault="00D1400E" w:rsidP="00D1400E">
      <w:pPr>
        <w:spacing w:line="360" w:lineRule="auto"/>
        <w:jc w:val="both"/>
        <w:rPr>
          <w:rFonts w:ascii="Times New Roman" w:hAnsi="Times New Roman"/>
          <w:sz w:val="24"/>
          <w:szCs w:val="24"/>
        </w:rPr>
      </w:pPr>
      <w:r>
        <w:rPr>
          <w:rFonts w:ascii="Times New Roman" w:hAnsi="Times New Roman"/>
          <w:b/>
          <w:sz w:val="18"/>
          <w:szCs w:val="18"/>
        </w:rPr>
        <w:t>Elaboração própria</w:t>
      </w:r>
      <w:r w:rsidR="00720548">
        <w:rPr>
          <w:rFonts w:ascii="Times New Roman" w:hAnsi="Times New Roman"/>
          <w:b/>
          <w:sz w:val="18"/>
          <w:szCs w:val="18"/>
        </w:rPr>
        <w:t xml:space="preserve">. Fonte: </w:t>
      </w:r>
      <w:r w:rsidR="00720548">
        <w:rPr>
          <w:rFonts w:ascii="Times New Roman" w:hAnsi="Times New Roman"/>
          <w:sz w:val="18"/>
          <w:szCs w:val="18"/>
        </w:rPr>
        <w:t xml:space="preserve">site do CDES </w:t>
      </w:r>
      <w:r w:rsidR="00720548" w:rsidRPr="00720548">
        <w:rPr>
          <w:rFonts w:ascii="Times New Roman" w:hAnsi="Times New Roman"/>
          <w:sz w:val="18"/>
          <w:szCs w:val="18"/>
        </w:rPr>
        <w:t>(</w:t>
      </w:r>
      <w:hyperlink r:id="rId18" w:history="1">
        <w:r w:rsidR="00720548" w:rsidRPr="00720548">
          <w:rPr>
            <w:rStyle w:val="Hyperlink"/>
            <w:rFonts w:ascii="Times New Roman" w:hAnsi="Times New Roman"/>
            <w:color w:val="auto"/>
            <w:sz w:val="18"/>
            <w:szCs w:val="18"/>
            <w:u w:val="none"/>
          </w:rPr>
          <w:t>www.cdes.gov.br</w:t>
        </w:r>
      </w:hyperlink>
      <w:r w:rsidR="00720548">
        <w:rPr>
          <w:rFonts w:ascii="Times New Roman" w:hAnsi="Times New Roman"/>
          <w:sz w:val="18"/>
          <w:szCs w:val="18"/>
        </w:rPr>
        <w:t>) e pesquisas na internet.</w:t>
      </w:r>
    </w:p>
    <w:p w:rsidR="00FD610C" w:rsidRDefault="00FD610C" w:rsidP="00480F3B">
      <w:pPr>
        <w:spacing w:before="240" w:line="360" w:lineRule="auto"/>
        <w:ind w:firstLine="708"/>
        <w:jc w:val="both"/>
        <w:rPr>
          <w:rFonts w:ascii="Times New Roman" w:hAnsi="Times New Roman"/>
          <w:sz w:val="24"/>
          <w:szCs w:val="24"/>
        </w:rPr>
      </w:pPr>
      <w:r>
        <w:rPr>
          <w:rFonts w:ascii="Times New Roman" w:hAnsi="Times New Roman"/>
          <w:sz w:val="24"/>
          <w:szCs w:val="24"/>
        </w:rPr>
        <w:t>O BNDES, sob os governos Lula, “vem protagonizando dinâmicas de concentração e centralização dos capitais postados no Brasil (...). Um espaço assumidamente dedicado a valorizar o capital despatriado”, seguindo um modelo de “inserção competitiva” potencializando empresas de capital “nacional”.</w:t>
      </w:r>
      <w:r>
        <w:rPr>
          <w:rStyle w:val="Refdenotaderodap"/>
          <w:rFonts w:ascii="Times New Roman" w:hAnsi="Times New Roman"/>
          <w:sz w:val="24"/>
          <w:szCs w:val="24"/>
        </w:rPr>
        <w:footnoteReference w:id="300"/>
      </w:r>
      <w:r>
        <w:rPr>
          <w:rFonts w:ascii="Times New Roman" w:hAnsi="Times New Roman"/>
          <w:sz w:val="24"/>
          <w:szCs w:val="24"/>
        </w:rPr>
        <w:t xml:space="preserve"> O BNDES financiava, em 2003, através de participações acionárias, os seguintes grupos econômicos presentes no CDES: a Petrobrás, a Cia. Vale do Rio Doce, a Telemar, a Klabin, a Iochpe-Maxion, a Gerdau e a Rio Polímeros S/A, empresa da Suzano Holding.</w:t>
      </w:r>
      <w:r>
        <w:rPr>
          <w:rStyle w:val="Refdenotaderodap"/>
          <w:rFonts w:ascii="Times New Roman" w:hAnsi="Times New Roman"/>
          <w:sz w:val="24"/>
          <w:szCs w:val="24"/>
        </w:rPr>
        <w:footnoteReference w:id="301"/>
      </w:r>
      <w:r>
        <w:rPr>
          <w:rFonts w:ascii="Times New Roman" w:hAnsi="Times New Roman"/>
          <w:sz w:val="24"/>
          <w:szCs w:val="24"/>
        </w:rPr>
        <w:t xml:space="preserve"> Considerando que Benjamin Steinbruch, Eduardo Gouveia Vieira e Luiz Carlos Delben Leite tenham assumido posições no Conselho de Administração do BNDES,</w:t>
      </w:r>
      <w:r w:rsidRPr="00922016">
        <w:rPr>
          <w:rStyle w:val="Refdenotaderodap"/>
          <w:rFonts w:ascii="Times New Roman" w:hAnsi="Times New Roman"/>
          <w:sz w:val="24"/>
          <w:szCs w:val="24"/>
        </w:rPr>
        <w:footnoteReference w:id="302"/>
      </w:r>
      <w:r>
        <w:rPr>
          <w:rFonts w:ascii="Times New Roman" w:hAnsi="Times New Roman"/>
          <w:sz w:val="24"/>
          <w:szCs w:val="24"/>
        </w:rPr>
        <w:t xml:space="preserve">os grupos econômicos de que faziam parte também estabeleciam laços (indiretos) com aqueles financiados pelo Banco. Segue abaixo figura ilustrativa da constituição de uma </w:t>
      </w:r>
      <w:r w:rsidRPr="00531776">
        <w:rPr>
          <w:rFonts w:ascii="Times New Roman" w:hAnsi="Times New Roman"/>
          <w:i/>
          <w:sz w:val="24"/>
          <w:szCs w:val="24"/>
        </w:rPr>
        <w:t>rede de grupos econômico</w:t>
      </w:r>
      <w:r>
        <w:rPr>
          <w:rFonts w:ascii="Times New Roman" w:hAnsi="Times New Roman"/>
          <w:i/>
          <w:sz w:val="24"/>
          <w:szCs w:val="24"/>
        </w:rPr>
        <w:t>-financeiros</w:t>
      </w:r>
      <w:r>
        <w:rPr>
          <w:rFonts w:ascii="Times New Roman" w:hAnsi="Times New Roman"/>
          <w:sz w:val="24"/>
          <w:szCs w:val="24"/>
        </w:rPr>
        <w:t xml:space="preserve"> presentes no CDES durante o período 2003-20</w:t>
      </w:r>
      <w:r w:rsidR="001C1CC9">
        <w:rPr>
          <w:rFonts w:ascii="Times New Roman" w:hAnsi="Times New Roman"/>
          <w:sz w:val="24"/>
          <w:szCs w:val="24"/>
        </w:rPr>
        <w:t>10</w:t>
      </w:r>
      <w:r>
        <w:rPr>
          <w:rFonts w:ascii="Times New Roman" w:hAnsi="Times New Roman"/>
          <w:sz w:val="24"/>
          <w:szCs w:val="24"/>
        </w:rPr>
        <w:t>. A importância e o papel do BNDES na transnacionalização de grupos e firmas brasileiras serão retomados mais à frente.</w:t>
      </w:r>
    </w:p>
    <w:p w:rsidR="00FD610C" w:rsidRPr="00414D01" w:rsidRDefault="00FD610C" w:rsidP="00741284">
      <w:pPr>
        <w:tabs>
          <w:tab w:val="left" w:pos="0"/>
        </w:tabs>
        <w:spacing w:after="0" w:line="360" w:lineRule="auto"/>
        <w:jc w:val="center"/>
        <w:rPr>
          <w:rFonts w:ascii="Times New Roman" w:hAnsi="Times New Roman"/>
          <w:sz w:val="24"/>
          <w:szCs w:val="24"/>
        </w:rPr>
      </w:pPr>
      <w:r w:rsidRPr="00414D01">
        <w:rPr>
          <w:rFonts w:ascii="Times New Roman" w:hAnsi="Times New Roman"/>
          <w:b/>
          <w:sz w:val="24"/>
          <w:szCs w:val="24"/>
        </w:rPr>
        <w:t>Figura</w:t>
      </w:r>
      <w:r w:rsidR="00816762" w:rsidRPr="00414D01">
        <w:rPr>
          <w:rFonts w:ascii="Times New Roman" w:hAnsi="Times New Roman"/>
          <w:b/>
          <w:sz w:val="24"/>
          <w:szCs w:val="24"/>
        </w:rPr>
        <w:t xml:space="preserve"> 2.1 – Rede </w:t>
      </w:r>
      <w:r w:rsidR="008D648E" w:rsidRPr="00414D01">
        <w:rPr>
          <w:rFonts w:ascii="Times New Roman" w:hAnsi="Times New Roman"/>
          <w:b/>
          <w:sz w:val="24"/>
          <w:szCs w:val="24"/>
        </w:rPr>
        <w:t xml:space="preserve">representativa </w:t>
      </w:r>
      <w:r w:rsidR="00480F3B" w:rsidRPr="00414D01">
        <w:rPr>
          <w:rFonts w:ascii="Times New Roman" w:hAnsi="Times New Roman"/>
          <w:b/>
          <w:sz w:val="24"/>
          <w:szCs w:val="24"/>
        </w:rPr>
        <w:t>d</w:t>
      </w:r>
      <w:r w:rsidR="00FA6E74" w:rsidRPr="00414D01">
        <w:rPr>
          <w:rFonts w:ascii="Times New Roman" w:hAnsi="Times New Roman"/>
          <w:b/>
          <w:sz w:val="24"/>
          <w:szCs w:val="24"/>
        </w:rPr>
        <w:t>o Capital Financeiro</w:t>
      </w:r>
      <w:r w:rsidRPr="00414D01">
        <w:rPr>
          <w:rFonts w:ascii="Times New Roman" w:hAnsi="Times New Roman"/>
          <w:b/>
          <w:sz w:val="24"/>
          <w:szCs w:val="24"/>
        </w:rPr>
        <w:t xml:space="preserve"> no CDES (2003-20</w:t>
      </w:r>
      <w:r w:rsidR="00DD6B88" w:rsidRPr="00414D01">
        <w:rPr>
          <w:rFonts w:ascii="Times New Roman" w:hAnsi="Times New Roman"/>
          <w:b/>
          <w:sz w:val="24"/>
          <w:szCs w:val="24"/>
        </w:rPr>
        <w:t>10</w:t>
      </w:r>
      <w:r w:rsidRPr="00414D01">
        <w:rPr>
          <w:rFonts w:ascii="Times New Roman" w:hAnsi="Times New Roman"/>
          <w:b/>
          <w:sz w:val="24"/>
          <w:szCs w:val="24"/>
        </w:rPr>
        <w:t>)</w:t>
      </w:r>
    </w:p>
    <w:p w:rsidR="00FD610C" w:rsidRDefault="0018135C" w:rsidP="00FD610C">
      <w:pPr>
        <w:spacing w:after="0"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extent cx="5063490" cy="3582670"/>
            <wp:effectExtent l="19050" t="0" r="3810" b="0"/>
            <wp:docPr id="7" name="Imagem 1" descr="C:\Users\Andre\Downloads\arquivo tio andre NOVO (01 maru00E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Andre\Downloads\arquivo tio andre NOVO (01 maru00E7o).jpg"/>
                    <pic:cNvPicPr>
                      <a:picLocks noChangeAspect="1" noChangeArrowheads="1"/>
                    </pic:cNvPicPr>
                  </pic:nvPicPr>
                  <pic:blipFill>
                    <a:blip r:embed="rId19" cstate="print"/>
                    <a:srcRect/>
                    <a:stretch>
                      <a:fillRect/>
                    </a:stretch>
                  </pic:blipFill>
                  <pic:spPr bwMode="auto">
                    <a:xfrm>
                      <a:off x="0" y="0"/>
                      <a:ext cx="5063490" cy="3582670"/>
                    </a:xfrm>
                    <a:prstGeom prst="rect">
                      <a:avLst/>
                    </a:prstGeom>
                    <a:noFill/>
                    <a:ln w="9525">
                      <a:noFill/>
                      <a:miter lim="800000"/>
                      <a:headEnd/>
                      <a:tailEnd/>
                    </a:ln>
                  </pic:spPr>
                </pic:pic>
              </a:graphicData>
            </a:graphic>
          </wp:inline>
        </w:drawing>
      </w:r>
    </w:p>
    <w:p w:rsidR="00FD610C" w:rsidRDefault="00FD610C" w:rsidP="00FD610C">
      <w:pPr>
        <w:tabs>
          <w:tab w:val="left" w:pos="0"/>
        </w:tabs>
        <w:spacing w:line="240" w:lineRule="auto"/>
        <w:jc w:val="both"/>
        <w:rPr>
          <w:rFonts w:ascii="Times New Roman" w:hAnsi="Times New Roman"/>
          <w:sz w:val="24"/>
          <w:szCs w:val="24"/>
        </w:rPr>
      </w:pPr>
      <w:r w:rsidRPr="00480F3B">
        <w:rPr>
          <w:rFonts w:ascii="Times New Roman" w:hAnsi="Times New Roman"/>
          <w:b/>
          <w:sz w:val="18"/>
          <w:szCs w:val="18"/>
        </w:rPr>
        <w:t>Elaboração própria</w:t>
      </w:r>
      <w:r>
        <w:rPr>
          <w:rFonts w:ascii="Times New Roman" w:hAnsi="Times New Roman"/>
          <w:sz w:val="18"/>
          <w:szCs w:val="18"/>
        </w:rPr>
        <w:t xml:space="preserve">. </w:t>
      </w:r>
      <w:r w:rsidRPr="00A07273">
        <w:rPr>
          <w:rFonts w:ascii="Times New Roman" w:hAnsi="Times New Roman"/>
          <w:b/>
          <w:sz w:val="18"/>
          <w:szCs w:val="18"/>
        </w:rPr>
        <w:t>Fontes</w:t>
      </w:r>
      <w:r>
        <w:rPr>
          <w:rFonts w:ascii="Times New Roman" w:hAnsi="Times New Roman"/>
          <w:sz w:val="18"/>
          <w:szCs w:val="18"/>
        </w:rPr>
        <w:t xml:space="preserve">: LAZZARINI (2011); GAZETA MERCANTIL (2004); VALOR GRANDES GRUPOS (2004); ALMEIDA (2009); </w:t>
      </w:r>
      <w:r w:rsidR="003C5AFD">
        <w:rPr>
          <w:rFonts w:ascii="Times New Roman" w:hAnsi="Times New Roman"/>
          <w:sz w:val="18"/>
          <w:szCs w:val="18"/>
        </w:rPr>
        <w:t>ZIB</w:t>
      </w:r>
      <w:r w:rsidR="00480F3B">
        <w:rPr>
          <w:rFonts w:ascii="Times New Roman" w:hAnsi="Times New Roman"/>
          <w:sz w:val="18"/>
          <w:szCs w:val="18"/>
        </w:rPr>
        <w:t>E</w:t>
      </w:r>
      <w:r w:rsidR="003C5AFD">
        <w:rPr>
          <w:rFonts w:ascii="Times New Roman" w:hAnsi="Times New Roman"/>
          <w:sz w:val="18"/>
          <w:szCs w:val="18"/>
        </w:rPr>
        <w:t xml:space="preserve">CHI (2012). </w:t>
      </w:r>
      <w:r>
        <w:rPr>
          <w:rFonts w:ascii="Times New Roman" w:hAnsi="Times New Roman"/>
          <w:sz w:val="18"/>
          <w:szCs w:val="18"/>
        </w:rPr>
        <w:t xml:space="preserve">Sites da internet como o do CDES, do CADE e do BNDES. </w:t>
      </w:r>
      <w:r>
        <w:rPr>
          <w:rFonts w:ascii="Times New Roman" w:hAnsi="Times New Roman"/>
          <w:sz w:val="24"/>
          <w:szCs w:val="24"/>
        </w:rPr>
        <w:tab/>
      </w:r>
    </w:p>
    <w:p w:rsidR="00252F7C" w:rsidRDefault="00FD610C" w:rsidP="008D648E">
      <w:pPr>
        <w:tabs>
          <w:tab w:val="left" w:pos="0"/>
        </w:tabs>
        <w:spacing w:before="240" w:after="0" w:line="360" w:lineRule="auto"/>
        <w:jc w:val="both"/>
        <w:rPr>
          <w:rFonts w:ascii="Times New Roman" w:hAnsi="Times New Roman"/>
          <w:sz w:val="24"/>
          <w:szCs w:val="24"/>
        </w:rPr>
      </w:pPr>
      <w:r>
        <w:rPr>
          <w:rFonts w:ascii="Times New Roman" w:hAnsi="Times New Roman"/>
          <w:sz w:val="24"/>
          <w:szCs w:val="24"/>
        </w:rPr>
        <w:tab/>
      </w:r>
      <w:r w:rsidR="00252F7C">
        <w:rPr>
          <w:rFonts w:ascii="Times New Roman" w:hAnsi="Times New Roman"/>
          <w:sz w:val="24"/>
          <w:szCs w:val="24"/>
        </w:rPr>
        <w:t xml:space="preserve">Com exceção do Grupo Camargo Corrêa, todos os demais Grupos Econômicos e firmas que compõem a rede corporativa estavam representados no CDES. Seja através de participações acionárias diretas (compra de ações ordinárias), seja por participações acionárias indiretas (por exemplo, Gerdau, CVRD e CSN mantiveram vínculos indiretos resultante de participação acionária conjunta na MRS Logística), seja por conexões advindas da atuação em Conselhos de Administração, </w:t>
      </w:r>
      <w:r w:rsidR="001C1CC9">
        <w:rPr>
          <w:rFonts w:ascii="Times New Roman" w:hAnsi="Times New Roman"/>
          <w:sz w:val="24"/>
          <w:szCs w:val="24"/>
        </w:rPr>
        <w:t xml:space="preserve">havia </w:t>
      </w:r>
      <w:r w:rsidR="00252F7C" w:rsidRPr="003C5AFD">
        <w:rPr>
          <w:rFonts w:ascii="Times New Roman" w:hAnsi="Times New Roman"/>
          <w:i/>
          <w:sz w:val="24"/>
          <w:szCs w:val="24"/>
        </w:rPr>
        <w:t>forte entrelaçamento</w:t>
      </w:r>
      <w:r w:rsidR="00252F7C">
        <w:rPr>
          <w:rFonts w:ascii="Times New Roman" w:hAnsi="Times New Roman"/>
          <w:sz w:val="24"/>
          <w:szCs w:val="24"/>
        </w:rPr>
        <w:t xml:space="preserve"> entre agentes econômicos representados no CDES no mundo corporativo. </w:t>
      </w:r>
      <w:r w:rsidR="001C1CC9">
        <w:rPr>
          <w:rFonts w:ascii="Times New Roman" w:hAnsi="Times New Roman"/>
          <w:sz w:val="24"/>
          <w:szCs w:val="24"/>
        </w:rPr>
        <w:t xml:space="preserve">Três </w:t>
      </w:r>
      <w:r w:rsidR="001C1CC9">
        <w:rPr>
          <w:rFonts w:ascii="Times New Roman" w:hAnsi="Times New Roman"/>
          <w:i/>
          <w:sz w:val="24"/>
          <w:szCs w:val="24"/>
        </w:rPr>
        <w:t xml:space="preserve">atores de ligação </w:t>
      </w:r>
      <w:r w:rsidR="001C1CC9">
        <w:rPr>
          <w:rFonts w:ascii="Times New Roman" w:hAnsi="Times New Roman"/>
          <w:sz w:val="24"/>
          <w:szCs w:val="24"/>
        </w:rPr>
        <w:t xml:space="preserve">detinham </w:t>
      </w:r>
      <w:r w:rsidR="00252F7C">
        <w:rPr>
          <w:rFonts w:ascii="Times New Roman" w:hAnsi="Times New Roman"/>
          <w:sz w:val="24"/>
          <w:szCs w:val="24"/>
        </w:rPr>
        <w:t xml:space="preserve">centralidade na rede: o Bradespar, o BNDES e o fundo de pensão PREVI. </w:t>
      </w:r>
      <w:r w:rsidR="001C1CC9">
        <w:rPr>
          <w:rFonts w:ascii="Times New Roman" w:hAnsi="Times New Roman"/>
          <w:sz w:val="24"/>
          <w:szCs w:val="24"/>
        </w:rPr>
        <w:t>Eram</w:t>
      </w:r>
      <w:r w:rsidR="00252F7C">
        <w:rPr>
          <w:rFonts w:ascii="Times New Roman" w:hAnsi="Times New Roman"/>
          <w:sz w:val="24"/>
          <w:szCs w:val="24"/>
        </w:rPr>
        <w:t xml:space="preserve"> responsáveis pela conexão com os demais agentes devido às posições estratégicas que ocupavam, ou seja, como investidores e/ou prestamistas detentores de fabulosos recursos, permitindo-lhes ter mais contatos, laços ou conexões.</w:t>
      </w:r>
    </w:p>
    <w:p w:rsidR="00252F7C" w:rsidRPr="00414D01" w:rsidRDefault="00480F3B" w:rsidP="00252F7C">
      <w:pPr>
        <w:tabs>
          <w:tab w:val="left" w:pos="0"/>
        </w:tabs>
        <w:spacing w:after="0" w:line="360" w:lineRule="auto"/>
        <w:jc w:val="both"/>
        <w:rPr>
          <w:rFonts w:ascii="Times New Roman" w:hAnsi="Times New Roman"/>
          <w:sz w:val="24"/>
          <w:szCs w:val="24"/>
        </w:rPr>
      </w:pPr>
      <w:r>
        <w:rPr>
          <w:rFonts w:ascii="Times New Roman" w:hAnsi="Times New Roman"/>
          <w:color w:val="FF0000"/>
          <w:sz w:val="24"/>
          <w:szCs w:val="24"/>
        </w:rPr>
        <w:tab/>
      </w:r>
      <w:r w:rsidR="00252F7C" w:rsidRPr="00414D01">
        <w:rPr>
          <w:rFonts w:ascii="Times New Roman" w:hAnsi="Times New Roman"/>
          <w:sz w:val="24"/>
          <w:szCs w:val="24"/>
        </w:rPr>
        <w:t xml:space="preserve">As interpenetrações de capitais mostradas pela pesquisa apontam para a consolidação de um </w:t>
      </w:r>
      <w:r w:rsidR="00252F7C" w:rsidRPr="00414D01">
        <w:rPr>
          <w:rFonts w:ascii="Times New Roman" w:hAnsi="Times New Roman"/>
          <w:i/>
          <w:sz w:val="24"/>
          <w:szCs w:val="24"/>
        </w:rPr>
        <w:t>autêntico capital financeiro</w:t>
      </w:r>
      <w:r w:rsidR="00252F7C" w:rsidRPr="00414D01">
        <w:rPr>
          <w:rFonts w:ascii="Times New Roman" w:hAnsi="Times New Roman"/>
          <w:sz w:val="24"/>
          <w:szCs w:val="24"/>
        </w:rPr>
        <w:t xml:space="preserve"> (ou união íntima entre o capital monetário e o capital produtor de valor sob o predomínio do primeiro) </w:t>
      </w:r>
      <w:r w:rsidR="00100553" w:rsidRPr="00414D01">
        <w:rPr>
          <w:rFonts w:ascii="Times New Roman" w:hAnsi="Times New Roman"/>
          <w:sz w:val="24"/>
          <w:szCs w:val="24"/>
        </w:rPr>
        <w:t>representado n</w:t>
      </w:r>
      <w:r w:rsidR="00252F7C" w:rsidRPr="00414D01">
        <w:rPr>
          <w:rFonts w:ascii="Times New Roman" w:hAnsi="Times New Roman"/>
          <w:sz w:val="24"/>
          <w:szCs w:val="24"/>
        </w:rPr>
        <w:t>o Conselho. Dadas as limitações do objeto desta tese, não averiguamos detalhadamente esta “união íntima”. Não obstante, vale lembrar que Lênin</w:t>
      </w:r>
      <w:r w:rsidR="00261E64" w:rsidRPr="00414D01">
        <w:rPr>
          <w:rFonts w:ascii="Times New Roman" w:hAnsi="Times New Roman"/>
          <w:sz w:val="24"/>
          <w:szCs w:val="24"/>
        </w:rPr>
        <w:t>, em 1916,</w:t>
      </w:r>
      <w:r w:rsidR="001C1CC9">
        <w:rPr>
          <w:rFonts w:ascii="Times New Roman" w:hAnsi="Times New Roman"/>
          <w:sz w:val="24"/>
          <w:szCs w:val="24"/>
        </w:rPr>
        <w:t>apanhou</w:t>
      </w:r>
      <w:r w:rsidR="00261E64" w:rsidRPr="00414D01">
        <w:rPr>
          <w:rFonts w:ascii="Times New Roman" w:hAnsi="Times New Roman"/>
          <w:sz w:val="24"/>
          <w:szCs w:val="24"/>
        </w:rPr>
        <w:t xml:space="preserve"> com exatidão a constituição da fusão entre o capital monetário e funcionante:</w:t>
      </w:r>
    </w:p>
    <w:p w:rsidR="00261E64" w:rsidRPr="00414D01" w:rsidRDefault="00261E64" w:rsidP="00261E64">
      <w:pPr>
        <w:spacing w:after="0" w:line="240" w:lineRule="auto"/>
        <w:ind w:left="2268"/>
        <w:jc w:val="both"/>
        <w:rPr>
          <w:rFonts w:ascii="Times New Roman" w:hAnsi="Times New Roman"/>
          <w:sz w:val="24"/>
          <w:szCs w:val="24"/>
        </w:rPr>
      </w:pPr>
    </w:p>
    <w:p w:rsidR="00392F17" w:rsidRPr="00414D01" w:rsidRDefault="00392F17" w:rsidP="00392F17">
      <w:pPr>
        <w:spacing w:after="0" w:line="240" w:lineRule="auto"/>
        <w:ind w:left="2268"/>
        <w:jc w:val="both"/>
        <w:rPr>
          <w:rFonts w:ascii="Times New Roman" w:hAnsi="Times New Roman"/>
          <w:sz w:val="20"/>
          <w:szCs w:val="20"/>
        </w:rPr>
      </w:pPr>
      <w:r w:rsidRPr="00414D01">
        <w:rPr>
          <w:rFonts w:ascii="Times New Roman" w:hAnsi="Times New Roman"/>
          <w:sz w:val="20"/>
          <w:szCs w:val="20"/>
        </w:rPr>
        <w:t>Quanto à estreita relação existente entre bancos e a indústria, é precisamente nesta esfera que se manifesta (...) o novo papel dos bancos. Se o banco desconta as letras de um empresário, abre-lhe conta corrente, etc., essas operações, consideradas isoladamente, não diminuem em nada a independência do referido empresário, e o banco não passa de um modesto intermediário. Mas se essas operações se tornam cada vez mais freq</w:t>
      </w:r>
      <w:r w:rsidR="005913F9">
        <w:rPr>
          <w:rFonts w:ascii="Times New Roman" w:hAnsi="Times New Roman"/>
          <w:sz w:val="20"/>
          <w:szCs w:val="20"/>
        </w:rPr>
        <w:t>u</w:t>
      </w:r>
      <w:r w:rsidRPr="00414D01">
        <w:rPr>
          <w:rFonts w:ascii="Times New Roman" w:hAnsi="Times New Roman"/>
          <w:sz w:val="20"/>
          <w:szCs w:val="20"/>
        </w:rPr>
        <w:t>entes e mais firmes, se o banco “reúne” nas suas mãos capitais imensos, se as contas correntes de uma empresa permitem ao banco – e é assim que acontece – conhecer, de modo cada vez mais pormenorizado e completo, a situação econômica do seu cliente, o resultado é uma dependência cada vez mais completa do capitalista industrial em relação ao banco.</w:t>
      </w:r>
    </w:p>
    <w:p w:rsidR="00392F17" w:rsidRPr="00414D01" w:rsidRDefault="00392F17" w:rsidP="00392F17">
      <w:pPr>
        <w:spacing w:after="0" w:line="240" w:lineRule="auto"/>
        <w:ind w:left="2268"/>
        <w:jc w:val="both"/>
        <w:rPr>
          <w:rFonts w:ascii="Times New Roman" w:hAnsi="Times New Roman"/>
          <w:sz w:val="24"/>
          <w:szCs w:val="24"/>
        </w:rPr>
      </w:pPr>
      <w:r w:rsidRPr="00414D01">
        <w:rPr>
          <w:rFonts w:ascii="Times New Roman" w:hAnsi="Times New Roman"/>
          <w:sz w:val="20"/>
          <w:szCs w:val="20"/>
        </w:rPr>
        <w:t>Simultaneamente, desenvolve-se, por assim dizer, a união pessoal dos bancos com as maiores empresas industriais e comerciais, a fusão de uns com as outras mediante a posse de ações, mediante a participação dos diretores dos bancos nos conselhos de supervisão (ou de administração) das empresas industriais e comerciais, e vice-versa.</w:t>
      </w:r>
      <w:r w:rsidRPr="00414D01">
        <w:rPr>
          <w:rStyle w:val="Refdenotaderodap"/>
          <w:rFonts w:ascii="Times New Roman" w:hAnsi="Times New Roman"/>
          <w:sz w:val="20"/>
          <w:szCs w:val="20"/>
        </w:rPr>
        <w:footnoteReference w:id="303"/>
      </w:r>
    </w:p>
    <w:p w:rsidR="00252F7C" w:rsidRPr="00414D01" w:rsidRDefault="00252F7C" w:rsidP="00252F7C">
      <w:pPr>
        <w:tabs>
          <w:tab w:val="left" w:pos="0"/>
        </w:tabs>
        <w:spacing w:after="0" w:line="360" w:lineRule="auto"/>
        <w:jc w:val="both"/>
        <w:rPr>
          <w:rFonts w:ascii="Times New Roman" w:hAnsi="Times New Roman"/>
          <w:sz w:val="24"/>
          <w:szCs w:val="24"/>
        </w:rPr>
      </w:pPr>
    </w:p>
    <w:p w:rsidR="00252F7C" w:rsidRPr="00414D01" w:rsidRDefault="00392F17" w:rsidP="00905591">
      <w:pPr>
        <w:tabs>
          <w:tab w:val="left" w:pos="0"/>
        </w:tabs>
        <w:spacing w:line="360" w:lineRule="auto"/>
        <w:jc w:val="both"/>
        <w:rPr>
          <w:rFonts w:ascii="Times New Roman" w:hAnsi="Times New Roman"/>
          <w:sz w:val="24"/>
          <w:szCs w:val="24"/>
        </w:rPr>
      </w:pPr>
      <w:r w:rsidRPr="00414D01">
        <w:rPr>
          <w:rFonts w:ascii="Times New Roman" w:hAnsi="Times New Roman"/>
          <w:sz w:val="24"/>
          <w:szCs w:val="24"/>
        </w:rPr>
        <w:tab/>
      </w:r>
      <w:r w:rsidR="00741284" w:rsidRPr="00414D01">
        <w:rPr>
          <w:rFonts w:ascii="Times New Roman" w:hAnsi="Times New Roman"/>
          <w:sz w:val="24"/>
          <w:szCs w:val="24"/>
        </w:rPr>
        <w:t xml:space="preserve">A definição de Lênin de capital financeiro </w:t>
      </w:r>
      <w:r w:rsidR="00EB7E82" w:rsidRPr="00414D01">
        <w:rPr>
          <w:rFonts w:ascii="Times New Roman" w:hAnsi="Times New Roman"/>
          <w:sz w:val="24"/>
          <w:szCs w:val="24"/>
        </w:rPr>
        <w:t>expressa</w:t>
      </w:r>
      <w:r w:rsidR="004A0429" w:rsidRPr="00414D01">
        <w:rPr>
          <w:rFonts w:ascii="Times New Roman" w:hAnsi="Times New Roman"/>
          <w:sz w:val="24"/>
          <w:szCs w:val="24"/>
        </w:rPr>
        <w:t xml:space="preserve">, a nosso ver, a culminação das interpenetrações de capitais </w:t>
      </w:r>
      <w:r w:rsidR="006B080F" w:rsidRPr="00414D01">
        <w:rPr>
          <w:rFonts w:ascii="Times New Roman" w:hAnsi="Times New Roman"/>
          <w:sz w:val="24"/>
          <w:szCs w:val="24"/>
        </w:rPr>
        <w:t xml:space="preserve">que </w:t>
      </w:r>
      <w:r w:rsidR="00F83758" w:rsidRPr="00414D01">
        <w:rPr>
          <w:rFonts w:ascii="Times New Roman" w:hAnsi="Times New Roman"/>
          <w:sz w:val="24"/>
          <w:szCs w:val="24"/>
        </w:rPr>
        <w:t>estamos</w:t>
      </w:r>
      <w:r w:rsidR="006B080F" w:rsidRPr="00414D01">
        <w:rPr>
          <w:rFonts w:ascii="Times New Roman" w:hAnsi="Times New Roman"/>
          <w:sz w:val="24"/>
          <w:szCs w:val="24"/>
        </w:rPr>
        <w:t xml:space="preserve"> mostrando ao longo de</w:t>
      </w:r>
      <w:r w:rsidR="00741284" w:rsidRPr="00414D01">
        <w:rPr>
          <w:rFonts w:ascii="Times New Roman" w:hAnsi="Times New Roman"/>
          <w:sz w:val="24"/>
          <w:szCs w:val="24"/>
        </w:rPr>
        <w:t xml:space="preserve"> todo este capítulo</w:t>
      </w:r>
      <w:r w:rsidR="006B080F" w:rsidRPr="00414D01">
        <w:rPr>
          <w:rFonts w:ascii="Times New Roman" w:hAnsi="Times New Roman"/>
          <w:sz w:val="24"/>
          <w:szCs w:val="24"/>
        </w:rPr>
        <w:t xml:space="preserve">. Não se trata apenas de uma interpenetração entre os setores do capital produtivo de valor, mas, principalmente, de como este </w:t>
      </w:r>
      <w:r w:rsidR="000034F6" w:rsidRPr="00414D01">
        <w:rPr>
          <w:rFonts w:ascii="Times New Roman" w:hAnsi="Times New Roman"/>
          <w:sz w:val="24"/>
          <w:szCs w:val="24"/>
        </w:rPr>
        <w:t>e</w:t>
      </w:r>
      <w:r w:rsidR="006B080F" w:rsidRPr="00414D01">
        <w:rPr>
          <w:rFonts w:ascii="Times New Roman" w:hAnsi="Times New Roman"/>
          <w:sz w:val="24"/>
          <w:szCs w:val="24"/>
        </w:rPr>
        <w:t>ntrelaçamento está atravessado</w:t>
      </w:r>
      <w:r w:rsidR="000034F6" w:rsidRPr="00414D01">
        <w:rPr>
          <w:rFonts w:ascii="Times New Roman" w:hAnsi="Times New Roman"/>
          <w:sz w:val="24"/>
          <w:szCs w:val="24"/>
        </w:rPr>
        <w:t xml:space="preserve"> pela direção e impulsionamento de </w:t>
      </w:r>
      <w:r w:rsidR="006B080F" w:rsidRPr="00414D01">
        <w:rPr>
          <w:rFonts w:ascii="Times New Roman" w:hAnsi="Times New Roman"/>
          <w:sz w:val="24"/>
          <w:szCs w:val="24"/>
        </w:rPr>
        <w:t xml:space="preserve">volumes maciços de capitais das distintas formas de </w:t>
      </w:r>
      <w:r w:rsidR="000034F6" w:rsidRPr="00414D01">
        <w:rPr>
          <w:rFonts w:ascii="Times New Roman" w:hAnsi="Times New Roman"/>
          <w:sz w:val="24"/>
          <w:szCs w:val="24"/>
        </w:rPr>
        <w:t>atividades do</w:t>
      </w:r>
      <w:r w:rsidR="006B080F" w:rsidRPr="00414D01">
        <w:rPr>
          <w:rFonts w:ascii="Times New Roman" w:hAnsi="Times New Roman"/>
          <w:sz w:val="24"/>
          <w:szCs w:val="24"/>
        </w:rPr>
        <w:t xml:space="preserve"> capital monetário ou portador de juros</w:t>
      </w:r>
      <w:r w:rsidR="00905591" w:rsidRPr="00414D01">
        <w:rPr>
          <w:rFonts w:ascii="Times New Roman" w:hAnsi="Times New Roman"/>
          <w:sz w:val="24"/>
          <w:szCs w:val="24"/>
        </w:rPr>
        <w:t xml:space="preserve"> através de </w:t>
      </w:r>
      <w:r w:rsidR="006B080F" w:rsidRPr="00414D01">
        <w:rPr>
          <w:rFonts w:ascii="Times New Roman" w:hAnsi="Times New Roman"/>
          <w:sz w:val="24"/>
          <w:szCs w:val="24"/>
        </w:rPr>
        <w:t xml:space="preserve">bancos, </w:t>
      </w:r>
      <w:r w:rsidR="000034F6" w:rsidRPr="00414D01">
        <w:rPr>
          <w:rFonts w:ascii="Times New Roman" w:hAnsi="Times New Roman"/>
          <w:sz w:val="24"/>
          <w:szCs w:val="24"/>
        </w:rPr>
        <w:t xml:space="preserve">fundos de pensão, empresas </w:t>
      </w:r>
      <w:r w:rsidR="006B080F" w:rsidRPr="00414D01">
        <w:rPr>
          <w:rFonts w:ascii="Times New Roman" w:hAnsi="Times New Roman"/>
          <w:sz w:val="24"/>
          <w:szCs w:val="24"/>
        </w:rPr>
        <w:t xml:space="preserve">seguradoras, corretoras, </w:t>
      </w:r>
      <w:r w:rsidR="000034F6" w:rsidRPr="00414D01">
        <w:rPr>
          <w:rFonts w:ascii="Times New Roman" w:hAnsi="Times New Roman"/>
          <w:sz w:val="24"/>
          <w:szCs w:val="24"/>
        </w:rPr>
        <w:t xml:space="preserve">de câmbio, </w:t>
      </w:r>
      <w:r w:rsidR="00905591" w:rsidRPr="00414D01">
        <w:rPr>
          <w:rFonts w:ascii="Times New Roman" w:hAnsi="Times New Roman"/>
          <w:sz w:val="24"/>
          <w:szCs w:val="24"/>
        </w:rPr>
        <w:t>de crédito, investimentos em títulos da dívida pública, etc</w:t>
      </w:r>
      <w:r w:rsidR="00EB7E82" w:rsidRPr="00414D01">
        <w:rPr>
          <w:rFonts w:ascii="Times New Roman" w:hAnsi="Times New Roman"/>
          <w:sz w:val="24"/>
          <w:szCs w:val="24"/>
        </w:rPr>
        <w:t>.</w:t>
      </w:r>
    </w:p>
    <w:p w:rsidR="00FD610C" w:rsidRDefault="00EB7E82" w:rsidP="005B19F1">
      <w:pPr>
        <w:tabs>
          <w:tab w:val="left" w:pos="0"/>
        </w:tabs>
        <w:jc w:val="both"/>
        <w:rPr>
          <w:rFonts w:ascii="Times New Roman" w:hAnsi="Times New Roman"/>
          <w:b/>
          <w:sz w:val="24"/>
          <w:szCs w:val="24"/>
        </w:rPr>
      </w:pPr>
      <w:r>
        <w:rPr>
          <w:rFonts w:ascii="Times New Roman" w:hAnsi="Times New Roman"/>
          <w:color w:val="FF0000"/>
          <w:sz w:val="24"/>
          <w:szCs w:val="24"/>
        </w:rPr>
        <w:tab/>
      </w:r>
      <w:r w:rsidR="00774149">
        <w:rPr>
          <w:rFonts w:ascii="Times New Roman" w:hAnsi="Times New Roman"/>
          <w:b/>
          <w:sz w:val="24"/>
          <w:szCs w:val="24"/>
        </w:rPr>
        <w:t>2.3.</w:t>
      </w:r>
      <w:r w:rsidR="00DE37D0">
        <w:rPr>
          <w:rFonts w:ascii="Times New Roman" w:hAnsi="Times New Roman"/>
          <w:b/>
          <w:sz w:val="24"/>
          <w:szCs w:val="24"/>
        </w:rPr>
        <w:t>4</w:t>
      </w:r>
      <w:r w:rsidR="00FD610C">
        <w:rPr>
          <w:rFonts w:ascii="Times New Roman" w:hAnsi="Times New Roman"/>
          <w:b/>
          <w:sz w:val="24"/>
          <w:szCs w:val="24"/>
        </w:rPr>
        <w:t>.3 – As vinculações de conselheirosem associações</w:t>
      </w:r>
      <w:r w:rsidR="00816762">
        <w:rPr>
          <w:rFonts w:ascii="Times New Roman" w:hAnsi="Times New Roman"/>
          <w:b/>
          <w:sz w:val="24"/>
          <w:szCs w:val="24"/>
        </w:rPr>
        <w:t xml:space="preserve"> empresariais</w:t>
      </w:r>
      <w:r w:rsidR="00FD610C">
        <w:rPr>
          <w:rFonts w:ascii="Times New Roman" w:hAnsi="Times New Roman"/>
          <w:b/>
          <w:sz w:val="24"/>
          <w:szCs w:val="24"/>
        </w:rPr>
        <w:t xml:space="preserve"> não </w:t>
      </w:r>
      <w:r w:rsidR="00816762">
        <w:rPr>
          <w:rFonts w:ascii="Times New Roman" w:hAnsi="Times New Roman"/>
          <w:b/>
          <w:sz w:val="24"/>
          <w:szCs w:val="24"/>
        </w:rPr>
        <w:t>bancárias</w:t>
      </w:r>
      <w:r w:rsidR="00FD610C">
        <w:rPr>
          <w:rFonts w:ascii="Times New Roman" w:hAnsi="Times New Roman"/>
          <w:b/>
          <w:sz w:val="24"/>
          <w:szCs w:val="24"/>
        </w:rPr>
        <w:t xml:space="preserve"> da sociedade civil </w:t>
      </w:r>
    </w:p>
    <w:p w:rsidR="007A4DA4" w:rsidRPr="00414D01" w:rsidRDefault="00A24FF3" w:rsidP="004651D0">
      <w:pPr>
        <w:pStyle w:val="NormalWeb"/>
        <w:spacing w:before="240" w:beforeAutospacing="0" w:after="240" w:afterAutospacing="0" w:line="360" w:lineRule="auto"/>
        <w:ind w:firstLine="708"/>
        <w:jc w:val="both"/>
      </w:pPr>
      <w:r>
        <w:t>Como vimos, o</w:t>
      </w:r>
      <w:r w:rsidR="007A4DA4" w:rsidRPr="00414D01">
        <w:t xml:space="preserve"> s</w:t>
      </w:r>
      <w:r w:rsidR="00BC47CB" w:rsidRPr="00414D01">
        <w:t xml:space="preserve">etor </w:t>
      </w:r>
      <w:r w:rsidR="007A4DA4" w:rsidRPr="00414D01">
        <w:t>produtivo de valor, neste caso representado por conselheiros cujas ativ</w:t>
      </w:r>
      <w:r w:rsidR="00F83758" w:rsidRPr="00414D01">
        <w:t>idades de seus grupos e firmas entrelaçavam-se às várias outras</w:t>
      </w:r>
      <w:r w:rsidR="007A4DA4" w:rsidRPr="00414D01">
        <w:t xml:space="preserve"> atividades </w:t>
      </w:r>
      <w:r w:rsidR="00F83758" w:rsidRPr="00414D01">
        <w:t xml:space="preserve">para além das principais, </w:t>
      </w:r>
      <w:r w:rsidR="007A4DA4" w:rsidRPr="00414D01">
        <w:t>se expandia em direção às atividades bancárias e financeiras não bancárias</w:t>
      </w:r>
      <w:r w:rsidR="00AE4130">
        <w:t>. Esses conselheiros n</w:t>
      </w:r>
      <w:r>
        <w:t>ão eram banqueiro</w:t>
      </w:r>
      <w:r w:rsidR="00AE4130">
        <w:t xml:space="preserve">s </w:t>
      </w:r>
      <w:r w:rsidR="00AE4130">
        <w:rPr>
          <w:i/>
        </w:rPr>
        <w:t>par excellence</w:t>
      </w:r>
      <w:r w:rsidR="00AE4130">
        <w:t xml:space="preserve">: credenciavam-se como </w:t>
      </w:r>
      <w:r w:rsidR="00AE4130" w:rsidRPr="00414D01">
        <w:t>membros ou organizadores dos aparelhos privados de hegemonia empresariais do capital industrial</w:t>
      </w:r>
      <w:r w:rsidR="00AE4130">
        <w:t>(produtor de valor),</w:t>
      </w:r>
      <w:r>
        <w:t xml:space="preserve"> mas </w:t>
      </w:r>
      <w:r w:rsidR="00AE4130">
        <w:t xml:space="preserve">também </w:t>
      </w:r>
      <w:r>
        <w:t xml:space="preserve">se </w:t>
      </w:r>
      <w:r w:rsidR="00AE4130">
        <w:t>conectavam</w:t>
      </w:r>
      <w:r>
        <w:t xml:space="preserve"> ao setor bancário e financeiro não bancário</w:t>
      </w:r>
      <w:r w:rsidR="00AE4130">
        <w:t>, não pela via associativa, mas através da ramificação de seus negócios e/ou investimentos.</w:t>
      </w:r>
      <w:r w:rsidR="008631A0">
        <w:t xml:space="preserve">Onze </w:t>
      </w:r>
      <w:r w:rsidR="004651D0" w:rsidRPr="00414D01">
        <w:t>conselheiros</w:t>
      </w:r>
      <w:r w:rsidR="00AE4130">
        <w:t xml:space="preserve">-empresáriosdo capital industrial </w:t>
      </w:r>
      <w:r w:rsidR="00AE175F">
        <w:t>co</w:t>
      </w:r>
      <w:r w:rsidR="004651D0" w:rsidRPr="00414D01">
        <w:t>ligados aos bancos ou a setores financeiros não bancários</w:t>
      </w:r>
      <w:r w:rsidR="00AE4130">
        <w:t xml:space="preserve"> organizavam</w:t>
      </w:r>
      <w:r w:rsidR="004651D0" w:rsidRPr="00414D01">
        <w:t xml:space="preserve"> nas mais destacadas entidades dos setores industrial e comercial, </w:t>
      </w:r>
      <w:r w:rsidR="008669CC" w:rsidRPr="00414D01">
        <w:t xml:space="preserve"> como mostra o quadro abaixo:</w:t>
      </w:r>
    </w:p>
    <w:p w:rsidR="00FD610C" w:rsidRDefault="00FD610C" w:rsidP="00FD610C">
      <w:pPr>
        <w:tabs>
          <w:tab w:val="left" w:pos="2418"/>
        </w:tabs>
        <w:jc w:val="center"/>
        <w:rPr>
          <w:rFonts w:ascii="Times New Roman" w:hAnsi="Times New Roman"/>
          <w:b/>
          <w:sz w:val="24"/>
          <w:szCs w:val="24"/>
        </w:rPr>
      </w:pPr>
      <w:r w:rsidRPr="005E37B7">
        <w:rPr>
          <w:rFonts w:ascii="Times New Roman" w:hAnsi="Times New Roman"/>
          <w:b/>
          <w:sz w:val="24"/>
          <w:szCs w:val="24"/>
        </w:rPr>
        <w:t xml:space="preserve">Quadro </w:t>
      </w:r>
      <w:r>
        <w:rPr>
          <w:rFonts w:ascii="Times New Roman" w:hAnsi="Times New Roman"/>
          <w:b/>
          <w:sz w:val="24"/>
          <w:szCs w:val="24"/>
        </w:rPr>
        <w:t xml:space="preserve">2.17–A presença de conselheiros </w:t>
      </w:r>
      <w:r w:rsidR="00AE4130">
        <w:rPr>
          <w:rFonts w:ascii="Times New Roman" w:hAnsi="Times New Roman"/>
          <w:b/>
          <w:sz w:val="24"/>
          <w:szCs w:val="24"/>
        </w:rPr>
        <w:t>conectados</w:t>
      </w:r>
      <w:r>
        <w:rPr>
          <w:rFonts w:ascii="Times New Roman" w:hAnsi="Times New Roman"/>
          <w:b/>
          <w:sz w:val="24"/>
          <w:szCs w:val="24"/>
        </w:rPr>
        <w:t xml:space="preserve"> ao setor </w:t>
      </w:r>
      <w:r w:rsidR="00FD76F0">
        <w:rPr>
          <w:rFonts w:ascii="Times New Roman" w:hAnsi="Times New Roman"/>
          <w:b/>
          <w:sz w:val="24"/>
          <w:szCs w:val="24"/>
        </w:rPr>
        <w:t>bancário</w:t>
      </w:r>
      <w:r w:rsidR="007F5D0A">
        <w:rPr>
          <w:rFonts w:ascii="Times New Roman" w:hAnsi="Times New Roman"/>
          <w:b/>
          <w:sz w:val="24"/>
          <w:szCs w:val="24"/>
        </w:rPr>
        <w:t xml:space="preserve"> e financeiro não bancário</w:t>
      </w:r>
      <w:r>
        <w:rPr>
          <w:rFonts w:ascii="Times New Roman" w:hAnsi="Times New Roman"/>
          <w:b/>
          <w:sz w:val="24"/>
          <w:szCs w:val="24"/>
        </w:rPr>
        <w:t xml:space="preserve"> em entidades industriais e comerciais</w:t>
      </w:r>
    </w:p>
    <w:tbl>
      <w:tblPr>
        <w:tblW w:w="4875"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568"/>
        <w:gridCol w:w="5886"/>
        <w:gridCol w:w="601"/>
      </w:tblGrid>
      <w:tr w:rsidR="00FD610C" w:rsidRPr="008211FD" w:rsidTr="00CE3680">
        <w:tc>
          <w:tcPr>
            <w:tcW w:w="1418" w:type="pct"/>
            <w:tcBorders>
              <w:top w:val="single" w:sz="8" w:space="0" w:color="4F81BD"/>
              <w:left w:val="single" w:sz="8" w:space="0" w:color="4F81BD"/>
              <w:bottom w:val="single" w:sz="1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Entidades Industriais e Comerciais</w:t>
            </w:r>
          </w:p>
        </w:tc>
        <w:tc>
          <w:tcPr>
            <w:tcW w:w="3250" w:type="pct"/>
            <w:tcBorders>
              <w:top w:val="single" w:sz="8" w:space="0" w:color="4F81BD"/>
              <w:left w:val="single" w:sz="8" w:space="0" w:color="4F81BD"/>
              <w:bottom w:val="single" w:sz="1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Conselheiros</w:t>
            </w:r>
          </w:p>
        </w:tc>
        <w:tc>
          <w:tcPr>
            <w:tcW w:w="332" w:type="pct"/>
            <w:tcBorders>
              <w:top w:val="single" w:sz="8" w:space="0" w:color="4F81BD"/>
              <w:left w:val="single" w:sz="8" w:space="0" w:color="4F81BD"/>
              <w:bottom w:val="single" w:sz="18" w:space="0" w:color="4F81BD"/>
              <w:right w:val="single" w:sz="8" w:space="0" w:color="4F81BD"/>
            </w:tcBorders>
          </w:tcPr>
          <w:p w:rsidR="00FD610C" w:rsidRPr="008211FD" w:rsidRDefault="00FD610C" w:rsidP="00CE3680">
            <w:pPr>
              <w:spacing w:after="0" w:line="240" w:lineRule="auto"/>
              <w:ind w:firstLine="23"/>
              <w:rPr>
                <w:rFonts w:ascii="Times New Roman" w:eastAsia="Times New Roman" w:hAnsi="Times New Roman"/>
                <w:b/>
                <w:bCs/>
                <w:sz w:val="20"/>
                <w:szCs w:val="20"/>
              </w:rPr>
            </w:pPr>
            <w:r w:rsidRPr="008211FD">
              <w:rPr>
                <w:rFonts w:ascii="Times New Roman" w:eastAsia="Times New Roman" w:hAnsi="Times New Roman"/>
                <w:b/>
                <w:bCs/>
                <w:sz w:val="20"/>
                <w:szCs w:val="20"/>
              </w:rPr>
              <w:t>Nº</w:t>
            </w:r>
          </w:p>
        </w:tc>
      </w:tr>
      <w:tr w:rsidR="00FD610C" w:rsidRPr="008211FD" w:rsidTr="00CE3680">
        <w:tc>
          <w:tcPr>
            <w:tcW w:w="1418"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0834BC" w:rsidP="00CE3680">
            <w:pPr>
              <w:spacing w:after="0" w:line="240" w:lineRule="auto"/>
              <w:rPr>
                <w:rFonts w:ascii="Times New Roman" w:eastAsia="Times New Roman" w:hAnsi="Times New Roman"/>
                <w:b/>
                <w:bCs/>
                <w:sz w:val="20"/>
                <w:szCs w:val="20"/>
              </w:rPr>
            </w:pPr>
            <w:r>
              <w:rPr>
                <w:rFonts w:ascii="Times New Roman" w:eastAsia="Times New Roman" w:hAnsi="Times New Roman"/>
                <w:bCs/>
                <w:sz w:val="20"/>
                <w:szCs w:val="20"/>
              </w:rPr>
              <w:t>FIESP</w:t>
            </w:r>
            <w:r w:rsidR="00FD610C" w:rsidRPr="008211FD">
              <w:rPr>
                <w:rFonts w:ascii="Times New Roman" w:eastAsia="Times New Roman" w:hAnsi="Times New Roman"/>
                <w:bCs/>
                <w:sz w:val="20"/>
                <w:szCs w:val="20"/>
              </w:rPr>
              <w:t>/CIESP</w:t>
            </w:r>
          </w:p>
        </w:tc>
        <w:tc>
          <w:tcPr>
            <w:tcW w:w="325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jc w:val="both"/>
              <w:rPr>
                <w:rFonts w:ascii="Times New Roman" w:hAnsi="Times New Roman"/>
                <w:sz w:val="20"/>
                <w:szCs w:val="20"/>
              </w:rPr>
            </w:pPr>
            <w:r w:rsidRPr="008211FD">
              <w:rPr>
                <w:rFonts w:ascii="Times New Roman" w:hAnsi="Times New Roman"/>
                <w:sz w:val="20"/>
                <w:szCs w:val="20"/>
              </w:rPr>
              <w:t>Antoninho Trevisan; Benjamin Steinbruch; Daniel Feffer; Fernando Xavier Ferreira; Jorge Gerdau; Miguel João Jorge Filho; Roger Agnelli; Viviane Senna; Waldemar Verde Júnior.</w:t>
            </w:r>
          </w:p>
        </w:tc>
        <w:tc>
          <w:tcPr>
            <w:tcW w:w="33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ind w:left="-35" w:firstLine="23"/>
              <w:jc w:val="center"/>
              <w:rPr>
                <w:rFonts w:ascii="Times New Roman" w:hAnsi="Times New Roman"/>
                <w:sz w:val="20"/>
                <w:szCs w:val="20"/>
              </w:rPr>
            </w:pPr>
            <w:r w:rsidRPr="008211FD">
              <w:rPr>
                <w:rFonts w:ascii="Times New Roman" w:hAnsi="Times New Roman"/>
                <w:sz w:val="20"/>
                <w:szCs w:val="20"/>
              </w:rPr>
              <w:t>9</w:t>
            </w:r>
          </w:p>
        </w:tc>
      </w:tr>
      <w:tr w:rsidR="00FD610C" w:rsidRPr="008211FD" w:rsidTr="00CE3680">
        <w:tc>
          <w:tcPr>
            <w:tcW w:w="1418"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
                <w:bCs/>
                <w:sz w:val="20"/>
                <w:szCs w:val="20"/>
                <w:lang w:val="en-US"/>
              </w:rPr>
            </w:pPr>
            <w:r w:rsidRPr="008211FD">
              <w:rPr>
                <w:rFonts w:ascii="Times New Roman" w:eastAsia="Times New Roman" w:hAnsi="Times New Roman"/>
                <w:bCs/>
                <w:sz w:val="20"/>
                <w:szCs w:val="20"/>
                <w:lang w:val="en-US"/>
              </w:rPr>
              <w:t>FIRJAN</w:t>
            </w:r>
          </w:p>
        </w:tc>
        <w:tc>
          <w:tcPr>
            <w:tcW w:w="3250"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jc w:val="both"/>
              <w:rPr>
                <w:rFonts w:ascii="Times New Roman" w:hAnsi="Times New Roman"/>
                <w:sz w:val="20"/>
                <w:szCs w:val="20"/>
              </w:rPr>
            </w:pPr>
            <w:r w:rsidRPr="008211FD">
              <w:rPr>
                <w:rFonts w:ascii="Times New Roman" w:hAnsi="Times New Roman"/>
                <w:sz w:val="20"/>
                <w:szCs w:val="20"/>
              </w:rPr>
              <w:t>Eduardo Eugênio Gouvêa Vieira.</w:t>
            </w:r>
          </w:p>
        </w:tc>
        <w:tc>
          <w:tcPr>
            <w:tcW w:w="332"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1</w:t>
            </w:r>
          </w:p>
        </w:tc>
      </w:tr>
      <w:tr w:rsidR="00FD610C" w:rsidRPr="008211FD" w:rsidTr="00CE3680">
        <w:tc>
          <w:tcPr>
            <w:tcW w:w="1418"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CNI</w:t>
            </w:r>
          </w:p>
        </w:tc>
        <w:tc>
          <w:tcPr>
            <w:tcW w:w="325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jc w:val="both"/>
              <w:rPr>
                <w:rFonts w:ascii="Times New Roman" w:hAnsi="Times New Roman"/>
                <w:sz w:val="20"/>
                <w:szCs w:val="20"/>
              </w:rPr>
            </w:pPr>
            <w:r w:rsidRPr="008211FD">
              <w:rPr>
                <w:rFonts w:ascii="Times New Roman" w:hAnsi="Times New Roman"/>
                <w:sz w:val="20"/>
                <w:szCs w:val="20"/>
              </w:rPr>
              <w:t>Eduardo Eugênio Gouvêa Vieira; Viviane Senna.</w:t>
            </w:r>
          </w:p>
        </w:tc>
        <w:tc>
          <w:tcPr>
            <w:tcW w:w="33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ind w:left="-35" w:firstLine="23"/>
              <w:jc w:val="center"/>
              <w:rPr>
                <w:rFonts w:ascii="Times New Roman" w:hAnsi="Times New Roman"/>
                <w:sz w:val="20"/>
                <w:szCs w:val="20"/>
              </w:rPr>
            </w:pPr>
            <w:r w:rsidRPr="008211FD">
              <w:rPr>
                <w:rFonts w:ascii="Times New Roman" w:hAnsi="Times New Roman"/>
                <w:sz w:val="20"/>
                <w:szCs w:val="20"/>
              </w:rPr>
              <w:t>2</w:t>
            </w:r>
          </w:p>
        </w:tc>
      </w:tr>
      <w:tr w:rsidR="00FD610C" w:rsidRPr="008211FD" w:rsidTr="00CE3680">
        <w:tc>
          <w:tcPr>
            <w:tcW w:w="1418"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
                <w:bCs/>
                <w:sz w:val="20"/>
                <w:szCs w:val="20"/>
                <w:lang w:val="en-US"/>
              </w:rPr>
            </w:pPr>
            <w:r w:rsidRPr="008211FD">
              <w:rPr>
                <w:rFonts w:ascii="Times New Roman" w:eastAsia="Times New Roman" w:hAnsi="Times New Roman"/>
                <w:bCs/>
                <w:sz w:val="20"/>
                <w:szCs w:val="20"/>
                <w:lang w:val="en-US"/>
              </w:rPr>
              <w:t>ACSP/ACR</w:t>
            </w:r>
            <w:r w:rsidR="00A643EF">
              <w:rPr>
                <w:rFonts w:ascii="Times New Roman" w:eastAsia="Times New Roman" w:hAnsi="Times New Roman"/>
                <w:bCs/>
                <w:sz w:val="20"/>
                <w:szCs w:val="20"/>
                <w:lang w:val="en-US"/>
              </w:rPr>
              <w:t>G</w:t>
            </w:r>
            <w:r w:rsidRPr="008211FD">
              <w:rPr>
                <w:rFonts w:ascii="Times New Roman" w:eastAsia="Times New Roman" w:hAnsi="Times New Roman"/>
                <w:bCs/>
                <w:sz w:val="20"/>
                <w:szCs w:val="20"/>
                <w:lang w:val="en-US"/>
              </w:rPr>
              <w:t>S</w:t>
            </w:r>
          </w:p>
        </w:tc>
        <w:tc>
          <w:tcPr>
            <w:tcW w:w="3250"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jc w:val="both"/>
              <w:rPr>
                <w:rFonts w:ascii="Times New Roman" w:hAnsi="Times New Roman"/>
                <w:sz w:val="20"/>
                <w:szCs w:val="20"/>
              </w:rPr>
            </w:pPr>
            <w:r w:rsidRPr="008211FD">
              <w:rPr>
                <w:rFonts w:ascii="Times New Roman" w:hAnsi="Times New Roman"/>
                <w:sz w:val="20"/>
                <w:szCs w:val="20"/>
              </w:rPr>
              <w:t>Antoninho Trevisan; Mauro Knijnik (ACRS); Miguel João Jorge Filho; Raymundo Magliano.</w:t>
            </w:r>
          </w:p>
        </w:tc>
        <w:tc>
          <w:tcPr>
            <w:tcW w:w="332"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ind w:firstLine="23"/>
              <w:jc w:val="center"/>
              <w:rPr>
                <w:rFonts w:ascii="Times New Roman" w:hAnsi="Times New Roman"/>
                <w:sz w:val="20"/>
                <w:szCs w:val="20"/>
              </w:rPr>
            </w:pPr>
            <w:r w:rsidRPr="008211FD">
              <w:rPr>
                <w:rFonts w:ascii="Times New Roman" w:hAnsi="Times New Roman"/>
                <w:sz w:val="20"/>
                <w:szCs w:val="20"/>
              </w:rPr>
              <w:t>4</w:t>
            </w:r>
          </w:p>
        </w:tc>
      </w:tr>
    </w:tbl>
    <w:p w:rsidR="00D1400E" w:rsidRPr="008631A0" w:rsidRDefault="00D1400E" w:rsidP="004651D0">
      <w:pPr>
        <w:tabs>
          <w:tab w:val="left" w:pos="0"/>
        </w:tabs>
        <w:spacing w:line="360" w:lineRule="auto"/>
        <w:jc w:val="both"/>
        <w:rPr>
          <w:rFonts w:ascii="Times New Roman" w:hAnsi="Times New Roman"/>
          <w:sz w:val="24"/>
          <w:szCs w:val="24"/>
        </w:rPr>
      </w:pPr>
      <w:r>
        <w:rPr>
          <w:rFonts w:ascii="Times New Roman" w:hAnsi="Times New Roman"/>
          <w:b/>
          <w:sz w:val="18"/>
          <w:szCs w:val="18"/>
        </w:rPr>
        <w:t>Elaboração própria</w:t>
      </w:r>
      <w:r w:rsidR="008631A0">
        <w:rPr>
          <w:rFonts w:ascii="Times New Roman" w:hAnsi="Times New Roman"/>
          <w:b/>
          <w:sz w:val="18"/>
          <w:szCs w:val="18"/>
        </w:rPr>
        <w:t xml:space="preserve">. Fontes: </w:t>
      </w:r>
      <w:r w:rsidR="00720548">
        <w:rPr>
          <w:rFonts w:ascii="Times New Roman" w:hAnsi="Times New Roman"/>
          <w:sz w:val="18"/>
          <w:szCs w:val="18"/>
        </w:rPr>
        <w:t>s</w:t>
      </w:r>
      <w:r w:rsidR="008631A0">
        <w:rPr>
          <w:rFonts w:ascii="Times New Roman" w:hAnsi="Times New Roman"/>
          <w:sz w:val="18"/>
          <w:szCs w:val="18"/>
        </w:rPr>
        <w:t>ite do CDES e de pesquisas na internet.</w:t>
      </w:r>
    </w:p>
    <w:p w:rsidR="00FD610C" w:rsidRDefault="00D1400E" w:rsidP="004651D0">
      <w:pPr>
        <w:tabs>
          <w:tab w:val="left" w:pos="0"/>
        </w:tabs>
        <w:spacing w:before="240" w:line="360" w:lineRule="auto"/>
        <w:jc w:val="both"/>
        <w:rPr>
          <w:rFonts w:ascii="Times New Roman" w:hAnsi="Times New Roman"/>
          <w:sz w:val="24"/>
          <w:szCs w:val="24"/>
        </w:rPr>
      </w:pPr>
      <w:r>
        <w:rPr>
          <w:rFonts w:ascii="Times New Roman" w:hAnsi="Times New Roman"/>
          <w:sz w:val="24"/>
          <w:szCs w:val="24"/>
        </w:rPr>
        <w:tab/>
      </w:r>
      <w:r w:rsidR="00FD610C">
        <w:rPr>
          <w:rFonts w:ascii="Times New Roman" w:hAnsi="Times New Roman"/>
          <w:sz w:val="24"/>
          <w:szCs w:val="24"/>
        </w:rPr>
        <w:t>A extensão dos vínculos associativos dos conselheiros</w:t>
      </w:r>
      <w:r w:rsidR="00FD76F0">
        <w:rPr>
          <w:rFonts w:ascii="Times New Roman" w:hAnsi="Times New Roman"/>
          <w:sz w:val="24"/>
          <w:szCs w:val="24"/>
        </w:rPr>
        <w:t xml:space="preserve"> do setor bancário e financeiro não bancário atingia </w:t>
      </w:r>
      <w:r w:rsidR="00FD610C">
        <w:rPr>
          <w:rFonts w:ascii="Times New Roman" w:hAnsi="Times New Roman"/>
          <w:sz w:val="24"/>
          <w:szCs w:val="24"/>
        </w:rPr>
        <w:t>entidades de natureza e feição diversas. Assim, a pesquisa realizada encontrou-os coligados a várias associações espalhadas na sociedade civil (quadro 2.18) caracterizadas pela organização e difusão de centros de estudos e pesquisas com o objetivo de criar plataformas de políticas públicas com</w:t>
      </w:r>
      <w:r w:rsidR="00FD76F0">
        <w:rPr>
          <w:rFonts w:ascii="Times New Roman" w:hAnsi="Times New Roman"/>
          <w:sz w:val="24"/>
          <w:szCs w:val="24"/>
        </w:rPr>
        <w:t xml:space="preserve"> vistas à intervenção no Estado.</w:t>
      </w:r>
    </w:p>
    <w:p w:rsidR="00FD610C" w:rsidRDefault="00FD610C" w:rsidP="00FD610C">
      <w:pPr>
        <w:tabs>
          <w:tab w:val="left" w:pos="0"/>
        </w:tabs>
        <w:jc w:val="center"/>
        <w:rPr>
          <w:rFonts w:ascii="Times New Roman" w:hAnsi="Times New Roman"/>
          <w:b/>
          <w:sz w:val="24"/>
          <w:szCs w:val="24"/>
        </w:rPr>
      </w:pPr>
      <w:r>
        <w:rPr>
          <w:rFonts w:ascii="Times New Roman" w:hAnsi="Times New Roman"/>
          <w:b/>
          <w:sz w:val="24"/>
          <w:szCs w:val="24"/>
        </w:rPr>
        <w:t>Quadro 2.18 – A presen</w:t>
      </w:r>
      <w:r w:rsidR="00FD76F0">
        <w:rPr>
          <w:rFonts w:ascii="Times New Roman" w:hAnsi="Times New Roman"/>
          <w:b/>
          <w:sz w:val="24"/>
          <w:szCs w:val="24"/>
        </w:rPr>
        <w:t>ça de conselheiros banqueiros e do setor financeiro não bancário</w:t>
      </w:r>
      <w:r>
        <w:rPr>
          <w:rFonts w:ascii="Times New Roman" w:hAnsi="Times New Roman"/>
          <w:b/>
          <w:sz w:val="24"/>
          <w:szCs w:val="24"/>
        </w:rPr>
        <w:t xml:space="preserve"> em entidades de formulação, doutrinamento e divulgação</w:t>
      </w:r>
    </w:p>
    <w:tbl>
      <w:tblPr>
        <w:tblW w:w="4876"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3170"/>
        <w:gridCol w:w="5887"/>
      </w:tblGrid>
      <w:tr w:rsidR="00FD610C" w:rsidRPr="008211FD" w:rsidTr="00CE3680">
        <w:tc>
          <w:tcPr>
            <w:tcW w:w="1750" w:type="pct"/>
            <w:tcBorders>
              <w:top w:val="single" w:sz="8" w:space="0" w:color="4F81BD"/>
              <w:left w:val="single" w:sz="8" w:space="0" w:color="4F81BD"/>
              <w:bottom w:val="single" w:sz="1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Entidades empresariais</w:t>
            </w:r>
          </w:p>
        </w:tc>
        <w:tc>
          <w:tcPr>
            <w:tcW w:w="3250" w:type="pct"/>
            <w:tcBorders>
              <w:top w:val="single" w:sz="8" w:space="0" w:color="4F81BD"/>
              <w:left w:val="single" w:sz="8" w:space="0" w:color="4F81BD"/>
              <w:bottom w:val="single" w:sz="1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Conselheiros</w:t>
            </w:r>
          </w:p>
        </w:tc>
      </w:tr>
      <w:tr w:rsidR="00FD610C" w:rsidRPr="00DD31B9" w:rsidTr="00CE3680">
        <w:tc>
          <w:tcPr>
            <w:tcW w:w="175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IEDI</w:t>
            </w:r>
          </w:p>
        </w:tc>
        <w:tc>
          <w:tcPr>
            <w:tcW w:w="325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jc w:val="both"/>
              <w:rPr>
                <w:rFonts w:ascii="Times New Roman" w:hAnsi="Times New Roman"/>
                <w:sz w:val="20"/>
                <w:szCs w:val="20"/>
                <w:lang w:val="en-US"/>
              </w:rPr>
            </w:pPr>
            <w:r w:rsidRPr="008211FD">
              <w:rPr>
                <w:rFonts w:ascii="Times New Roman" w:hAnsi="Times New Roman"/>
                <w:sz w:val="20"/>
                <w:szCs w:val="20"/>
                <w:lang w:val="en-US"/>
              </w:rPr>
              <w:t>Daniel Feffer; Benjamin Steinbruch; Jorge Gerdau.</w:t>
            </w:r>
          </w:p>
        </w:tc>
      </w:tr>
      <w:tr w:rsidR="00FD610C" w:rsidRPr="008211FD" w:rsidTr="00CE3680">
        <w:tc>
          <w:tcPr>
            <w:tcW w:w="1750"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Sociedade brasileira pró-inovação tecnológica (PROTEC)</w:t>
            </w:r>
          </w:p>
        </w:tc>
        <w:tc>
          <w:tcPr>
            <w:tcW w:w="3250"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DecimalAligned"/>
              <w:tabs>
                <w:tab w:val="clear" w:pos="360"/>
                <w:tab w:val="decimal" w:pos="0"/>
              </w:tabs>
              <w:spacing w:after="0" w:line="240" w:lineRule="auto"/>
              <w:jc w:val="both"/>
              <w:rPr>
                <w:rFonts w:ascii="Times New Roman" w:hAnsi="Times New Roman"/>
                <w:sz w:val="20"/>
                <w:szCs w:val="20"/>
              </w:rPr>
            </w:pPr>
            <w:r w:rsidRPr="008211FD">
              <w:rPr>
                <w:rFonts w:ascii="Times New Roman" w:hAnsi="Times New Roman"/>
                <w:sz w:val="20"/>
                <w:szCs w:val="20"/>
              </w:rPr>
              <w:t>Eduardo Eugênio Gouvêa Vieira; Luiz Carlos Delben Leite.</w:t>
            </w:r>
          </w:p>
        </w:tc>
      </w:tr>
      <w:tr w:rsidR="00FD610C" w:rsidRPr="008211FD" w:rsidTr="00CE3680">
        <w:tc>
          <w:tcPr>
            <w:tcW w:w="175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Movimento Brasil Competitivo</w:t>
            </w:r>
          </w:p>
        </w:tc>
        <w:tc>
          <w:tcPr>
            <w:tcW w:w="325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jc w:val="both"/>
              <w:rPr>
                <w:rFonts w:ascii="Times New Roman" w:hAnsi="Times New Roman"/>
                <w:color w:val="000000"/>
                <w:sz w:val="20"/>
                <w:szCs w:val="20"/>
              </w:rPr>
            </w:pPr>
            <w:r w:rsidRPr="008211FD">
              <w:rPr>
                <w:rFonts w:ascii="Times New Roman" w:hAnsi="Times New Roman"/>
                <w:sz w:val="20"/>
                <w:szCs w:val="20"/>
              </w:rPr>
              <w:t>Daniel Feffer; A</w:t>
            </w:r>
            <w:r w:rsidRPr="008211FD">
              <w:rPr>
                <w:rFonts w:ascii="Times New Roman" w:hAnsi="Times New Roman"/>
                <w:color w:val="000000"/>
                <w:sz w:val="20"/>
                <w:szCs w:val="20"/>
              </w:rPr>
              <w:t>ntoninho Trevisan; Jorge Gerdau.</w:t>
            </w:r>
          </w:p>
        </w:tc>
      </w:tr>
      <w:tr w:rsidR="00FD610C" w:rsidRPr="008211FD" w:rsidTr="00CE3680">
        <w:tc>
          <w:tcPr>
            <w:tcW w:w="1750"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PNBE</w:t>
            </w:r>
          </w:p>
        </w:tc>
        <w:tc>
          <w:tcPr>
            <w:tcW w:w="3250"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jc w:val="both"/>
              <w:rPr>
                <w:rFonts w:ascii="Times New Roman" w:hAnsi="Times New Roman"/>
                <w:sz w:val="20"/>
                <w:szCs w:val="20"/>
              </w:rPr>
            </w:pPr>
            <w:r w:rsidRPr="008211FD">
              <w:rPr>
                <w:rFonts w:ascii="Times New Roman" w:hAnsi="Times New Roman"/>
                <w:sz w:val="20"/>
                <w:szCs w:val="20"/>
              </w:rPr>
              <w:t>Eduardo Eugênio Gouvêa Vieira;Luiz Carlos Delben Leite.</w:t>
            </w:r>
          </w:p>
        </w:tc>
      </w:tr>
      <w:tr w:rsidR="00FD610C" w:rsidRPr="008211FD" w:rsidTr="00CE3680">
        <w:tc>
          <w:tcPr>
            <w:tcW w:w="175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Conselho Empresarial para o Desenvolvimento Sustentável</w:t>
            </w:r>
          </w:p>
        </w:tc>
        <w:tc>
          <w:tcPr>
            <w:tcW w:w="325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DecimalAligned"/>
              <w:tabs>
                <w:tab w:val="clear" w:pos="360"/>
                <w:tab w:val="decimal" w:pos="0"/>
              </w:tabs>
              <w:spacing w:after="0" w:line="240" w:lineRule="auto"/>
              <w:jc w:val="both"/>
              <w:rPr>
                <w:rFonts w:ascii="Times New Roman" w:hAnsi="Times New Roman"/>
                <w:sz w:val="20"/>
                <w:szCs w:val="20"/>
              </w:rPr>
            </w:pPr>
            <w:r w:rsidRPr="008211FD">
              <w:rPr>
                <w:rFonts w:ascii="Times New Roman" w:hAnsi="Times New Roman"/>
                <w:sz w:val="20"/>
                <w:szCs w:val="20"/>
              </w:rPr>
              <w:t>Benjamin Steinbruch; Eduardo Eugênio Gouvêa Vieira; Roger Agnelli; Jorge Gerdau.</w:t>
            </w:r>
          </w:p>
        </w:tc>
      </w:tr>
      <w:tr w:rsidR="00FD610C" w:rsidRPr="008211FD" w:rsidTr="00CE3680">
        <w:tc>
          <w:tcPr>
            <w:tcW w:w="1750"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Instituto Millenium</w:t>
            </w:r>
          </w:p>
        </w:tc>
        <w:tc>
          <w:tcPr>
            <w:tcW w:w="3250"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DecimalAligned"/>
              <w:tabs>
                <w:tab w:val="clear" w:pos="360"/>
                <w:tab w:val="decimal" w:pos="0"/>
              </w:tabs>
              <w:spacing w:after="0" w:line="240" w:lineRule="auto"/>
              <w:jc w:val="both"/>
              <w:rPr>
                <w:rFonts w:ascii="Times New Roman" w:hAnsi="Times New Roman"/>
                <w:sz w:val="20"/>
                <w:szCs w:val="20"/>
              </w:rPr>
            </w:pPr>
            <w:r w:rsidRPr="008211FD">
              <w:rPr>
                <w:rFonts w:ascii="Times New Roman" w:hAnsi="Times New Roman"/>
                <w:sz w:val="20"/>
                <w:szCs w:val="20"/>
              </w:rPr>
              <w:t>Jorge Gerdau e Daniel Feffer.</w:t>
            </w:r>
          </w:p>
        </w:tc>
      </w:tr>
      <w:tr w:rsidR="00FD610C" w:rsidRPr="008211FD" w:rsidTr="00CE3680">
        <w:tc>
          <w:tcPr>
            <w:tcW w:w="175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Instituto ETHOS de Empresas e Responsabilidade Social</w:t>
            </w:r>
          </w:p>
        </w:tc>
        <w:tc>
          <w:tcPr>
            <w:tcW w:w="325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jc w:val="both"/>
              <w:rPr>
                <w:rFonts w:ascii="Times New Roman" w:hAnsi="Times New Roman"/>
                <w:sz w:val="20"/>
                <w:szCs w:val="20"/>
              </w:rPr>
            </w:pPr>
            <w:r w:rsidRPr="008211FD">
              <w:rPr>
                <w:rFonts w:ascii="Times New Roman" w:hAnsi="Times New Roman"/>
                <w:sz w:val="20"/>
                <w:szCs w:val="20"/>
              </w:rPr>
              <w:t xml:space="preserve">Antoninho Trevisan, Daniel Feffer, Mauro Knijnik, Roberto Egydio Setubal. </w:t>
            </w:r>
          </w:p>
        </w:tc>
      </w:tr>
    </w:tbl>
    <w:p w:rsidR="00D1400E" w:rsidRPr="008631A0" w:rsidRDefault="00D1400E" w:rsidP="00FD610C">
      <w:pPr>
        <w:tabs>
          <w:tab w:val="left" w:pos="0"/>
        </w:tabs>
        <w:spacing w:after="0" w:line="360" w:lineRule="auto"/>
        <w:jc w:val="both"/>
        <w:rPr>
          <w:rFonts w:ascii="Times New Roman" w:hAnsi="Times New Roman"/>
          <w:sz w:val="24"/>
          <w:szCs w:val="24"/>
        </w:rPr>
      </w:pPr>
      <w:r>
        <w:rPr>
          <w:rFonts w:ascii="Times New Roman" w:hAnsi="Times New Roman"/>
          <w:b/>
          <w:sz w:val="18"/>
          <w:szCs w:val="18"/>
        </w:rPr>
        <w:t>Elaboração própria</w:t>
      </w:r>
      <w:r w:rsidR="008631A0">
        <w:rPr>
          <w:rFonts w:ascii="Times New Roman" w:hAnsi="Times New Roman"/>
          <w:b/>
          <w:sz w:val="18"/>
          <w:szCs w:val="18"/>
        </w:rPr>
        <w:t xml:space="preserve">. Fontes: </w:t>
      </w:r>
      <w:r w:rsidR="00720548" w:rsidRPr="00720548">
        <w:rPr>
          <w:rFonts w:ascii="Times New Roman" w:hAnsi="Times New Roman"/>
          <w:sz w:val="18"/>
          <w:szCs w:val="18"/>
        </w:rPr>
        <w:t>s</w:t>
      </w:r>
      <w:r w:rsidR="008631A0">
        <w:rPr>
          <w:rFonts w:ascii="Times New Roman" w:hAnsi="Times New Roman"/>
          <w:sz w:val="18"/>
          <w:szCs w:val="18"/>
        </w:rPr>
        <w:t>ite do CDES e pesquisas na internet.</w:t>
      </w:r>
    </w:p>
    <w:p w:rsidR="00FD610C" w:rsidRDefault="00FD610C" w:rsidP="00FD610C">
      <w:pPr>
        <w:tabs>
          <w:tab w:val="left" w:pos="0"/>
        </w:tabs>
        <w:spacing w:before="240" w:after="0" w:line="360" w:lineRule="auto"/>
        <w:jc w:val="both"/>
        <w:rPr>
          <w:rFonts w:ascii="Times New Roman" w:hAnsi="Times New Roman"/>
          <w:sz w:val="24"/>
          <w:szCs w:val="24"/>
        </w:rPr>
      </w:pPr>
      <w:r>
        <w:rPr>
          <w:rFonts w:ascii="Times New Roman" w:hAnsi="Times New Roman"/>
          <w:sz w:val="24"/>
          <w:szCs w:val="24"/>
        </w:rPr>
        <w:tab/>
        <w:t xml:space="preserve">Não </w:t>
      </w:r>
      <w:r w:rsidR="00FD76F0">
        <w:rPr>
          <w:rFonts w:ascii="Times New Roman" w:hAnsi="Times New Roman"/>
          <w:sz w:val="24"/>
          <w:szCs w:val="24"/>
        </w:rPr>
        <w:t>podemos</w:t>
      </w:r>
      <w:r>
        <w:rPr>
          <w:rFonts w:ascii="Times New Roman" w:hAnsi="Times New Roman"/>
          <w:sz w:val="24"/>
          <w:szCs w:val="24"/>
        </w:rPr>
        <w:t xml:space="preserve"> realizar, no âmbito deste trabalho, uma detalhada avaliação de cada entidade acima. Numa abordagem panorâmica, porém, trata-se de associações mais ou menos recentes (IEDI e PNBE, as mais antigas, foram erguidas na virada dos anos 80 para os anos 90), </w:t>
      </w:r>
      <w:r>
        <w:rPr>
          <w:rFonts w:ascii="Times New Roman" w:hAnsi="Times New Roman"/>
          <w:i/>
          <w:sz w:val="24"/>
          <w:szCs w:val="24"/>
        </w:rPr>
        <w:t>voltadas para a organização da ação empresarial</w:t>
      </w:r>
      <w:r>
        <w:rPr>
          <w:rFonts w:ascii="Times New Roman" w:hAnsi="Times New Roman"/>
          <w:sz w:val="24"/>
          <w:szCs w:val="24"/>
        </w:rPr>
        <w:t xml:space="preserve"> em duas grandes frentes: a) aos desafios requeridos pelas contínuas e rápidas mudanças no capitalismo brasileiro recente, especialmente no que tange à inserção da economia brasileira no circuito globalizado e suas implicações (políticas de industrialização e de reestruturação do setor, mecanismos de promoção da competitividade, etc) e b) à edificação de uma nova cultura empresarial, uma iniciativa de vontade com fins à unificação de concepções, comportamentos e ações comuns em torno da reanimação do senso de pertencimento à classe por meio do ideário da </w:t>
      </w:r>
      <w:r>
        <w:rPr>
          <w:rFonts w:ascii="Times New Roman" w:hAnsi="Times New Roman"/>
          <w:i/>
          <w:sz w:val="24"/>
          <w:szCs w:val="24"/>
        </w:rPr>
        <w:t>responsabilidade socioambiental empresarial</w:t>
      </w:r>
      <w:r>
        <w:rPr>
          <w:rFonts w:ascii="Times New Roman" w:hAnsi="Times New Roman"/>
          <w:sz w:val="24"/>
          <w:szCs w:val="24"/>
        </w:rPr>
        <w:t>. Trata-se de papéis bem definidos e complementares, na frente econômica e político-cultural, a fim de retroalimentar a coesão interna do empresariado em torno de um projeto que o recoloque numa posição hegemônica no interior do bloco no poder.</w:t>
      </w:r>
    </w:p>
    <w:p w:rsidR="00FD610C" w:rsidRPr="000A1243" w:rsidRDefault="00FD610C" w:rsidP="00FD610C">
      <w:pPr>
        <w:tabs>
          <w:tab w:val="left" w:pos="0"/>
        </w:tabs>
        <w:spacing w:line="360" w:lineRule="auto"/>
        <w:jc w:val="both"/>
        <w:rPr>
          <w:rFonts w:ascii="Times New Roman" w:hAnsi="Times New Roman"/>
          <w:sz w:val="24"/>
          <w:szCs w:val="24"/>
        </w:rPr>
      </w:pPr>
      <w:r>
        <w:rPr>
          <w:rFonts w:ascii="Times New Roman" w:hAnsi="Times New Roman"/>
          <w:sz w:val="24"/>
          <w:szCs w:val="24"/>
        </w:rPr>
        <w:tab/>
      </w:r>
      <w:r w:rsidR="00FD76F0">
        <w:rPr>
          <w:rFonts w:ascii="Times New Roman" w:hAnsi="Times New Roman"/>
          <w:sz w:val="24"/>
          <w:szCs w:val="24"/>
        </w:rPr>
        <w:t>A</w:t>
      </w:r>
      <w:r>
        <w:rPr>
          <w:rFonts w:ascii="Times New Roman" w:hAnsi="Times New Roman"/>
          <w:sz w:val="24"/>
          <w:szCs w:val="24"/>
        </w:rPr>
        <w:t xml:space="preserve"> organização empresarial aprendeu a não se voltar apenas para si. As experiências expostas pelas forças políticas populares em luta no período da redemocratização educaram e capacitaram frações das classes dominantes para outras empreitadas. Nelas o empresariado aprendeu que </w:t>
      </w:r>
      <w:r w:rsidRPr="00E13518">
        <w:rPr>
          <w:rFonts w:ascii="Times New Roman" w:hAnsi="Times New Roman"/>
          <w:i/>
          <w:sz w:val="24"/>
          <w:szCs w:val="24"/>
        </w:rPr>
        <w:t>precisa</w:t>
      </w:r>
      <w:r>
        <w:rPr>
          <w:rFonts w:ascii="Times New Roman" w:hAnsi="Times New Roman"/>
          <w:sz w:val="24"/>
          <w:szCs w:val="24"/>
        </w:rPr>
        <w:t xml:space="preserve"> aprimorar o jogo instável do consenso para além de sua própria classe e isto mobiliza engenhosos recursos institucionais, organizativos e culturais. Para tanto, retraduziu aspirações, conceitos e práticas dos setores populares em refluxo nos anos 90, apostando na disseminação mercantil-filantrópica de intervenção social. ONGs, institutos, fundações, entidades “sem fins lucrativos” das mais diversas (alcunhadas de “Terceiro Setor”) seriam criadas e/ou readequadas pelo empresariado </w:t>
      </w:r>
      <w:r>
        <w:rPr>
          <w:rFonts w:ascii="Times New Roman" w:hAnsi="Times New Roman"/>
          <w:i/>
          <w:sz w:val="24"/>
          <w:szCs w:val="24"/>
        </w:rPr>
        <w:t>com vistas ao atendimento (precário) das necessidades básicas e prementes da população</w:t>
      </w:r>
      <w:r>
        <w:rPr>
          <w:rFonts w:ascii="Times New Roman" w:hAnsi="Times New Roman"/>
          <w:sz w:val="24"/>
          <w:szCs w:val="24"/>
        </w:rPr>
        <w:t>, privatizando a questão social. Os conselheiros não se furtaram de delas participar, como revela o quadro seguinte:</w:t>
      </w:r>
    </w:p>
    <w:p w:rsidR="00FD610C" w:rsidRDefault="00FD610C" w:rsidP="00FD610C">
      <w:pPr>
        <w:tabs>
          <w:tab w:val="left" w:pos="0"/>
        </w:tabs>
        <w:jc w:val="center"/>
        <w:rPr>
          <w:rFonts w:ascii="Times New Roman" w:hAnsi="Times New Roman"/>
          <w:b/>
          <w:sz w:val="24"/>
          <w:szCs w:val="24"/>
        </w:rPr>
      </w:pPr>
      <w:r>
        <w:rPr>
          <w:rFonts w:ascii="Times New Roman" w:hAnsi="Times New Roman"/>
          <w:b/>
          <w:sz w:val="24"/>
          <w:szCs w:val="24"/>
        </w:rPr>
        <w:t xml:space="preserve">Quadro 2.19 – A presença de </w:t>
      </w:r>
      <w:r w:rsidR="00FD76F0">
        <w:rPr>
          <w:rFonts w:ascii="Times New Roman" w:hAnsi="Times New Roman"/>
          <w:b/>
          <w:sz w:val="24"/>
          <w:szCs w:val="24"/>
        </w:rPr>
        <w:t>conselheiros banqueiros e do setor financeiro não bancário nas en</w:t>
      </w:r>
      <w:r>
        <w:rPr>
          <w:rFonts w:ascii="Times New Roman" w:hAnsi="Times New Roman"/>
          <w:b/>
          <w:sz w:val="24"/>
          <w:szCs w:val="24"/>
        </w:rPr>
        <w:t xml:space="preserve">tidades </w:t>
      </w:r>
      <w:r w:rsidR="00FD76F0">
        <w:rPr>
          <w:rFonts w:ascii="Times New Roman" w:hAnsi="Times New Roman"/>
          <w:b/>
          <w:sz w:val="24"/>
          <w:szCs w:val="24"/>
        </w:rPr>
        <w:t>de empresariamento</w:t>
      </w:r>
      <w:r w:rsidR="00206DBF">
        <w:rPr>
          <w:rFonts w:ascii="Times New Roman" w:hAnsi="Times New Roman"/>
          <w:b/>
          <w:sz w:val="24"/>
          <w:szCs w:val="24"/>
        </w:rPr>
        <w:t xml:space="preserve"> da questão s</w:t>
      </w:r>
      <w:r w:rsidR="00CA0999">
        <w:rPr>
          <w:rFonts w:ascii="Times New Roman" w:hAnsi="Times New Roman"/>
          <w:b/>
          <w:sz w:val="24"/>
          <w:szCs w:val="24"/>
        </w:rPr>
        <w:t>o</w:t>
      </w:r>
      <w:r w:rsidR="00206DBF">
        <w:rPr>
          <w:rFonts w:ascii="Times New Roman" w:hAnsi="Times New Roman"/>
          <w:b/>
          <w:sz w:val="24"/>
          <w:szCs w:val="24"/>
        </w:rPr>
        <w:t>cioeducacional</w:t>
      </w:r>
    </w:p>
    <w:tbl>
      <w:tblPr>
        <w:tblW w:w="4876"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3773"/>
        <w:gridCol w:w="5284"/>
      </w:tblGrid>
      <w:tr w:rsidR="00FD610C" w:rsidRPr="008211FD" w:rsidTr="00CE3680">
        <w:tc>
          <w:tcPr>
            <w:tcW w:w="2083" w:type="pct"/>
            <w:tcBorders>
              <w:top w:val="single" w:sz="8" w:space="0" w:color="4F81BD"/>
              <w:left w:val="single" w:sz="8" w:space="0" w:color="4F81BD"/>
              <w:bottom w:val="single" w:sz="18" w:space="0" w:color="4F81BD"/>
              <w:right w:val="single" w:sz="8" w:space="0" w:color="4F81BD"/>
            </w:tcBorders>
          </w:tcPr>
          <w:p w:rsidR="00FD610C" w:rsidRPr="008211FD" w:rsidRDefault="00FD610C" w:rsidP="00FD76F0">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 xml:space="preserve">Entidades </w:t>
            </w:r>
          </w:p>
        </w:tc>
        <w:tc>
          <w:tcPr>
            <w:tcW w:w="2917" w:type="pct"/>
            <w:tcBorders>
              <w:top w:val="single" w:sz="8" w:space="0" w:color="4F81BD"/>
              <w:left w:val="single" w:sz="8" w:space="0" w:color="4F81BD"/>
              <w:bottom w:val="single" w:sz="1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Conselheiros</w:t>
            </w:r>
          </w:p>
        </w:tc>
      </w:tr>
      <w:tr w:rsidR="00FD610C" w:rsidRPr="008211FD" w:rsidTr="00CE3680">
        <w:tc>
          <w:tcPr>
            <w:tcW w:w="2083"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Movimento Todos pela Educação (MTE)</w:t>
            </w:r>
            <w:r w:rsidR="00ED6F07" w:rsidRPr="008211FD">
              <w:rPr>
                <w:rStyle w:val="Refdenotaderodap"/>
                <w:rFonts w:ascii="Times New Roman" w:eastAsia="Times New Roman" w:hAnsi="Times New Roman"/>
                <w:bCs/>
                <w:sz w:val="20"/>
                <w:szCs w:val="20"/>
              </w:rPr>
              <w:footnoteReference w:id="304"/>
            </w:r>
          </w:p>
        </w:tc>
        <w:tc>
          <w:tcPr>
            <w:tcW w:w="2917"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jc w:val="both"/>
              <w:rPr>
                <w:rFonts w:ascii="Times New Roman" w:hAnsi="Times New Roman"/>
                <w:sz w:val="20"/>
                <w:szCs w:val="20"/>
              </w:rPr>
            </w:pPr>
            <w:r w:rsidRPr="008211FD">
              <w:rPr>
                <w:rFonts w:ascii="Times New Roman" w:hAnsi="Times New Roman"/>
                <w:sz w:val="20"/>
                <w:szCs w:val="20"/>
              </w:rPr>
              <w:t>Fabio Coletti Barbosa; Daniel Feffer; Milu Vilella; Viviane Senna; Jorge Gerdau.</w:t>
            </w:r>
          </w:p>
        </w:tc>
      </w:tr>
      <w:tr w:rsidR="00FD610C" w:rsidRPr="008211FD" w:rsidTr="00CE3680">
        <w:tc>
          <w:tcPr>
            <w:tcW w:w="2083"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sz w:val="20"/>
                <w:szCs w:val="20"/>
              </w:rPr>
              <w:t xml:space="preserve">Ação Fome Zero </w:t>
            </w:r>
          </w:p>
        </w:tc>
        <w:tc>
          <w:tcPr>
            <w:tcW w:w="2917"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jc w:val="both"/>
              <w:rPr>
                <w:rFonts w:ascii="Times New Roman" w:hAnsi="Times New Roman"/>
                <w:sz w:val="20"/>
                <w:szCs w:val="20"/>
              </w:rPr>
            </w:pPr>
            <w:r w:rsidRPr="008211FD">
              <w:rPr>
                <w:rFonts w:ascii="Times New Roman" w:hAnsi="Times New Roman"/>
                <w:sz w:val="20"/>
                <w:szCs w:val="20"/>
              </w:rPr>
              <w:t>Antoninho Trevisan; Gabriel Ferreira.</w:t>
            </w:r>
          </w:p>
        </w:tc>
      </w:tr>
      <w:tr w:rsidR="00FD610C" w:rsidRPr="008211FD" w:rsidTr="00CE3680">
        <w:tc>
          <w:tcPr>
            <w:tcW w:w="2083"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line="240" w:lineRule="auto"/>
              <w:rPr>
                <w:rFonts w:ascii="Times New Roman" w:eastAsia="Times New Roman" w:hAnsi="Times New Roman"/>
                <w:b/>
                <w:bCs/>
                <w:color w:val="000000"/>
                <w:sz w:val="20"/>
                <w:szCs w:val="20"/>
              </w:rPr>
            </w:pPr>
            <w:r w:rsidRPr="008211FD">
              <w:rPr>
                <w:rFonts w:ascii="Times New Roman" w:eastAsia="Times New Roman" w:hAnsi="Times New Roman"/>
                <w:bCs/>
                <w:color w:val="000000"/>
                <w:sz w:val="20"/>
                <w:szCs w:val="20"/>
              </w:rPr>
              <w:t>Associação Parceria Contra as Drogas</w:t>
            </w:r>
          </w:p>
        </w:tc>
        <w:tc>
          <w:tcPr>
            <w:tcW w:w="2917"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DecimalAligned"/>
              <w:tabs>
                <w:tab w:val="clear" w:pos="360"/>
                <w:tab w:val="decimal" w:pos="0"/>
              </w:tabs>
              <w:spacing w:after="0" w:line="240" w:lineRule="auto"/>
              <w:jc w:val="both"/>
              <w:rPr>
                <w:rFonts w:ascii="Times New Roman" w:hAnsi="Times New Roman"/>
                <w:color w:val="000000"/>
                <w:sz w:val="20"/>
                <w:szCs w:val="20"/>
              </w:rPr>
            </w:pPr>
            <w:r w:rsidRPr="008211FD">
              <w:rPr>
                <w:rFonts w:ascii="Times New Roman" w:hAnsi="Times New Roman"/>
                <w:color w:val="000000"/>
                <w:sz w:val="20"/>
                <w:szCs w:val="20"/>
              </w:rPr>
              <w:t xml:space="preserve">Fábio Coletti Barbosa; Fernando Xavier Ferreira; Márcio Artur Cypriano; Milu Villela; Roberto Setúbal. </w:t>
            </w:r>
          </w:p>
        </w:tc>
      </w:tr>
      <w:tr w:rsidR="00FD610C" w:rsidRPr="008211FD" w:rsidTr="00CE3680">
        <w:tc>
          <w:tcPr>
            <w:tcW w:w="2083"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line="240" w:lineRule="auto"/>
              <w:rPr>
                <w:rFonts w:ascii="Times New Roman" w:eastAsia="Times New Roman" w:hAnsi="Times New Roman"/>
                <w:b/>
                <w:bCs/>
                <w:sz w:val="20"/>
                <w:szCs w:val="20"/>
              </w:rPr>
            </w:pPr>
            <w:r w:rsidRPr="008211FD">
              <w:rPr>
                <w:rFonts w:ascii="Times New Roman" w:eastAsia="Times New Roman" w:hAnsi="Times New Roman"/>
                <w:bCs/>
                <w:color w:val="000000"/>
                <w:sz w:val="20"/>
                <w:szCs w:val="20"/>
              </w:rPr>
              <w:t>Sociedade de Cultura Artística</w:t>
            </w:r>
          </w:p>
        </w:tc>
        <w:tc>
          <w:tcPr>
            <w:tcW w:w="2917"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DecimalAligned"/>
              <w:tabs>
                <w:tab w:val="clear" w:pos="360"/>
                <w:tab w:val="decimal" w:pos="0"/>
              </w:tabs>
              <w:spacing w:after="0" w:line="240" w:lineRule="auto"/>
              <w:jc w:val="both"/>
              <w:rPr>
                <w:rFonts w:ascii="Times New Roman" w:hAnsi="Times New Roman"/>
                <w:sz w:val="20"/>
                <w:szCs w:val="20"/>
              </w:rPr>
            </w:pPr>
            <w:r w:rsidRPr="008211FD">
              <w:rPr>
                <w:rFonts w:ascii="Times New Roman" w:hAnsi="Times New Roman"/>
                <w:color w:val="000000"/>
                <w:sz w:val="20"/>
                <w:szCs w:val="20"/>
              </w:rPr>
              <w:t>Fernando Xavier Ferreira e Milú Vilella.</w:t>
            </w:r>
          </w:p>
        </w:tc>
      </w:tr>
    </w:tbl>
    <w:p w:rsidR="008631A0" w:rsidRPr="008631A0" w:rsidRDefault="00D1400E" w:rsidP="008631A0">
      <w:pPr>
        <w:tabs>
          <w:tab w:val="left" w:pos="0"/>
        </w:tabs>
        <w:spacing w:after="0" w:line="360" w:lineRule="auto"/>
        <w:jc w:val="both"/>
        <w:rPr>
          <w:rFonts w:ascii="Times New Roman" w:hAnsi="Times New Roman"/>
          <w:sz w:val="24"/>
          <w:szCs w:val="24"/>
        </w:rPr>
      </w:pPr>
      <w:r>
        <w:rPr>
          <w:rFonts w:ascii="Times New Roman" w:hAnsi="Times New Roman"/>
          <w:b/>
          <w:sz w:val="18"/>
          <w:szCs w:val="18"/>
        </w:rPr>
        <w:t>Elaboração própria</w:t>
      </w:r>
      <w:r w:rsidR="008631A0">
        <w:rPr>
          <w:rFonts w:ascii="Times New Roman" w:hAnsi="Times New Roman"/>
          <w:b/>
          <w:sz w:val="18"/>
          <w:szCs w:val="18"/>
        </w:rPr>
        <w:t xml:space="preserve">. Fontes: </w:t>
      </w:r>
      <w:r w:rsidR="00720548">
        <w:rPr>
          <w:rFonts w:ascii="Times New Roman" w:hAnsi="Times New Roman"/>
          <w:sz w:val="18"/>
          <w:szCs w:val="18"/>
        </w:rPr>
        <w:t>s</w:t>
      </w:r>
      <w:r w:rsidR="008631A0">
        <w:rPr>
          <w:rFonts w:ascii="Times New Roman" w:hAnsi="Times New Roman"/>
          <w:sz w:val="18"/>
          <w:szCs w:val="18"/>
        </w:rPr>
        <w:t>ite do CDES e pesquisas na internet.</w:t>
      </w:r>
    </w:p>
    <w:p w:rsidR="00FD610C" w:rsidRDefault="00206DBF" w:rsidP="00D1400E">
      <w:pPr>
        <w:spacing w:before="240" w:after="0" w:line="360" w:lineRule="auto"/>
        <w:ind w:firstLine="708"/>
        <w:jc w:val="both"/>
        <w:rPr>
          <w:rFonts w:ascii="Times New Roman" w:hAnsi="Times New Roman"/>
          <w:sz w:val="24"/>
          <w:szCs w:val="24"/>
        </w:rPr>
      </w:pPr>
      <w:r>
        <w:rPr>
          <w:rFonts w:ascii="Times New Roman" w:hAnsi="Times New Roman"/>
          <w:sz w:val="24"/>
          <w:szCs w:val="24"/>
        </w:rPr>
        <w:t>N</w:t>
      </w:r>
      <w:r w:rsidR="00FD610C">
        <w:rPr>
          <w:rFonts w:ascii="Times New Roman" w:hAnsi="Times New Roman"/>
          <w:sz w:val="24"/>
          <w:szCs w:val="24"/>
        </w:rPr>
        <w:t xml:space="preserve">ão são associações </w:t>
      </w:r>
      <w:r w:rsidR="00FD610C" w:rsidRPr="001B1CB7">
        <w:rPr>
          <w:rFonts w:ascii="Times New Roman" w:hAnsi="Times New Roman"/>
          <w:i/>
          <w:sz w:val="24"/>
          <w:szCs w:val="24"/>
        </w:rPr>
        <w:t>dos</w:t>
      </w:r>
      <w:r w:rsidR="00FD610C">
        <w:rPr>
          <w:rFonts w:ascii="Times New Roman" w:hAnsi="Times New Roman"/>
          <w:sz w:val="24"/>
          <w:szCs w:val="24"/>
        </w:rPr>
        <w:t xml:space="preserve">setores populares, mas </w:t>
      </w:r>
      <w:r w:rsidR="00FD610C" w:rsidRPr="001B1CB7">
        <w:rPr>
          <w:rFonts w:ascii="Times New Roman" w:hAnsi="Times New Roman"/>
          <w:i/>
          <w:sz w:val="24"/>
          <w:szCs w:val="24"/>
        </w:rPr>
        <w:t>voltadas para os</w:t>
      </w:r>
      <w:r w:rsidR="00FD610C">
        <w:rPr>
          <w:rFonts w:ascii="Times New Roman" w:hAnsi="Times New Roman"/>
          <w:sz w:val="24"/>
          <w:szCs w:val="24"/>
        </w:rPr>
        <w:t>setores populares, já que foram fundadas pelo próprio empresariado</w:t>
      </w:r>
      <w:r>
        <w:rPr>
          <w:rFonts w:ascii="Times New Roman" w:hAnsi="Times New Roman"/>
          <w:sz w:val="24"/>
          <w:szCs w:val="24"/>
        </w:rPr>
        <w:t xml:space="preserve">, </w:t>
      </w:r>
      <w:r w:rsidRPr="00C3642C">
        <w:rPr>
          <w:rFonts w:ascii="Times New Roman" w:hAnsi="Times New Roman"/>
          <w:sz w:val="24"/>
          <w:szCs w:val="24"/>
        </w:rPr>
        <w:t>na direção de incul</w:t>
      </w:r>
      <w:r w:rsidR="00D41C5A" w:rsidRPr="00C3642C">
        <w:rPr>
          <w:rFonts w:ascii="Times New Roman" w:hAnsi="Times New Roman"/>
          <w:sz w:val="24"/>
          <w:szCs w:val="24"/>
        </w:rPr>
        <w:t>c</w:t>
      </w:r>
      <w:r w:rsidRPr="00C3642C">
        <w:rPr>
          <w:rFonts w:ascii="Times New Roman" w:hAnsi="Times New Roman"/>
          <w:sz w:val="24"/>
          <w:szCs w:val="24"/>
        </w:rPr>
        <w:t xml:space="preserve">ar percepções de mundo do empresariado </w:t>
      </w:r>
      <w:r w:rsidR="00D41C5A" w:rsidRPr="00C3642C">
        <w:rPr>
          <w:rFonts w:ascii="Times New Roman" w:hAnsi="Times New Roman"/>
          <w:sz w:val="24"/>
          <w:szCs w:val="24"/>
        </w:rPr>
        <w:t>junto à classe trabalhadora, por meio da educação, e das formas</w:t>
      </w:r>
      <w:r w:rsidR="00AB5F71" w:rsidRPr="00C3642C">
        <w:rPr>
          <w:rFonts w:ascii="Times New Roman" w:hAnsi="Times New Roman"/>
          <w:sz w:val="24"/>
          <w:szCs w:val="24"/>
        </w:rPr>
        <w:t xml:space="preserve"> de</w:t>
      </w:r>
      <w:r w:rsidR="00D41C5A" w:rsidRPr="00C3642C">
        <w:rPr>
          <w:rFonts w:ascii="Times New Roman" w:hAnsi="Times New Roman"/>
          <w:sz w:val="24"/>
          <w:szCs w:val="24"/>
        </w:rPr>
        <w:t xml:space="preserve"> gestão do alívio precário do sofrimento advindo da exploração capitalista</w:t>
      </w:r>
      <w:r w:rsidR="00FD610C" w:rsidRPr="00C3642C">
        <w:rPr>
          <w:rFonts w:ascii="Times New Roman" w:hAnsi="Times New Roman"/>
          <w:sz w:val="24"/>
          <w:szCs w:val="24"/>
        </w:rPr>
        <w:t>.</w:t>
      </w:r>
      <w:r w:rsidR="00FD610C">
        <w:rPr>
          <w:rFonts w:ascii="Times New Roman" w:hAnsi="Times New Roman"/>
          <w:sz w:val="24"/>
          <w:szCs w:val="24"/>
        </w:rPr>
        <w:t xml:space="preserve"> Confrontando os nomes dos conselheiros, perceberemos que cinco deles aparecem </w:t>
      </w:r>
      <w:r w:rsidR="00FD610C">
        <w:rPr>
          <w:rFonts w:ascii="Times New Roman" w:hAnsi="Times New Roman"/>
          <w:i/>
          <w:sz w:val="24"/>
          <w:szCs w:val="24"/>
        </w:rPr>
        <w:t xml:space="preserve">simultaneamente </w:t>
      </w:r>
      <w:r w:rsidR="00FD610C">
        <w:rPr>
          <w:rFonts w:ascii="Times New Roman" w:hAnsi="Times New Roman"/>
          <w:sz w:val="24"/>
          <w:szCs w:val="24"/>
        </w:rPr>
        <w:t xml:space="preserve">vinculados às entidades do setor </w:t>
      </w:r>
      <w:r w:rsidR="00F862ED">
        <w:rPr>
          <w:rFonts w:ascii="Times New Roman" w:hAnsi="Times New Roman"/>
          <w:sz w:val="24"/>
          <w:szCs w:val="24"/>
        </w:rPr>
        <w:t>bancário</w:t>
      </w:r>
      <w:r w:rsidR="00FD610C">
        <w:rPr>
          <w:rFonts w:ascii="Times New Roman" w:hAnsi="Times New Roman"/>
          <w:sz w:val="24"/>
          <w:szCs w:val="24"/>
        </w:rPr>
        <w:t xml:space="preserve"> (quadro 2</w:t>
      </w:r>
      <w:r w:rsidR="00F862ED">
        <w:rPr>
          <w:rFonts w:ascii="Times New Roman" w:hAnsi="Times New Roman"/>
          <w:sz w:val="24"/>
          <w:szCs w:val="24"/>
        </w:rPr>
        <w:t>.14) e às entidades voltadas ao convencimento e empresariamento da questão s</w:t>
      </w:r>
      <w:r w:rsidR="00CA0999">
        <w:rPr>
          <w:rFonts w:ascii="Times New Roman" w:hAnsi="Times New Roman"/>
          <w:sz w:val="24"/>
          <w:szCs w:val="24"/>
        </w:rPr>
        <w:t>o</w:t>
      </w:r>
      <w:r w:rsidR="00F862ED">
        <w:rPr>
          <w:rFonts w:ascii="Times New Roman" w:hAnsi="Times New Roman"/>
          <w:sz w:val="24"/>
          <w:szCs w:val="24"/>
        </w:rPr>
        <w:t>cioeducacional</w:t>
      </w:r>
      <w:r w:rsidR="00FD610C">
        <w:rPr>
          <w:rFonts w:ascii="Times New Roman" w:hAnsi="Times New Roman"/>
          <w:sz w:val="24"/>
          <w:szCs w:val="24"/>
        </w:rPr>
        <w:t xml:space="preserve"> da população</w:t>
      </w:r>
      <w:r w:rsidR="00FD610C" w:rsidRPr="006E7CA2">
        <w:rPr>
          <w:rFonts w:ascii="Times New Roman" w:hAnsi="Times New Roman"/>
          <w:sz w:val="24"/>
          <w:szCs w:val="24"/>
        </w:rPr>
        <w:t>,</w:t>
      </w:r>
      <w:r w:rsidR="00FD610C" w:rsidRPr="006E7CA2">
        <w:rPr>
          <w:rStyle w:val="Refdenotaderodap"/>
          <w:rFonts w:ascii="Times New Roman" w:hAnsi="Times New Roman"/>
          <w:sz w:val="24"/>
          <w:szCs w:val="24"/>
        </w:rPr>
        <w:footnoteReference w:id="305"/>
      </w:r>
      <w:r w:rsidR="00FD610C">
        <w:rPr>
          <w:rFonts w:ascii="Times New Roman" w:hAnsi="Times New Roman"/>
          <w:sz w:val="24"/>
          <w:szCs w:val="24"/>
        </w:rPr>
        <w:t xml:space="preserve">equivalendo </w:t>
      </w:r>
      <w:r w:rsidR="00F862ED">
        <w:rPr>
          <w:rFonts w:ascii="Times New Roman" w:hAnsi="Times New Roman"/>
          <w:sz w:val="24"/>
          <w:szCs w:val="24"/>
        </w:rPr>
        <w:t xml:space="preserve">a </w:t>
      </w:r>
      <w:r w:rsidR="00FD610C">
        <w:rPr>
          <w:rFonts w:ascii="Times New Roman" w:hAnsi="Times New Roman"/>
          <w:sz w:val="24"/>
          <w:szCs w:val="24"/>
        </w:rPr>
        <w:t xml:space="preserve">pouco mais da metade do número de conselheiros do quadro 2.11, o que revela que a fração </w:t>
      </w:r>
      <w:r w:rsidR="00F862ED">
        <w:rPr>
          <w:rFonts w:ascii="Times New Roman" w:hAnsi="Times New Roman"/>
          <w:sz w:val="24"/>
          <w:szCs w:val="24"/>
        </w:rPr>
        <w:t>bancári</w:t>
      </w:r>
      <w:r w:rsidR="006E7CA2">
        <w:rPr>
          <w:rFonts w:ascii="Times New Roman" w:hAnsi="Times New Roman"/>
          <w:sz w:val="24"/>
          <w:szCs w:val="24"/>
        </w:rPr>
        <w:t>o-financeira</w:t>
      </w:r>
      <w:r w:rsidR="00FD610C">
        <w:rPr>
          <w:rFonts w:ascii="Times New Roman" w:hAnsi="Times New Roman"/>
          <w:sz w:val="24"/>
          <w:szCs w:val="24"/>
        </w:rPr>
        <w:t xml:space="preserve"> presente no CDES estava atenta às novas exigências de seu </w:t>
      </w:r>
      <w:r w:rsidR="00FD610C">
        <w:rPr>
          <w:rFonts w:ascii="Times New Roman" w:hAnsi="Times New Roman"/>
          <w:i/>
          <w:sz w:val="24"/>
          <w:szCs w:val="24"/>
        </w:rPr>
        <w:t>modus operandi</w:t>
      </w:r>
      <w:r w:rsidR="00FD610C">
        <w:rPr>
          <w:rFonts w:ascii="Times New Roman" w:hAnsi="Times New Roman"/>
          <w:sz w:val="24"/>
          <w:szCs w:val="24"/>
        </w:rPr>
        <w:t xml:space="preserve"> na sociedade civil. </w:t>
      </w:r>
    </w:p>
    <w:p w:rsidR="00FD610C" w:rsidRDefault="00FD610C" w:rsidP="00FD610C">
      <w:pPr>
        <w:spacing w:after="0" w:line="360" w:lineRule="auto"/>
        <w:ind w:firstLine="708"/>
        <w:jc w:val="both"/>
        <w:rPr>
          <w:rFonts w:ascii="Times New Roman" w:hAnsi="Times New Roman"/>
          <w:sz w:val="24"/>
          <w:szCs w:val="24"/>
        </w:rPr>
      </w:pPr>
      <w:r>
        <w:rPr>
          <w:rFonts w:ascii="Times New Roman" w:hAnsi="Times New Roman"/>
          <w:sz w:val="24"/>
          <w:szCs w:val="24"/>
        </w:rPr>
        <w:t xml:space="preserve">Cabe ressaltar ainda que Roberto Egydio Setubal estava presente em </w:t>
      </w:r>
      <w:r>
        <w:rPr>
          <w:rFonts w:ascii="Times New Roman" w:hAnsi="Times New Roman"/>
          <w:i/>
          <w:sz w:val="24"/>
          <w:szCs w:val="24"/>
        </w:rPr>
        <w:t xml:space="preserve">todos os tipos de associações </w:t>
      </w:r>
      <w:r>
        <w:rPr>
          <w:rFonts w:ascii="Times New Roman" w:hAnsi="Times New Roman"/>
          <w:sz w:val="24"/>
          <w:szCs w:val="24"/>
        </w:rPr>
        <w:t xml:space="preserve">tratados neste </w:t>
      </w:r>
      <w:r w:rsidR="00253E09">
        <w:rPr>
          <w:rFonts w:ascii="Times New Roman" w:hAnsi="Times New Roman"/>
          <w:sz w:val="24"/>
          <w:szCs w:val="24"/>
        </w:rPr>
        <w:t>capítulo</w:t>
      </w:r>
      <w:r>
        <w:rPr>
          <w:rFonts w:ascii="Times New Roman" w:hAnsi="Times New Roman"/>
          <w:sz w:val="24"/>
          <w:szCs w:val="24"/>
        </w:rPr>
        <w:t xml:space="preserve">, com exceção das associações corporativas </w:t>
      </w:r>
      <w:r w:rsidR="00253E09">
        <w:rPr>
          <w:rFonts w:ascii="Times New Roman" w:hAnsi="Times New Roman"/>
          <w:sz w:val="24"/>
          <w:szCs w:val="24"/>
        </w:rPr>
        <w:t>do</w:t>
      </w:r>
      <w:r w:rsidR="006E7CA2">
        <w:rPr>
          <w:rFonts w:ascii="Times New Roman" w:hAnsi="Times New Roman"/>
          <w:sz w:val="24"/>
          <w:szCs w:val="24"/>
        </w:rPr>
        <w:t xml:space="preserve">s setores </w:t>
      </w:r>
      <w:r>
        <w:rPr>
          <w:rFonts w:ascii="Times New Roman" w:hAnsi="Times New Roman"/>
          <w:sz w:val="24"/>
          <w:szCs w:val="24"/>
        </w:rPr>
        <w:t>industriais. Trata-se, nos termos de Gramsci, de um exemplar vivo de intelectual orgânico da burguesia brasileira no CDES, ao lado de outros empresários como Jorge Gerdau Johannpeter e Oded Grajew.</w:t>
      </w:r>
    </w:p>
    <w:p w:rsidR="00253E09" w:rsidRDefault="00FD610C" w:rsidP="00253E09">
      <w:pPr>
        <w:spacing w:after="0" w:line="360" w:lineRule="auto"/>
        <w:ind w:firstLine="708"/>
        <w:jc w:val="both"/>
        <w:rPr>
          <w:rFonts w:ascii="Times New Roman" w:hAnsi="Times New Roman"/>
          <w:sz w:val="24"/>
          <w:szCs w:val="24"/>
        </w:rPr>
      </w:pPr>
      <w:r>
        <w:rPr>
          <w:rFonts w:ascii="Times New Roman" w:hAnsi="Times New Roman"/>
          <w:sz w:val="24"/>
          <w:szCs w:val="24"/>
        </w:rPr>
        <w:t xml:space="preserve">Ainda que não seja detentora de um cabedal puramente “técnico”, seja na indústria ou nas finanças, Viviane Senna possuía grande imersão no meio empresarial, credenciando-se como “funcionária” das frações empresariais presentes no CDES. </w:t>
      </w:r>
      <w:r w:rsidRPr="0096157E">
        <w:rPr>
          <w:rFonts w:ascii="Times New Roman" w:hAnsi="Times New Roman"/>
          <w:sz w:val="24"/>
          <w:szCs w:val="24"/>
        </w:rPr>
        <w:t>O papel de Viviane Senna nos Conselh</w:t>
      </w:r>
      <w:r w:rsidR="00253E09">
        <w:rPr>
          <w:rFonts w:ascii="Times New Roman" w:hAnsi="Times New Roman"/>
          <w:sz w:val="24"/>
          <w:szCs w:val="24"/>
        </w:rPr>
        <w:t>os de Administração dos grupos bancários</w:t>
      </w:r>
      <w:r w:rsidRPr="0096157E">
        <w:rPr>
          <w:rFonts w:ascii="Times New Roman" w:hAnsi="Times New Roman"/>
          <w:sz w:val="24"/>
          <w:szCs w:val="24"/>
        </w:rPr>
        <w:t xml:space="preserve"> (Citibank, Itaú e Unibanco, sendo o Santander sua inserção mais recente – março de 2010) parece pretender lhes atribuir um “rosto humano”, inserindo-os </w:t>
      </w:r>
      <w:r>
        <w:rPr>
          <w:rFonts w:ascii="Times New Roman" w:hAnsi="Times New Roman"/>
          <w:sz w:val="24"/>
          <w:szCs w:val="24"/>
        </w:rPr>
        <w:t xml:space="preserve">e alfabetizando-os </w:t>
      </w:r>
      <w:r w:rsidRPr="0096157E">
        <w:rPr>
          <w:rFonts w:ascii="Times New Roman" w:hAnsi="Times New Roman"/>
          <w:sz w:val="24"/>
          <w:szCs w:val="24"/>
        </w:rPr>
        <w:t>no trato da</w:t>
      </w:r>
      <w:r>
        <w:rPr>
          <w:rFonts w:ascii="Times New Roman" w:hAnsi="Times New Roman"/>
          <w:sz w:val="24"/>
          <w:szCs w:val="24"/>
        </w:rPr>
        <w:t>s questõessociais</w:t>
      </w:r>
      <w:r w:rsidRPr="0096157E">
        <w:rPr>
          <w:rFonts w:ascii="Times New Roman" w:hAnsi="Times New Roman"/>
          <w:sz w:val="24"/>
          <w:szCs w:val="24"/>
        </w:rPr>
        <w:t>, educaciona</w:t>
      </w:r>
      <w:r>
        <w:rPr>
          <w:rFonts w:ascii="Times New Roman" w:hAnsi="Times New Roman"/>
          <w:sz w:val="24"/>
          <w:szCs w:val="24"/>
        </w:rPr>
        <w:t>is</w:t>
      </w:r>
      <w:r w:rsidRPr="0096157E">
        <w:rPr>
          <w:rFonts w:ascii="Times New Roman" w:hAnsi="Times New Roman"/>
          <w:sz w:val="24"/>
          <w:szCs w:val="24"/>
        </w:rPr>
        <w:t xml:space="preserve"> e cultura</w:t>
      </w:r>
      <w:r>
        <w:rPr>
          <w:rFonts w:ascii="Times New Roman" w:hAnsi="Times New Roman"/>
          <w:sz w:val="24"/>
          <w:szCs w:val="24"/>
        </w:rPr>
        <w:t>is</w:t>
      </w:r>
      <w:r w:rsidRPr="0096157E">
        <w:rPr>
          <w:rFonts w:ascii="Times New Roman" w:hAnsi="Times New Roman"/>
          <w:sz w:val="24"/>
          <w:szCs w:val="24"/>
        </w:rPr>
        <w:t xml:space="preserve"> no Brasil, imputando-a</w:t>
      </w:r>
      <w:r>
        <w:rPr>
          <w:rFonts w:ascii="Times New Roman" w:hAnsi="Times New Roman"/>
          <w:sz w:val="24"/>
          <w:szCs w:val="24"/>
        </w:rPr>
        <w:t>s</w:t>
      </w:r>
      <w:r w:rsidRPr="0096157E">
        <w:rPr>
          <w:rFonts w:ascii="Times New Roman" w:hAnsi="Times New Roman"/>
          <w:sz w:val="24"/>
          <w:szCs w:val="24"/>
        </w:rPr>
        <w:t xml:space="preserve"> feição mercantil.</w:t>
      </w:r>
    </w:p>
    <w:p w:rsidR="00FD610C" w:rsidRDefault="00FD610C" w:rsidP="00FD610C">
      <w:pPr>
        <w:spacing w:line="360" w:lineRule="auto"/>
        <w:ind w:firstLine="708"/>
        <w:jc w:val="both"/>
        <w:rPr>
          <w:rFonts w:ascii="Times New Roman" w:hAnsi="Times New Roman"/>
          <w:sz w:val="24"/>
          <w:szCs w:val="24"/>
        </w:rPr>
      </w:pPr>
      <w:r>
        <w:rPr>
          <w:rFonts w:ascii="Times New Roman" w:hAnsi="Times New Roman"/>
          <w:sz w:val="24"/>
          <w:szCs w:val="24"/>
        </w:rPr>
        <w:t xml:space="preserve">Além disso, é evidente que o Instituto Ayrton Senna (IAS), da qual é fundadora, destina-se, como sabemos, à prestação de serviços nos assuntos pertinentes à área educacional, angariando volumosos recursos junto – principalmente, mas não apenas –às secretarias municipais e estaduais do sistema público de educação, </w:t>
      </w:r>
      <w:r w:rsidRPr="00292CCC">
        <w:rPr>
          <w:rFonts w:ascii="Times New Roman" w:hAnsi="Times New Roman"/>
          <w:sz w:val="24"/>
          <w:szCs w:val="24"/>
        </w:rPr>
        <w:t xml:space="preserve">encaminhando uma proposta geral deeducação </w:t>
      </w:r>
      <w:r>
        <w:rPr>
          <w:rFonts w:ascii="Times New Roman" w:hAnsi="Times New Roman"/>
          <w:sz w:val="24"/>
          <w:szCs w:val="24"/>
        </w:rPr>
        <w:t>que envolveformulação curricular</w:t>
      </w:r>
      <w:r w:rsidRPr="00292CCC">
        <w:rPr>
          <w:rFonts w:ascii="Times New Roman" w:hAnsi="Times New Roman"/>
          <w:sz w:val="24"/>
          <w:szCs w:val="24"/>
        </w:rPr>
        <w:t>, gestão</w:t>
      </w:r>
      <w:r>
        <w:rPr>
          <w:rFonts w:ascii="Times New Roman" w:hAnsi="Times New Roman"/>
          <w:sz w:val="24"/>
          <w:szCs w:val="24"/>
        </w:rPr>
        <w:t xml:space="preserve"> e produção materiais didáticos</w:t>
      </w:r>
      <w:r w:rsidRPr="00292CCC">
        <w:rPr>
          <w:rFonts w:ascii="Times New Roman" w:hAnsi="Times New Roman"/>
          <w:sz w:val="24"/>
          <w:szCs w:val="24"/>
        </w:rPr>
        <w:t xml:space="preserve"> e formação de professores</w:t>
      </w:r>
      <w:r>
        <w:rPr>
          <w:rFonts w:ascii="Times New Roman" w:hAnsi="Times New Roman"/>
          <w:sz w:val="24"/>
          <w:szCs w:val="24"/>
        </w:rPr>
        <w:t xml:space="preserve">. Trata-se, portanto, de um potente agente empresarial educacional com vinculações a grandes grupos e entidades associativas empresariais, sendo que boa parte de suas lideranças e CEO’s, inclusive, estavam presentes no CDES. Segundo Peroni e Caetano, </w:t>
      </w:r>
    </w:p>
    <w:p w:rsidR="00FD610C" w:rsidRDefault="00FD610C" w:rsidP="00FD610C">
      <w:pPr>
        <w:spacing w:line="240" w:lineRule="auto"/>
        <w:ind w:left="2268"/>
        <w:jc w:val="both"/>
        <w:rPr>
          <w:rFonts w:ascii="Times New Roman" w:hAnsi="Times New Roman"/>
          <w:sz w:val="24"/>
          <w:szCs w:val="24"/>
        </w:rPr>
      </w:pPr>
      <w:r w:rsidRPr="00EB4DC2">
        <w:rPr>
          <w:rFonts w:ascii="Times New Roman" w:hAnsi="Times New Roman"/>
          <w:sz w:val="20"/>
          <w:szCs w:val="20"/>
        </w:rPr>
        <w:t>Viviane Senna, presidente do IAS, possui uma ampla atuação em empresas e instituições públicas e privadas do Brasil e do exterior. Como empresária, participa de organizações da sociedade civil que se propõem a influenciar o desenho de políticas públicas através da divulgação de novas ideias e da criação de bases de acordo, intelectual e técnico, para reformular os sistemas educativos, identificar novas práticas e participar das reformas educativas. Esses empresários se unem aos tomadores de decisão e formadores de opinião sobre a política educacional e se legitimam perante a sociedade</w:t>
      </w:r>
      <w:r>
        <w:rPr>
          <w:rFonts w:ascii="Times New Roman" w:hAnsi="Times New Roman"/>
          <w:sz w:val="24"/>
          <w:szCs w:val="24"/>
        </w:rPr>
        <w:t>.</w:t>
      </w:r>
      <w:r>
        <w:rPr>
          <w:rStyle w:val="Refdenotaderodap"/>
          <w:rFonts w:ascii="Times New Roman" w:hAnsi="Times New Roman"/>
          <w:sz w:val="24"/>
          <w:szCs w:val="24"/>
        </w:rPr>
        <w:footnoteReference w:id="306"/>
      </w:r>
    </w:p>
    <w:p w:rsidR="00FD610C" w:rsidRDefault="00FD610C" w:rsidP="00DE37D0">
      <w:pPr>
        <w:spacing w:line="360" w:lineRule="auto"/>
        <w:ind w:firstLine="708"/>
        <w:jc w:val="both"/>
        <w:rPr>
          <w:rFonts w:ascii="Times New Roman" w:hAnsi="Times New Roman"/>
          <w:sz w:val="24"/>
          <w:szCs w:val="24"/>
        </w:rPr>
      </w:pPr>
      <w:r>
        <w:rPr>
          <w:rFonts w:ascii="Times New Roman" w:hAnsi="Times New Roman"/>
          <w:sz w:val="24"/>
          <w:szCs w:val="24"/>
        </w:rPr>
        <w:t xml:space="preserve">Os laços empresariais de Viviane Senna e do Instituto Ayrton Senna estão evidenciados na figura abaixo: </w:t>
      </w:r>
    </w:p>
    <w:p w:rsidR="00FD610C" w:rsidRPr="002A7FED" w:rsidRDefault="00FD610C" w:rsidP="00FD610C">
      <w:pPr>
        <w:ind w:firstLine="708"/>
        <w:jc w:val="center"/>
        <w:rPr>
          <w:rFonts w:ascii="Times New Roman" w:hAnsi="Times New Roman"/>
          <w:b/>
          <w:sz w:val="24"/>
          <w:szCs w:val="24"/>
        </w:rPr>
      </w:pPr>
      <w:r>
        <w:rPr>
          <w:rFonts w:ascii="Times New Roman" w:hAnsi="Times New Roman"/>
          <w:b/>
          <w:sz w:val="24"/>
          <w:szCs w:val="24"/>
        </w:rPr>
        <w:t>Figura 2.2 – Laços da conselheira Viviane Senna e do Instituto Ayrton Senna com entidades da sociedade civil e com o meio empresarial</w:t>
      </w:r>
      <w:r w:rsidRPr="006E7CA2">
        <w:rPr>
          <w:rStyle w:val="Refdenotaderodap"/>
          <w:rFonts w:ascii="Times New Roman" w:hAnsi="Times New Roman"/>
          <w:b/>
          <w:sz w:val="24"/>
          <w:szCs w:val="24"/>
        </w:rPr>
        <w:footnoteReference w:id="307"/>
      </w:r>
    </w:p>
    <w:p w:rsidR="00FD610C" w:rsidRDefault="0018135C" w:rsidP="00FD610C">
      <w:pPr>
        <w:spacing w:after="0"/>
        <w:jc w:val="center"/>
        <w:rPr>
          <w:rFonts w:ascii="Times New Roman" w:hAnsi="Times New Roman"/>
          <w:b/>
          <w:sz w:val="24"/>
          <w:szCs w:val="24"/>
        </w:rPr>
      </w:pPr>
      <w:r>
        <w:rPr>
          <w:rFonts w:ascii="Times New Roman" w:hAnsi="Times New Roman"/>
          <w:b/>
          <w:noProof/>
          <w:sz w:val="24"/>
          <w:szCs w:val="24"/>
          <w:lang w:eastAsia="pt-BR"/>
        </w:rPr>
        <w:drawing>
          <wp:inline distT="0" distB="0" distL="0" distR="0">
            <wp:extent cx="4210050" cy="3834765"/>
            <wp:effectExtent l="19050" t="0" r="0" b="0"/>
            <wp:docPr id="8" name="Imagem 1" descr="C:\Users\Andre\Downloads\and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Andre\Downloads\andre 2.jpg"/>
                    <pic:cNvPicPr>
                      <a:picLocks noChangeAspect="1" noChangeArrowheads="1"/>
                    </pic:cNvPicPr>
                  </pic:nvPicPr>
                  <pic:blipFill>
                    <a:blip r:embed="rId20"/>
                    <a:srcRect/>
                    <a:stretch>
                      <a:fillRect/>
                    </a:stretch>
                  </pic:blipFill>
                  <pic:spPr bwMode="auto">
                    <a:xfrm>
                      <a:off x="0" y="0"/>
                      <a:ext cx="4210050" cy="3834765"/>
                    </a:xfrm>
                    <a:prstGeom prst="rect">
                      <a:avLst/>
                    </a:prstGeom>
                    <a:noFill/>
                    <a:ln w="9525">
                      <a:noFill/>
                      <a:miter lim="800000"/>
                      <a:headEnd/>
                      <a:tailEnd/>
                    </a:ln>
                  </pic:spPr>
                </pic:pic>
              </a:graphicData>
            </a:graphic>
          </wp:inline>
        </w:drawing>
      </w:r>
    </w:p>
    <w:p w:rsidR="00FD610C" w:rsidRDefault="00FD610C" w:rsidP="00FD610C">
      <w:pPr>
        <w:spacing w:line="360" w:lineRule="auto"/>
        <w:rPr>
          <w:rFonts w:ascii="Times New Roman" w:hAnsi="Times New Roman"/>
          <w:sz w:val="18"/>
          <w:szCs w:val="18"/>
        </w:rPr>
      </w:pPr>
      <w:r w:rsidRPr="00D1400E">
        <w:rPr>
          <w:rFonts w:ascii="Times New Roman" w:hAnsi="Times New Roman"/>
          <w:b/>
          <w:sz w:val="18"/>
          <w:szCs w:val="18"/>
        </w:rPr>
        <w:t>Elaboração própria</w:t>
      </w:r>
      <w:r>
        <w:rPr>
          <w:rFonts w:ascii="Times New Roman" w:hAnsi="Times New Roman"/>
          <w:sz w:val="18"/>
          <w:szCs w:val="18"/>
        </w:rPr>
        <w:t xml:space="preserve"> inspirada em PERONI, V. M. (2012: 11); </w:t>
      </w:r>
      <w:r w:rsidRPr="00630A67">
        <w:rPr>
          <w:rFonts w:ascii="Times New Roman" w:hAnsi="Times New Roman"/>
          <w:b/>
          <w:sz w:val="18"/>
          <w:szCs w:val="18"/>
        </w:rPr>
        <w:t>Demais fontes</w:t>
      </w:r>
      <w:r>
        <w:rPr>
          <w:rFonts w:ascii="Times New Roman" w:hAnsi="Times New Roman"/>
          <w:sz w:val="18"/>
          <w:szCs w:val="18"/>
        </w:rPr>
        <w:t xml:space="preserve">: </w:t>
      </w:r>
      <w:r w:rsidRPr="00720548">
        <w:rPr>
          <w:rFonts w:ascii="Times New Roman" w:hAnsi="Times New Roman"/>
          <w:sz w:val="18"/>
          <w:szCs w:val="18"/>
        </w:rPr>
        <w:t>sites</w:t>
      </w:r>
      <w:r>
        <w:rPr>
          <w:rFonts w:ascii="Times New Roman" w:hAnsi="Times New Roman"/>
          <w:sz w:val="18"/>
          <w:szCs w:val="18"/>
        </w:rPr>
        <w:t xml:space="preserve"> do Inst. Ayrton Senna e do CDES. </w:t>
      </w:r>
    </w:p>
    <w:p w:rsidR="00FD610C" w:rsidRDefault="00FD610C" w:rsidP="00FD610C">
      <w:pPr>
        <w:spacing w:after="0" w:line="360" w:lineRule="auto"/>
        <w:ind w:firstLine="708"/>
        <w:jc w:val="both"/>
        <w:rPr>
          <w:rFonts w:ascii="Times New Roman" w:hAnsi="Times New Roman"/>
          <w:sz w:val="24"/>
          <w:szCs w:val="24"/>
        </w:rPr>
      </w:pPr>
      <w:r w:rsidRPr="0096157E">
        <w:rPr>
          <w:rFonts w:ascii="Times New Roman" w:hAnsi="Times New Roman"/>
          <w:sz w:val="24"/>
          <w:szCs w:val="24"/>
        </w:rPr>
        <w:t>A ilustre filantropa também participa</w:t>
      </w:r>
      <w:r>
        <w:rPr>
          <w:rFonts w:ascii="Times New Roman" w:hAnsi="Times New Roman"/>
          <w:sz w:val="24"/>
          <w:szCs w:val="24"/>
        </w:rPr>
        <w:t>va</w:t>
      </w:r>
      <w:r w:rsidRPr="0096157E">
        <w:rPr>
          <w:rFonts w:ascii="Times New Roman" w:hAnsi="Times New Roman"/>
          <w:sz w:val="24"/>
          <w:szCs w:val="24"/>
        </w:rPr>
        <w:t xml:space="preserve"> do Conselho de Educação de importantes enti</w:t>
      </w:r>
      <w:r>
        <w:rPr>
          <w:rFonts w:ascii="Times New Roman" w:hAnsi="Times New Roman"/>
          <w:sz w:val="24"/>
          <w:szCs w:val="24"/>
        </w:rPr>
        <w:t>dades patronais, tais como CNI,</w:t>
      </w:r>
      <w:r w:rsidR="000834BC">
        <w:rPr>
          <w:rFonts w:ascii="Times New Roman" w:hAnsi="Times New Roman"/>
          <w:sz w:val="24"/>
          <w:szCs w:val="24"/>
        </w:rPr>
        <w:t>FIESP</w:t>
      </w:r>
      <w:r>
        <w:rPr>
          <w:rFonts w:ascii="Times New Roman" w:hAnsi="Times New Roman"/>
          <w:sz w:val="24"/>
          <w:szCs w:val="24"/>
        </w:rPr>
        <w:t xml:space="preserve"> e FEBRABAN, em empresas e organismos internacionais. Os laços que estabelecia com frações empresariais alargavam e reforçavam tanto a </w:t>
      </w:r>
      <w:r>
        <w:rPr>
          <w:rFonts w:ascii="Times New Roman" w:hAnsi="Times New Roman"/>
          <w:i/>
          <w:sz w:val="24"/>
          <w:szCs w:val="24"/>
        </w:rPr>
        <w:t xml:space="preserve">rede corporativa </w:t>
      </w:r>
      <w:r>
        <w:rPr>
          <w:rFonts w:ascii="Times New Roman" w:hAnsi="Times New Roman"/>
          <w:sz w:val="24"/>
          <w:szCs w:val="24"/>
        </w:rPr>
        <w:t xml:space="preserve">quanto a </w:t>
      </w:r>
      <w:r w:rsidRPr="009826DB">
        <w:rPr>
          <w:rFonts w:ascii="Times New Roman" w:hAnsi="Times New Roman"/>
          <w:i/>
          <w:sz w:val="24"/>
          <w:szCs w:val="24"/>
        </w:rPr>
        <w:t>redeassociativa</w:t>
      </w:r>
      <w:r>
        <w:rPr>
          <w:rFonts w:ascii="Times New Roman" w:hAnsi="Times New Roman"/>
          <w:i/>
          <w:sz w:val="24"/>
          <w:szCs w:val="24"/>
        </w:rPr>
        <w:t xml:space="preserve"> voltada para </w:t>
      </w:r>
      <w:r w:rsidR="00253E09">
        <w:rPr>
          <w:rFonts w:ascii="Times New Roman" w:hAnsi="Times New Roman"/>
          <w:i/>
          <w:sz w:val="24"/>
          <w:szCs w:val="24"/>
        </w:rPr>
        <w:t>o convencimento e o empresariamento da questão s</w:t>
      </w:r>
      <w:r w:rsidR="00CA0999">
        <w:rPr>
          <w:rFonts w:ascii="Times New Roman" w:hAnsi="Times New Roman"/>
          <w:i/>
          <w:sz w:val="24"/>
          <w:szCs w:val="24"/>
        </w:rPr>
        <w:t>o</w:t>
      </w:r>
      <w:r w:rsidR="00253E09">
        <w:rPr>
          <w:rFonts w:ascii="Times New Roman" w:hAnsi="Times New Roman"/>
          <w:i/>
          <w:sz w:val="24"/>
          <w:szCs w:val="24"/>
        </w:rPr>
        <w:t>cioeducacional</w:t>
      </w:r>
      <w:r>
        <w:rPr>
          <w:rFonts w:ascii="Times New Roman" w:hAnsi="Times New Roman"/>
          <w:i/>
          <w:sz w:val="24"/>
          <w:szCs w:val="24"/>
        </w:rPr>
        <w:t xml:space="preserve">. </w:t>
      </w:r>
      <w:r>
        <w:rPr>
          <w:rFonts w:ascii="Times New Roman" w:hAnsi="Times New Roman"/>
          <w:sz w:val="24"/>
          <w:szCs w:val="24"/>
        </w:rPr>
        <w:t xml:space="preserve">Cumpria desta forma função educativa e organizativa </w:t>
      </w:r>
      <w:r w:rsidRPr="002853C2">
        <w:rPr>
          <w:rFonts w:ascii="Times New Roman" w:hAnsi="Times New Roman"/>
          <w:i/>
          <w:sz w:val="24"/>
          <w:szCs w:val="24"/>
        </w:rPr>
        <w:t>frente e para</w:t>
      </w:r>
      <w:r>
        <w:rPr>
          <w:rFonts w:ascii="Times New Roman" w:hAnsi="Times New Roman"/>
          <w:sz w:val="24"/>
          <w:szCs w:val="24"/>
        </w:rPr>
        <w:t xml:space="preserve"> o empresariado, credenciando-se como uma intelectual orgânica da burguesia. Às camadas mais pobres da população destinava-se </w:t>
      </w:r>
      <w:r w:rsidR="00A05B55">
        <w:rPr>
          <w:rFonts w:ascii="Times New Roman" w:hAnsi="Times New Roman"/>
          <w:sz w:val="24"/>
          <w:szCs w:val="24"/>
        </w:rPr>
        <w:t>a</w:t>
      </w:r>
      <w:r>
        <w:rPr>
          <w:rFonts w:ascii="Times New Roman" w:hAnsi="Times New Roman"/>
          <w:sz w:val="24"/>
          <w:szCs w:val="24"/>
        </w:rPr>
        <w:t xml:space="preserve"> produção, disseminação e sedimentação de uma cultura burguesa própria, voltada para a formação de uma “cidadania inclusiva” e de uma </w:t>
      </w:r>
      <w:r w:rsidR="00D056BE">
        <w:rPr>
          <w:rFonts w:ascii="Times New Roman" w:hAnsi="Times New Roman"/>
          <w:sz w:val="24"/>
          <w:szCs w:val="24"/>
        </w:rPr>
        <w:t>mão de obra</w:t>
      </w:r>
      <w:r>
        <w:rPr>
          <w:rFonts w:ascii="Times New Roman" w:hAnsi="Times New Roman"/>
          <w:sz w:val="24"/>
          <w:szCs w:val="24"/>
        </w:rPr>
        <w:t xml:space="preserve"> “participativa”, atributos adequados aos padrões de sociabilidade vigentes.</w:t>
      </w:r>
    </w:p>
    <w:p w:rsidR="00253E09" w:rsidRDefault="00253E09" w:rsidP="00253E09">
      <w:pPr>
        <w:spacing w:after="0" w:line="360" w:lineRule="auto"/>
        <w:jc w:val="both"/>
        <w:rPr>
          <w:rFonts w:ascii="Times New Roman" w:hAnsi="Times New Roman"/>
          <w:sz w:val="24"/>
          <w:szCs w:val="24"/>
        </w:rPr>
      </w:pPr>
    </w:p>
    <w:p w:rsidR="00253E09" w:rsidRPr="00C3642C" w:rsidRDefault="00A05B55" w:rsidP="00A05B55">
      <w:pPr>
        <w:spacing w:after="0"/>
        <w:jc w:val="both"/>
        <w:rPr>
          <w:rFonts w:ascii="Times New Roman" w:hAnsi="Times New Roman"/>
          <w:b/>
          <w:sz w:val="24"/>
          <w:szCs w:val="24"/>
        </w:rPr>
      </w:pPr>
      <w:r w:rsidRPr="00C3642C">
        <w:rPr>
          <w:rFonts w:ascii="Times New Roman" w:hAnsi="Times New Roman"/>
          <w:b/>
          <w:sz w:val="24"/>
          <w:szCs w:val="24"/>
        </w:rPr>
        <w:t>2</w:t>
      </w:r>
      <w:r w:rsidR="004504F4" w:rsidRPr="00C3642C">
        <w:rPr>
          <w:rFonts w:ascii="Times New Roman" w:hAnsi="Times New Roman"/>
          <w:b/>
          <w:sz w:val="24"/>
          <w:szCs w:val="24"/>
        </w:rPr>
        <w:t>.3.5</w:t>
      </w:r>
      <w:r w:rsidRPr="00C3642C">
        <w:rPr>
          <w:rFonts w:ascii="Times New Roman" w:hAnsi="Times New Roman"/>
          <w:b/>
          <w:sz w:val="24"/>
          <w:szCs w:val="24"/>
        </w:rPr>
        <w:t xml:space="preserve"> – A organização dos conselheiros-empresários nos aparelhos privados de hegemonia empresariais da sociedade civil</w:t>
      </w:r>
    </w:p>
    <w:p w:rsidR="00A05B55" w:rsidRPr="00C3642C" w:rsidRDefault="00A05B55" w:rsidP="00A05B55">
      <w:pPr>
        <w:spacing w:after="0"/>
        <w:jc w:val="both"/>
        <w:rPr>
          <w:rFonts w:ascii="Times New Roman" w:hAnsi="Times New Roman"/>
          <w:sz w:val="24"/>
          <w:szCs w:val="24"/>
        </w:rPr>
      </w:pPr>
    </w:p>
    <w:p w:rsidR="00FD610C" w:rsidRDefault="00FD610C" w:rsidP="00FD610C">
      <w:pPr>
        <w:spacing w:line="360" w:lineRule="auto"/>
        <w:ind w:firstLine="708"/>
        <w:jc w:val="both"/>
        <w:rPr>
          <w:rFonts w:ascii="Times New Roman" w:hAnsi="Times New Roman"/>
          <w:sz w:val="24"/>
          <w:szCs w:val="24"/>
        </w:rPr>
      </w:pPr>
      <w:r>
        <w:rPr>
          <w:rFonts w:ascii="Times New Roman" w:hAnsi="Times New Roman"/>
          <w:sz w:val="24"/>
          <w:szCs w:val="24"/>
        </w:rPr>
        <w:t xml:space="preserve">Uma visão global das inserções de todos os conselheiros-empresários, das frações do capital (industrial, </w:t>
      </w:r>
      <w:r w:rsidR="00A05B55">
        <w:rPr>
          <w:rFonts w:ascii="Times New Roman" w:hAnsi="Times New Roman"/>
          <w:sz w:val="24"/>
          <w:szCs w:val="24"/>
        </w:rPr>
        <w:t>bancária</w:t>
      </w:r>
      <w:r>
        <w:rPr>
          <w:rFonts w:ascii="Times New Roman" w:hAnsi="Times New Roman"/>
          <w:sz w:val="24"/>
          <w:szCs w:val="24"/>
        </w:rPr>
        <w:t>, comercial e de serviços) nas mais diversas associações burguesas da sociedade civil pode ser visualizado no quadro abaixo:</w:t>
      </w:r>
    </w:p>
    <w:p w:rsidR="00FD610C" w:rsidRPr="0011439D" w:rsidRDefault="00FD610C" w:rsidP="00A71202">
      <w:pPr>
        <w:spacing w:after="0"/>
        <w:ind w:firstLine="708"/>
        <w:jc w:val="center"/>
        <w:rPr>
          <w:rFonts w:ascii="Times New Roman" w:hAnsi="Times New Roman"/>
          <w:b/>
          <w:sz w:val="24"/>
          <w:szCs w:val="24"/>
        </w:rPr>
      </w:pPr>
      <w:r w:rsidRPr="00A45E12">
        <w:rPr>
          <w:rFonts w:ascii="Times New Roman" w:hAnsi="Times New Roman"/>
          <w:b/>
          <w:sz w:val="24"/>
          <w:szCs w:val="24"/>
        </w:rPr>
        <w:t xml:space="preserve">Quadro </w:t>
      </w:r>
      <w:r>
        <w:rPr>
          <w:rFonts w:ascii="Times New Roman" w:hAnsi="Times New Roman"/>
          <w:b/>
          <w:sz w:val="24"/>
          <w:szCs w:val="24"/>
        </w:rPr>
        <w:t>2.20</w:t>
      </w:r>
      <w:r w:rsidRPr="00A45E12">
        <w:rPr>
          <w:rFonts w:ascii="Times New Roman" w:hAnsi="Times New Roman"/>
          <w:b/>
          <w:sz w:val="24"/>
          <w:szCs w:val="24"/>
        </w:rPr>
        <w:t xml:space="preserve"> –</w:t>
      </w:r>
      <w:r w:rsidRPr="0011439D">
        <w:rPr>
          <w:rFonts w:ascii="Times New Roman" w:hAnsi="Times New Roman"/>
          <w:b/>
          <w:sz w:val="24"/>
          <w:szCs w:val="24"/>
        </w:rPr>
        <w:t xml:space="preserve"> A presença dos conselheiros-empresáriosem suas</w:t>
      </w:r>
    </w:p>
    <w:p w:rsidR="00FD610C" w:rsidRPr="00DA4118" w:rsidRDefault="00FD610C" w:rsidP="00FD610C">
      <w:pPr>
        <w:spacing w:line="360" w:lineRule="auto"/>
        <w:ind w:firstLine="708"/>
        <w:jc w:val="center"/>
        <w:rPr>
          <w:rFonts w:ascii="Times New Roman" w:hAnsi="Times New Roman"/>
          <w:sz w:val="24"/>
          <w:szCs w:val="24"/>
        </w:rPr>
      </w:pPr>
      <w:r w:rsidRPr="0011439D">
        <w:rPr>
          <w:rFonts w:ascii="Times New Roman" w:hAnsi="Times New Roman"/>
          <w:b/>
          <w:sz w:val="24"/>
          <w:szCs w:val="24"/>
        </w:rPr>
        <w:t xml:space="preserve">associações da sociedade civil </w:t>
      </w:r>
      <w:r>
        <w:rPr>
          <w:rFonts w:ascii="Times New Roman" w:hAnsi="Times New Roman"/>
          <w:b/>
          <w:sz w:val="24"/>
          <w:szCs w:val="24"/>
        </w:rPr>
        <w:t>(</w:t>
      </w:r>
      <w:r w:rsidRPr="00DA4118">
        <w:rPr>
          <w:rFonts w:ascii="Times New Roman" w:hAnsi="Times New Roman"/>
          <w:b/>
          <w:sz w:val="24"/>
          <w:szCs w:val="24"/>
        </w:rPr>
        <w:t>2003-2010</w:t>
      </w:r>
      <w:r>
        <w:rPr>
          <w:rFonts w:ascii="Times New Roman" w:hAnsi="Times New Roman"/>
          <w:b/>
          <w:sz w:val="24"/>
          <w:szCs w:val="24"/>
        </w:rPr>
        <w:t>)</w:t>
      </w:r>
    </w:p>
    <w:tbl>
      <w:tblPr>
        <w:tblW w:w="4884"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963"/>
        <w:gridCol w:w="6684"/>
        <w:gridCol w:w="425"/>
      </w:tblGrid>
      <w:tr w:rsidR="00FD610C" w:rsidRPr="008211FD" w:rsidTr="00720548">
        <w:tc>
          <w:tcPr>
            <w:tcW w:w="1082" w:type="pct"/>
            <w:tcBorders>
              <w:top w:val="single" w:sz="8" w:space="0" w:color="4F81BD"/>
              <w:left w:val="single" w:sz="8" w:space="0" w:color="4F81BD"/>
              <w:bottom w:val="single" w:sz="18" w:space="0" w:color="4F81BD"/>
              <w:right w:val="single" w:sz="8" w:space="0" w:color="4F81BD"/>
            </w:tcBorders>
          </w:tcPr>
          <w:p w:rsidR="00FD610C" w:rsidRPr="008211FD" w:rsidRDefault="00FD610C" w:rsidP="00CE3680">
            <w:pPr>
              <w:spacing w:after="0"/>
              <w:rPr>
                <w:rFonts w:ascii="Times New Roman" w:hAnsi="Times New Roman"/>
                <w:b/>
                <w:sz w:val="20"/>
                <w:szCs w:val="20"/>
              </w:rPr>
            </w:pPr>
            <w:r w:rsidRPr="008211FD">
              <w:rPr>
                <w:rFonts w:ascii="Times New Roman" w:hAnsi="Times New Roman"/>
                <w:b/>
                <w:sz w:val="20"/>
                <w:szCs w:val="20"/>
              </w:rPr>
              <w:br w:type="page"/>
              <w:t xml:space="preserve">Entidades </w:t>
            </w:r>
          </w:p>
        </w:tc>
        <w:tc>
          <w:tcPr>
            <w:tcW w:w="3684" w:type="pct"/>
            <w:tcBorders>
              <w:top w:val="single" w:sz="8" w:space="0" w:color="4F81BD"/>
              <w:left w:val="single" w:sz="8" w:space="0" w:color="4F81BD"/>
              <w:bottom w:val="single" w:sz="18" w:space="0" w:color="4F81BD"/>
              <w:right w:val="single" w:sz="8" w:space="0" w:color="4F81BD"/>
            </w:tcBorders>
          </w:tcPr>
          <w:p w:rsidR="00FD610C" w:rsidRPr="008211FD" w:rsidRDefault="00FD610C" w:rsidP="00CE3680">
            <w:pPr>
              <w:spacing w:after="0"/>
              <w:jc w:val="both"/>
              <w:rPr>
                <w:rFonts w:ascii="Times New Roman" w:hAnsi="Times New Roman"/>
                <w:b/>
                <w:color w:val="000000"/>
                <w:sz w:val="20"/>
                <w:szCs w:val="20"/>
              </w:rPr>
            </w:pPr>
            <w:r w:rsidRPr="008211FD">
              <w:rPr>
                <w:rFonts w:ascii="Times New Roman" w:hAnsi="Times New Roman"/>
                <w:b/>
                <w:color w:val="000000"/>
                <w:sz w:val="20"/>
                <w:szCs w:val="20"/>
              </w:rPr>
              <w:t>Conselheiros-empresários e/ou suas entidades da sociedade civil</w:t>
            </w:r>
          </w:p>
        </w:tc>
        <w:tc>
          <w:tcPr>
            <w:tcW w:w="234" w:type="pct"/>
            <w:tcBorders>
              <w:top w:val="single" w:sz="8" w:space="0" w:color="4F81BD"/>
              <w:left w:val="single" w:sz="8" w:space="0" w:color="4F81BD"/>
              <w:bottom w:val="single" w:sz="18" w:space="0" w:color="4F81BD"/>
              <w:right w:val="single" w:sz="8" w:space="0" w:color="4F81BD"/>
            </w:tcBorders>
          </w:tcPr>
          <w:p w:rsidR="00FD610C" w:rsidRPr="008211FD" w:rsidRDefault="00FD610C" w:rsidP="00CE3680">
            <w:pPr>
              <w:spacing w:after="0"/>
              <w:jc w:val="center"/>
              <w:rPr>
                <w:rFonts w:ascii="Times New Roman" w:hAnsi="Times New Roman"/>
                <w:b/>
                <w:color w:val="000000"/>
                <w:sz w:val="20"/>
                <w:szCs w:val="20"/>
              </w:rPr>
            </w:pPr>
            <w:r w:rsidRPr="008211FD">
              <w:rPr>
                <w:rFonts w:ascii="Times New Roman" w:hAnsi="Times New Roman"/>
                <w:b/>
                <w:color w:val="000000"/>
                <w:sz w:val="20"/>
                <w:szCs w:val="20"/>
              </w:rPr>
              <w:t>T</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rPr>
                <w:rFonts w:ascii="Times New Roman" w:hAnsi="Times New Roman"/>
                <w:sz w:val="16"/>
                <w:szCs w:val="16"/>
              </w:rPr>
            </w:pPr>
            <w:r w:rsidRPr="008211FD">
              <w:rPr>
                <w:rFonts w:ascii="Times New Roman" w:hAnsi="Times New Roman"/>
                <w:sz w:val="16"/>
                <w:szCs w:val="16"/>
              </w:rPr>
              <w:t>Associações Corporativas Setoriais (Industriais, Comerciais, Financeiras e Agropecuárias)</w:t>
            </w:r>
            <w:r w:rsidRPr="008211FD">
              <w:rPr>
                <w:rStyle w:val="Refdenotaderodap"/>
                <w:sz w:val="16"/>
                <w:szCs w:val="16"/>
              </w:rPr>
              <w:footnoteReference w:id="308"/>
            </w:r>
          </w:p>
        </w:tc>
        <w:tc>
          <w:tcPr>
            <w:tcW w:w="368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Default"/>
              <w:spacing w:line="276" w:lineRule="auto"/>
              <w:jc w:val="both"/>
              <w:rPr>
                <w:sz w:val="16"/>
                <w:szCs w:val="16"/>
              </w:rPr>
            </w:pPr>
            <w:r w:rsidRPr="008211FD">
              <w:rPr>
                <w:sz w:val="16"/>
                <w:szCs w:val="16"/>
              </w:rPr>
              <w:t xml:space="preserve">ABIQUIM, ABINFINA, APLA, </w:t>
            </w:r>
            <w:r w:rsidRPr="008211FD">
              <w:rPr>
                <w:sz w:val="16"/>
                <w:szCs w:val="16"/>
                <w:lang w:val="pt-PT"/>
              </w:rPr>
              <w:t xml:space="preserve">ABBI, </w:t>
            </w:r>
            <w:r w:rsidRPr="008211FD">
              <w:rPr>
                <w:sz w:val="16"/>
                <w:szCs w:val="16"/>
              </w:rPr>
              <w:t>ABDIB (5), ABINEE (4), ALADDA, ABIMAQ (2), ABRAS, ELETROS, BRACELPA, ABIT (2), AARS, ASGAV, ANFAVEA (4), ABF, ANPROTEC, AEB, ANDIB (2), ABIEF, ASSOBENS, ABRAD, ANAPECC, ACRISSUL, ASSIMPI, ABECITRUS, ASSUCAL, ACOAG, ABRASCE, ACREFI, ABAD, ACIUB, ANCAB, ADVB, ANAMACO, ANBIMA (2), ASSOBRAVE (2), ANEFAC, ABIGRAF.</w:t>
            </w:r>
          </w:p>
        </w:tc>
        <w:tc>
          <w:tcPr>
            <w:tcW w:w="23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Default"/>
              <w:spacing w:line="276" w:lineRule="auto"/>
              <w:jc w:val="center"/>
              <w:rPr>
                <w:sz w:val="16"/>
                <w:szCs w:val="16"/>
              </w:rPr>
            </w:pPr>
            <w:r w:rsidRPr="008211FD">
              <w:rPr>
                <w:sz w:val="16"/>
                <w:szCs w:val="16"/>
              </w:rPr>
              <w:t>54</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rPr>
                <w:rFonts w:ascii="Times New Roman" w:hAnsi="Times New Roman"/>
                <w:sz w:val="16"/>
                <w:szCs w:val="16"/>
              </w:rPr>
            </w:pPr>
            <w:r w:rsidRPr="008211FD">
              <w:rPr>
                <w:rFonts w:ascii="Times New Roman" w:hAnsi="Times New Roman"/>
                <w:sz w:val="16"/>
                <w:szCs w:val="16"/>
              </w:rPr>
              <w:t>Associações e Centros Industriais, Comerciais e Financeiros, Nacionais, Estaduais.</w:t>
            </w:r>
          </w:p>
        </w:tc>
        <w:tc>
          <w:tcPr>
            <w:tcW w:w="368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jc w:val="both"/>
              <w:rPr>
                <w:rFonts w:ascii="Times New Roman" w:hAnsi="Times New Roman"/>
                <w:color w:val="000000"/>
                <w:sz w:val="16"/>
                <w:szCs w:val="16"/>
              </w:rPr>
            </w:pPr>
            <w:r w:rsidRPr="008211FD">
              <w:rPr>
                <w:rFonts w:ascii="Times New Roman" w:hAnsi="Times New Roman"/>
                <w:color w:val="000000"/>
                <w:sz w:val="16"/>
                <w:szCs w:val="16"/>
              </w:rPr>
              <w:t xml:space="preserve">ACSP (3), ACRJ (2), ACPA (2), ACRGS, CIERGS (2), CIC, </w:t>
            </w:r>
            <w:r w:rsidRPr="008211FD">
              <w:rPr>
                <w:rFonts w:ascii="Times New Roman" w:hAnsi="Times New Roman"/>
                <w:sz w:val="16"/>
                <w:szCs w:val="16"/>
              </w:rPr>
              <w:t xml:space="preserve">CIEMG, CICI/MG, </w:t>
            </w:r>
            <w:r w:rsidRPr="008211FD">
              <w:rPr>
                <w:rFonts w:ascii="Times New Roman" w:hAnsi="Times New Roman"/>
                <w:color w:val="000000"/>
                <w:sz w:val="16"/>
                <w:szCs w:val="16"/>
              </w:rPr>
              <w:t xml:space="preserve">CIESC, CNC, </w:t>
            </w:r>
            <w:r w:rsidRPr="008211FD">
              <w:rPr>
                <w:rFonts w:ascii="Times New Roman" w:hAnsi="Times New Roman"/>
                <w:sz w:val="16"/>
                <w:szCs w:val="16"/>
              </w:rPr>
              <w:t>CNSeg.</w:t>
            </w:r>
          </w:p>
        </w:tc>
        <w:tc>
          <w:tcPr>
            <w:tcW w:w="23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jc w:val="center"/>
              <w:rPr>
                <w:rFonts w:ascii="Times New Roman" w:hAnsi="Times New Roman"/>
                <w:color w:val="000000"/>
                <w:sz w:val="16"/>
                <w:szCs w:val="16"/>
              </w:rPr>
            </w:pPr>
            <w:r w:rsidRPr="008211FD">
              <w:rPr>
                <w:rFonts w:ascii="Times New Roman" w:hAnsi="Times New Roman"/>
                <w:color w:val="000000"/>
                <w:sz w:val="16"/>
                <w:szCs w:val="16"/>
              </w:rPr>
              <w:t>16</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rPr>
                <w:rFonts w:ascii="Times New Roman" w:hAnsi="Times New Roman"/>
                <w:sz w:val="16"/>
                <w:szCs w:val="16"/>
              </w:rPr>
            </w:pPr>
            <w:r w:rsidRPr="008211FD">
              <w:rPr>
                <w:rFonts w:ascii="Times New Roman" w:hAnsi="Times New Roman"/>
                <w:sz w:val="16"/>
                <w:szCs w:val="16"/>
              </w:rPr>
              <w:t>Federações Comerciais e Financeiros, Nacionais, Estaduais.</w:t>
            </w:r>
          </w:p>
        </w:tc>
        <w:tc>
          <w:tcPr>
            <w:tcW w:w="368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jc w:val="both"/>
              <w:rPr>
                <w:rFonts w:ascii="Times New Roman" w:hAnsi="Times New Roman"/>
                <w:color w:val="000000"/>
                <w:sz w:val="16"/>
                <w:szCs w:val="16"/>
              </w:rPr>
            </w:pPr>
            <w:r w:rsidRPr="008211FD">
              <w:rPr>
                <w:rFonts w:ascii="Times New Roman" w:hAnsi="Times New Roman"/>
                <w:color w:val="000000"/>
                <w:sz w:val="16"/>
                <w:szCs w:val="16"/>
              </w:rPr>
              <w:t xml:space="preserve">FIEC, FIRJAN, FIEPR, </w:t>
            </w:r>
            <w:r w:rsidRPr="008211FD">
              <w:rPr>
                <w:rFonts w:ascii="Times New Roman" w:hAnsi="Times New Roman"/>
                <w:sz w:val="16"/>
                <w:szCs w:val="16"/>
              </w:rPr>
              <w:t xml:space="preserve">FIEMG (5), FIERGS (3), </w:t>
            </w:r>
            <w:r w:rsidRPr="008211FD">
              <w:rPr>
                <w:rFonts w:ascii="Times New Roman" w:hAnsi="Times New Roman"/>
                <w:color w:val="000000"/>
                <w:sz w:val="16"/>
                <w:szCs w:val="16"/>
              </w:rPr>
              <w:t xml:space="preserve">FIEPR, FIESC, FIEBA (2), Fecomércio/SP, </w:t>
            </w:r>
            <w:r w:rsidRPr="008211FD">
              <w:rPr>
                <w:rFonts w:ascii="Times New Roman" w:hAnsi="Times New Roman"/>
                <w:sz w:val="16"/>
                <w:szCs w:val="16"/>
              </w:rPr>
              <w:t xml:space="preserve">FENABRAVE, FENASEG, FIEPA. </w:t>
            </w:r>
          </w:p>
        </w:tc>
        <w:tc>
          <w:tcPr>
            <w:tcW w:w="23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jc w:val="center"/>
              <w:rPr>
                <w:rFonts w:ascii="Times New Roman" w:hAnsi="Times New Roman"/>
                <w:color w:val="000000"/>
                <w:sz w:val="16"/>
                <w:szCs w:val="16"/>
              </w:rPr>
            </w:pPr>
            <w:r w:rsidRPr="008211FD">
              <w:rPr>
                <w:rFonts w:ascii="Times New Roman" w:hAnsi="Times New Roman"/>
                <w:color w:val="000000"/>
                <w:sz w:val="16"/>
                <w:szCs w:val="16"/>
              </w:rPr>
              <w:t>19</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tcPr>
          <w:p w:rsidR="00FD610C" w:rsidRPr="008211FD" w:rsidRDefault="000834BC" w:rsidP="00CE3680">
            <w:pPr>
              <w:rPr>
                <w:rFonts w:ascii="Times New Roman" w:hAnsi="Times New Roman"/>
                <w:sz w:val="16"/>
                <w:szCs w:val="16"/>
              </w:rPr>
            </w:pPr>
            <w:r>
              <w:rPr>
                <w:rFonts w:ascii="Times New Roman" w:hAnsi="Times New Roman"/>
                <w:sz w:val="16"/>
                <w:szCs w:val="16"/>
              </w:rPr>
              <w:t>FIESP</w:t>
            </w:r>
          </w:p>
        </w:tc>
        <w:tc>
          <w:tcPr>
            <w:tcW w:w="368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jc w:val="both"/>
              <w:rPr>
                <w:rFonts w:ascii="Times New Roman" w:hAnsi="Times New Roman"/>
                <w:color w:val="000000"/>
                <w:sz w:val="16"/>
                <w:szCs w:val="16"/>
              </w:rPr>
            </w:pPr>
            <w:r w:rsidRPr="008211FD">
              <w:rPr>
                <w:rFonts w:ascii="Times New Roman" w:hAnsi="Times New Roman"/>
                <w:color w:val="000000"/>
                <w:sz w:val="16"/>
                <w:szCs w:val="16"/>
              </w:rPr>
              <w:t xml:space="preserve">Abílio Diniz; Alair Nascimento; Amarílio Macêdo; </w:t>
            </w:r>
            <w:r w:rsidRPr="008211FD">
              <w:rPr>
                <w:rFonts w:ascii="Times New Roman" w:hAnsi="Times New Roman"/>
                <w:sz w:val="16"/>
                <w:szCs w:val="16"/>
              </w:rPr>
              <w:t>Antoninho Trevisan; Benjamin Steinbruch; Daniel Feffer; Eugênio Staub; Ivo Rosset; Horácio Piva; Fernando Ferreira</w:t>
            </w:r>
            <w:r w:rsidRPr="008211FD">
              <w:rPr>
                <w:rFonts w:ascii="Times New Roman" w:hAnsi="Times New Roman"/>
                <w:color w:val="000000"/>
                <w:sz w:val="16"/>
                <w:szCs w:val="16"/>
              </w:rPr>
              <w:t>;</w:t>
            </w:r>
            <w:r w:rsidRPr="008211FD">
              <w:rPr>
                <w:rFonts w:ascii="Times New Roman" w:hAnsi="Times New Roman"/>
                <w:sz w:val="16"/>
                <w:szCs w:val="16"/>
              </w:rPr>
              <w:t xml:space="preserve"> Jorge Gerdau; José  Marques; José Luis Cutrale; Maurílio Biagi Fº; Paulo Skaf; Rodrigo Loures</w:t>
            </w:r>
            <w:r w:rsidRPr="008211FD">
              <w:rPr>
                <w:rFonts w:ascii="Times New Roman" w:hAnsi="Times New Roman"/>
                <w:color w:val="000000"/>
                <w:sz w:val="16"/>
                <w:szCs w:val="16"/>
              </w:rPr>
              <w:t xml:space="preserve">; Roger Agnelli; </w:t>
            </w:r>
            <w:r w:rsidRPr="008211FD">
              <w:rPr>
                <w:rFonts w:ascii="Times New Roman" w:hAnsi="Times New Roman"/>
                <w:sz w:val="16"/>
                <w:szCs w:val="16"/>
              </w:rPr>
              <w:t>Sérgio Haberfeld; Viviane Senna;</w:t>
            </w:r>
            <w:r w:rsidRPr="008211FD">
              <w:rPr>
                <w:rFonts w:ascii="Times New Roman" w:hAnsi="Times New Roman"/>
                <w:color w:val="000000"/>
                <w:sz w:val="16"/>
                <w:szCs w:val="16"/>
              </w:rPr>
              <w:t xml:space="preserve"> Waldemar Verdi Jr., Paulo Godoy, Rogelio Golfarb, Ivan Zurita, Jackson Schneider,  Luiza Trajano, Marcos Jank, </w:t>
            </w:r>
            <w:r w:rsidRPr="008211FD">
              <w:rPr>
                <w:rFonts w:ascii="Times New Roman" w:hAnsi="Times New Roman"/>
                <w:sz w:val="16"/>
                <w:szCs w:val="16"/>
              </w:rPr>
              <w:t>Luiz Aubert Neto, Cledorvino Belini, Marcelo Odebrecht.</w:t>
            </w:r>
          </w:p>
        </w:tc>
        <w:tc>
          <w:tcPr>
            <w:tcW w:w="23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jc w:val="center"/>
              <w:rPr>
                <w:rFonts w:ascii="Times New Roman" w:hAnsi="Times New Roman"/>
                <w:color w:val="000000"/>
                <w:sz w:val="16"/>
                <w:szCs w:val="16"/>
              </w:rPr>
            </w:pPr>
            <w:r w:rsidRPr="008211FD">
              <w:rPr>
                <w:rFonts w:ascii="Times New Roman" w:hAnsi="Times New Roman"/>
                <w:color w:val="000000"/>
                <w:sz w:val="16"/>
                <w:szCs w:val="16"/>
              </w:rPr>
              <w:t>28</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rPr>
                <w:rFonts w:ascii="Times New Roman" w:hAnsi="Times New Roman"/>
                <w:sz w:val="16"/>
                <w:szCs w:val="16"/>
              </w:rPr>
            </w:pPr>
            <w:r w:rsidRPr="008211FD">
              <w:rPr>
                <w:rFonts w:ascii="Times New Roman" w:hAnsi="Times New Roman"/>
                <w:sz w:val="16"/>
                <w:szCs w:val="16"/>
              </w:rPr>
              <w:t>CNI</w:t>
            </w:r>
          </w:p>
        </w:tc>
        <w:tc>
          <w:tcPr>
            <w:tcW w:w="368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jc w:val="both"/>
              <w:rPr>
                <w:rFonts w:ascii="Times New Roman" w:hAnsi="Times New Roman"/>
                <w:sz w:val="16"/>
                <w:szCs w:val="16"/>
              </w:rPr>
            </w:pPr>
            <w:r w:rsidRPr="008211FD">
              <w:rPr>
                <w:rFonts w:ascii="Times New Roman" w:hAnsi="Times New Roman"/>
                <w:sz w:val="16"/>
                <w:szCs w:val="16"/>
              </w:rPr>
              <w:t>Eduardo Eugênio Vieira</w:t>
            </w:r>
            <w:r w:rsidRPr="008211FD">
              <w:rPr>
                <w:rFonts w:ascii="Times New Roman" w:hAnsi="Times New Roman"/>
                <w:color w:val="000000"/>
                <w:sz w:val="16"/>
                <w:szCs w:val="16"/>
              </w:rPr>
              <w:t xml:space="preserve">; </w:t>
            </w:r>
            <w:r w:rsidRPr="008211FD">
              <w:rPr>
                <w:rFonts w:ascii="Times New Roman" w:hAnsi="Times New Roman"/>
                <w:sz w:val="16"/>
                <w:szCs w:val="16"/>
              </w:rPr>
              <w:t>Horácio Piva</w:t>
            </w:r>
            <w:r w:rsidRPr="008211FD">
              <w:rPr>
                <w:rFonts w:ascii="Times New Roman" w:hAnsi="Times New Roman"/>
                <w:sz w:val="16"/>
                <w:szCs w:val="16"/>
                <w:lang w:val="pt-PT"/>
              </w:rPr>
              <w:t xml:space="preserve">; </w:t>
            </w:r>
            <w:r w:rsidRPr="008211FD">
              <w:rPr>
                <w:rFonts w:ascii="Times New Roman" w:hAnsi="Times New Roman"/>
                <w:color w:val="000000"/>
                <w:sz w:val="16"/>
                <w:szCs w:val="16"/>
              </w:rPr>
              <w:t>José Carvalho</w:t>
            </w:r>
            <w:r w:rsidRPr="008211FD">
              <w:rPr>
                <w:rFonts w:ascii="Times New Roman" w:hAnsi="Times New Roman"/>
                <w:sz w:val="16"/>
                <w:szCs w:val="16"/>
              </w:rPr>
              <w:t>; José Mendo Souza; Paulo Skaf; Robson Andrade; Rodrigo Loures; Sérgio Haberfeld; Viviane Senna, Paulo Godoy, Lincoln Fernandes, Paulo Tigre, Carlos Farias; Luiz Aubert Neto, José Conrado Santos, Olavo Machado Jr..</w:t>
            </w:r>
          </w:p>
        </w:tc>
        <w:tc>
          <w:tcPr>
            <w:tcW w:w="23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jc w:val="center"/>
              <w:rPr>
                <w:rFonts w:ascii="Times New Roman" w:hAnsi="Times New Roman"/>
                <w:sz w:val="16"/>
                <w:szCs w:val="16"/>
              </w:rPr>
            </w:pPr>
            <w:r w:rsidRPr="008211FD">
              <w:rPr>
                <w:rFonts w:ascii="Times New Roman" w:hAnsi="Times New Roman"/>
                <w:sz w:val="16"/>
                <w:szCs w:val="16"/>
              </w:rPr>
              <w:t>16</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rPr>
                <w:rFonts w:ascii="Times New Roman" w:hAnsi="Times New Roman"/>
                <w:sz w:val="16"/>
                <w:szCs w:val="16"/>
              </w:rPr>
            </w:pPr>
            <w:r w:rsidRPr="008211FD">
              <w:rPr>
                <w:rFonts w:ascii="Times New Roman" w:hAnsi="Times New Roman"/>
                <w:sz w:val="16"/>
                <w:szCs w:val="16"/>
              </w:rPr>
              <w:t>Sindicatos Patronais</w:t>
            </w:r>
          </w:p>
        </w:tc>
        <w:tc>
          <w:tcPr>
            <w:tcW w:w="368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jc w:val="both"/>
              <w:rPr>
                <w:rFonts w:ascii="Times New Roman" w:hAnsi="Times New Roman"/>
                <w:sz w:val="16"/>
                <w:szCs w:val="16"/>
              </w:rPr>
            </w:pPr>
            <w:r w:rsidRPr="008211FD">
              <w:rPr>
                <w:rFonts w:ascii="Times New Roman" w:hAnsi="Times New Roman"/>
                <w:sz w:val="16"/>
                <w:szCs w:val="16"/>
              </w:rPr>
              <w:t>Sindtrigo, Sinquirj,</w:t>
            </w:r>
            <w:r w:rsidRPr="008211FD">
              <w:rPr>
                <w:rFonts w:ascii="Times New Roman" w:hAnsi="Times New Roman"/>
                <w:color w:val="000000"/>
                <w:sz w:val="16"/>
                <w:szCs w:val="16"/>
              </w:rPr>
              <w:t xml:space="preserve"> Simpi/SP, </w:t>
            </w:r>
            <w:r w:rsidRPr="008211FD">
              <w:rPr>
                <w:rStyle w:val="texto"/>
                <w:rFonts w:ascii="Times New Roman" w:hAnsi="Times New Roman"/>
                <w:sz w:val="16"/>
                <w:szCs w:val="16"/>
              </w:rPr>
              <w:t>Sindusfarma,</w:t>
            </w:r>
            <w:r w:rsidRPr="008211FD">
              <w:rPr>
                <w:rFonts w:ascii="Times New Roman" w:hAnsi="Times New Roman"/>
                <w:color w:val="000000"/>
                <w:sz w:val="16"/>
                <w:szCs w:val="16"/>
              </w:rPr>
              <w:t xml:space="preserve"> Sinditextil (2), </w:t>
            </w:r>
            <w:r w:rsidRPr="008211FD">
              <w:rPr>
                <w:rFonts w:ascii="Times New Roman" w:hAnsi="Times New Roman"/>
                <w:sz w:val="16"/>
                <w:szCs w:val="16"/>
              </w:rPr>
              <w:t xml:space="preserve">Sinduscon/MG, </w:t>
            </w:r>
            <w:r w:rsidRPr="008211FD">
              <w:rPr>
                <w:rFonts w:ascii="Times New Roman" w:hAnsi="Times New Roman"/>
                <w:color w:val="000000"/>
                <w:sz w:val="16"/>
                <w:szCs w:val="16"/>
              </w:rPr>
              <w:t>Sinaes/SP, Sindag,</w:t>
            </w:r>
            <w:r w:rsidRPr="008211FD">
              <w:rPr>
                <w:rFonts w:ascii="Times New Roman" w:hAnsi="Times New Roman"/>
                <w:sz w:val="16"/>
                <w:szCs w:val="16"/>
              </w:rPr>
              <w:t xml:space="preserve"> Sinfavea (3), Sinduscon/BA, </w:t>
            </w:r>
            <w:r w:rsidRPr="008211FD">
              <w:rPr>
                <w:rFonts w:ascii="Times New Roman" w:hAnsi="Times New Roman"/>
                <w:color w:val="000000"/>
                <w:sz w:val="16"/>
                <w:szCs w:val="16"/>
              </w:rPr>
              <w:t xml:space="preserve">Semesp, Sincomaco, </w:t>
            </w:r>
            <w:r w:rsidRPr="008211FD">
              <w:rPr>
                <w:rFonts w:ascii="Times New Roman" w:hAnsi="Times New Roman"/>
                <w:sz w:val="16"/>
                <w:szCs w:val="16"/>
              </w:rPr>
              <w:t>Singepa, Sinaees.</w:t>
            </w:r>
          </w:p>
        </w:tc>
        <w:tc>
          <w:tcPr>
            <w:tcW w:w="23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jc w:val="center"/>
              <w:rPr>
                <w:rFonts w:ascii="Times New Roman" w:hAnsi="Times New Roman"/>
                <w:sz w:val="16"/>
                <w:szCs w:val="16"/>
              </w:rPr>
            </w:pPr>
            <w:r w:rsidRPr="008211FD">
              <w:rPr>
                <w:rFonts w:ascii="Times New Roman" w:hAnsi="Times New Roman"/>
                <w:sz w:val="16"/>
                <w:szCs w:val="16"/>
              </w:rPr>
              <w:t>17</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rPr>
                <w:rFonts w:ascii="Times New Roman" w:hAnsi="Times New Roman"/>
                <w:sz w:val="16"/>
                <w:szCs w:val="16"/>
              </w:rPr>
            </w:pPr>
            <w:r w:rsidRPr="008211FD">
              <w:rPr>
                <w:rFonts w:ascii="Times New Roman" w:hAnsi="Times New Roman"/>
                <w:sz w:val="16"/>
                <w:szCs w:val="16"/>
              </w:rPr>
              <w:t>FEBRABAN</w:t>
            </w:r>
          </w:p>
        </w:tc>
        <w:tc>
          <w:tcPr>
            <w:tcW w:w="368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jc w:val="both"/>
              <w:rPr>
                <w:rFonts w:ascii="Times New Roman" w:hAnsi="Times New Roman"/>
                <w:sz w:val="16"/>
                <w:szCs w:val="16"/>
              </w:rPr>
            </w:pPr>
            <w:r w:rsidRPr="008211FD">
              <w:rPr>
                <w:rFonts w:ascii="Times New Roman" w:hAnsi="Times New Roman"/>
                <w:sz w:val="16"/>
                <w:szCs w:val="16"/>
              </w:rPr>
              <w:t xml:space="preserve">Fabio Barbosa, Márcio Cypriano, </w:t>
            </w:r>
            <w:r w:rsidR="0089208F" w:rsidRPr="008211FD">
              <w:rPr>
                <w:rFonts w:ascii="Times New Roman" w:hAnsi="Times New Roman"/>
                <w:sz w:val="16"/>
                <w:szCs w:val="16"/>
              </w:rPr>
              <w:t xml:space="preserve">Gabriel Ferreira, </w:t>
            </w:r>
            <w:r w:rsidRPr="008211FD">
              <w:rPr>
                <w:rFonts w:ascii="Times New Roman" w:hAnsi="Times New Roman"/>
                <w:sz w:val="16"/>
                <w:szCs w:val="16"/>
              </w:rPr>
              <w:t xml:space="preserve">Miguel João Jorge Fº, Roberto Setubal, Viviane Senna, </w:t>
            </w:r>
            <w:r w:rsidR="0089208F" w:rsidRPr="008211FD">
              <w:rPr>
                <w:rFonts w:ascii="Times New Roman" w:hAnsi="Times New Roman"/>
                <w:sz w:val="16"/>
                <w:szCs w:val="16"/>
              </w:rPr>
              <w:t>Paulo Godoy, Luiz Eduardo Abreu</w:t>
            </w:r>
          </w:p>
        </w:tc>
        <w:tc>
          <w:tcPr>
            <w:tcW w:w="23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89208F" w:rsidP="00CE3680">
            <w:pPr>
              <w:spacing w:after="0"/>
              <w:jc w:val="center"/>
              <w:rPr>
                <w:rFonts w:ascii="Times New Roman" w:hAnsi="Times New Roman"/>
                <w:color w:val="000000"/>
                <w:sz w:val="16"/>
                <w:szCs w:val="16"/>
              </w:rPr>
            </w:pPr>
            <w:r w:rsidRPr="008211FD">
              <w:rPr>
                <w:rFonts w:ascii="Times New Roman" w:hAnsi="Times New Roman"/>
                <w:color w:val="000000"/>
                <w:sz w:val="16"/>
                <w:szCs w:val="16"/>
              </w:rPr>
              <w:t>8</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rPr>
                <w:rFonts w:ascii="Times New Roman" w:hAnsi="Times New Roman"/>
                <w:sz w:val="16"/>
                <w:szCs w:val="16"/>
              </w:rPr>
            </w:pPr>
            <w:r w:rsidRPr="008211FD">
              <w:rPr>
                <w:rFonts w:ascii="Times New Roman" w:hAnsi="Times New Roman"/>
                <w:sz w:val="16"/>
                <w:szCs w:val="16"/>
              </w:rPr>
              <w:t>IEDI</w:t>
            </w:r>
          </w:p>
        </w:tc>
        <w:tc>
          <w:tcPr>
            <w:tcW w:w="368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jc w:val="both"/>
              <w:rPr>
                <w:rFonts w:ascii="Times New Roman" w:hAnsi="Times New Roman"/>
                <w:sz w:val="16"/>
                <w:szCs w:val="16"/>
              </w:rPr>
            </w:pPr>
            <w:r w:rsidRPr="008211FD">
              <w:rPr>
                <w:rFonts w:ascii="Times New Roman" w:hAnsi="Times New Roman"/>
                <w:color w:val="000000"/>
                <w:sz w:val="16"/>
                <w:szCs w:val="16"/>
              </w:rPr>
              <w:t xml:space="preserve">Amarílio Macêdo, </w:t>
            </w:r>
            <w:r w:rsidRPr="008211FD">
              <w:rPr>
                <w:rFonts w:ascii="Times New Roman" w:hAnsi="Times New Roman"/>
                <w:sz w:val="16"/>
                <w:szCs w:val="16"/>
              </w:rPr>
              <w:t>Benjamin Steinbruch, Carlos Jereissati Fº, Daniel Feffer, Eugênio Staub, Ivo Rosset, Jorge Gerdau, Marcelo Odebrecht, Roger Agnelli, Sérgio Haberfeld.</w:t>
            </w:r>
          </w:p>
        </w:tc>
        <w:tc>
          <w:tcPr>
            <w:tcW w:w="23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jc w:val="center"/>
              <w:rPr>
                <w:rFonts w:ascii="Times New Roman" w:hAnsi="Times New Roman"/>
                <w:color w:val="000000"/>
                <w:sz w:val="16"/>
                <w:szCs w:val="16"/>
              </w:rPr>
            </w:pPr>
            <w:r w:rsidRPr="008211FD">
              <w:rPr>
                <w:rFonts w:ascii="Times New Roman" w:hAnsi="Times New Roman"/>
                <w:color w:val="000000"/>
                <w:sz w:val="16"/>
                <w:szCs w:val="16"/>
              </w:rPr>
              <w:t>10</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rPr>
                <w:rFonts w:ascii="Times New Roman" w:hAnsi="Times New Roman"/>
                <w:color w:val="000000"/>
                <w:sz w:val="16"/>
                <w:szCs w:val="16"/>
              </w:rPr>
            </w:pPr>
            <w:r w:rsidRPr="008211FD">
              <w:rPr>
                <w:rFonts w:ascii="Times New Roman" w:hAnsi="Times New Roman"/>
                <w:color w:val="000000"/>
                <w:sz w:val="16"/>
                <w:szCs w:val="16"/>
              </w:rPr>
              <w:t>Fórum de Líderes Empresariais</w:t>
            </w:r>
          </w:p>
        </w:tc>
        <w:tc>
          <w:tcPr>
            <w:tcW w:w="368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DecimalAligned"/>
              <w:tabs>
                <w:tab w:val="clear" w:pos="360"/>
                <w:tab w:val="decimal" w:pos="0"/>
              </w:tabs>
              <w:spacing w:after="0"/>
              <w:jc w:val="both"/>
              <w:rPr>
                <w:rFonts w:ascii="Times New Roman" w:hAnsi="Times New Roman"/>
                <w:color w:val="000000"/>
                <w:sz w:val="16"/>
                <w:szCs w:val="16"/>
              </w:rPr>
            </w:pPr>
            <w:r w:rsidRPr="008211FD">
              <w:rPr>
                <w:rFonts w:ascii="Times New Roman" w:hAnsi="Times New Roman"/>
                <w:color w:val="000000"/>
                <w:sz w:val="16"/>
                <w:szCs w:val="16"/>
              </w:rPr>
              <w:t>Jorge Gerdau, José Carlos Bumlai, Luiz Leite, Luiz Otávio Gomes, Márcio Cypriano, Maurílio Biagi Fº, Raymundo Magliano, Alair Nascimento, Sônia Regina Hess de Souza, Marcelo Odebrecht.</w:t>
            </w:r>
          </w:p>
        </w:tc>
        <w:tc>
          <w:tcPr>
            <w:tcW w:w="23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DecimalAligned"/>
              <w:tabs>
                <w:tab w:val="clear" w:pos="360"/>
                <w:tab w:val="decimal" w:pos="0"/>
              </w:tabs>
              <w:spacing w:after="0"/>
              <w:jc w:val="center"/>
              <w:rPr>
                <w:rFonts w:ascii="Times New Roman" w:hAnsi="Times New Roman"/>
                <w:color w:val="000000"/>
                <w:sz w:val="16"/>
                <w:szCs w:val="16"/>
              </w:rPr>
            </w:pPr>
            <w:r w:rsidRPr="008211FD">
              <w:rPr>
                <w:rFonts w:ascii="Times New Roman" w:hAnsi="Times New Roman"/>
                <w:color w:val="000000"/>
                <w:sz w:val="16"/>
                <w:szCs w:val="16"/>
              </w:rPr>
              <w:t>10</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rPr>
                <w:rFonts w:ascii="Times New Roman" w:hAnsi="Times New Roman"/>
                <w:sz w:val="16"/>
                <w:szCs w:val="16"/>
              </w:rPr>
            </w:pPr>
            <w:r w:rsidRPr="008211FD">
              <w:rPr>
                <w:rFonts w:ascii="Times New Roman" w:hAnsi="Times New Roman"/>
                <w:sz w:val="16"/>
                <w:szCs w:val="16"/>
              </w:rPr>
              <w:t>Instituto Ethos</w:t>
            </w:r>
          </w:p>
        </w:tc>
        <w:tc>
          <w:tcPr>
            <w:tcW w:w="368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jc w:val="both"/>
              <w:rPr>
                <w:rFonts w:ascii="Times New Roman" w:hAnsi="Times New Roman"/>
                <w:sz w:val="16"/>
                <w:szCs w:val="16"/>
              </w:rPr>
            </w:pPr>
            <w:r w:rsidRPr="008211FD">
              <w:rPr>
                <w:rFonts w:ascii="Times New Roman" w:hAnsi="Times New Roman"/>
                <w:sz w:val="16"/>
                <w:szCs w:val="16"/>
              </w:rPr>
              <w:t>Antoninho Trevisan, Daniel Feffer, Mauro Knijnik, Ricardo Young Silva, Roberto Setubal, Rodrigo Loures</w:t>
            </w:r>
            <w:r w:rsidRPr="008211FD">
              <w:rPr>
                <w:rFonts w:ascii="Times New Roman" w:hAnsi="Times New Roman"/>
                <w:color w:val="000000"/>
                <w:sz w:val="16"/>
                <w:szCs w:val="16"/>
              </w:rPr>
              <w:t>, Oded Grajew.</w:t>
            </w:r>
          </w:p>
        </w:tc>
        <w:tc>
          <w:tcPr>
            <w:tcW w:w="23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jc w:val="center"/>
              <w:rPr>
                <w:rFonts w:ascii="Times New Roman" w:hAnsi="Times New Roman"/>
                <w:sz w:val="16"/>
                <w:szCs w:val="16"/>
              </w:rPr>
            </w:pPr>
            <w:r w:rsidRPr="008211FD">
              <w:rPr>
                <w:rFonts w:ascii="Times New Roman" w:hAnsi="Times New Roman"/>
                <w:sz w:val="16"/>
                <w:szCs w:val="16"/>
              </w:rPr>
              <w:t>7</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rPr>
                <w:rFonts w:ascii="Times New Roman" w:hAnsi="Times New Roman"/>
                <w:sz w:val="16"/>
                <w:szCs w:val="16"/>
              </w:rPr>
            </w:pPr>
            <w:r w:rsidRPr="008211FD">
              <w:rPr>
                <w:rFonts w:ascii="Times New Roman" w:hAnsi="Times New Roman"/>
                <w:sz w:val="16"/>
                <w:szCs w:val="16"/>
              </w:rPr>
              <w:t>PNBE</w:t>
            </w:r>
          </w:p>
        </w:tc>
        <w:tc>
          <w:tcPr>
            <w:tcW w:w="368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jc w:val="both"/>
              <w:rPr>
                <w:rFonts w:ascii="Times New Roman" w:hAnsi="Times New Roman"/>
                <w:sz w:val="16"/>
                <w:szCs w:val="16"/>
              </w:rPr>
            </w:pPr>
            <w:r w:rsidRPr="008211FD">
              <w:rPr>
                <w:rFonts w:ascii="Times New Roman" w:hAnsi="Times New Roman"/>
                <w:sz w:val="16"/>
                <w:szCs w:val="16"/>
              </w:rPr>
              <w:t>Eduardo Eugênio Vieira</w:t>
            </w:r>
            <w:r w:rsidRPr="008211FD">
              <w:rPr>
                <w:rFonts w:ascii="Times New Roman" w:hAnsi="Times New Roman"/>
                <w:color w:val="000000"/>
                <w:sz w:val="16"/>
                <w:szCs w:val="16"/>
              </w:rPr>
              <w:t xml:space="preserve">, </w:t>
            </w:r>
            <w:r w:rsidRPr="008211FD">
              <w:rPr>
                <w:rFonts w:ascii="Times New Roman" w:hAnsi="Times New Roman"/>
                <w:sz w:val="16"/>
                <w:szCs w:val="16"/>
              </w:rPr>
              <w:t>Joseph Couri, Luiz Leite, Ricardo Young e Oded Grajew.</w:t>
            </w:r>
          </w:p>
        </w:tc>
        <w:tc>
          <w:tcPr>
            <w:tcW w:w="23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jc w:val="center"/>
              <w:rPr>
                <w:rFonts w:ascii="Times New Roman" w:hAnsi="Times New Roman"/>
                <w:sz w:val="16"/>
                <w:szCs w:val="16"/>
              </w:rPr>
            </w:pPr>
            <w:r w:rsidRPr="008211FD">
              <w:rPr>
                <w:rFonts w:ascii="Times New Roman" w:hAnsi="Times New Roman"/>
                <w:sz w:val="16"/>
                <w:szCs w:val="16"/>
              </w:rPr>
              <w:t>5</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rPr>
                <w:rFonts w:ascii="Times New Roman" w:hAnsi="Times New Roman"/>
                <w:sz w:val="16"/>
                <w:szCs w:val="16"/>
              </w:rPr>
            </w:pPr>
            <w:r w:rsidRPr="008211FD">
              <w:rPr>
                <w:rFonts w:ascii="Times New Roman" w:hAnsi="Times New Roman"/>
                <w:sz w:val="16"/>
                <w:szCs w:val="16"/>
              </w:rPr>
              <w:t xml:space="preserve">PROTEC </w:t>
            </w:r>
          </w:p>
        </w:tc>
        <w:tc>
          <w:tcPr>
            <w:tcW w:w="368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DecimalAligned"/>
              <w:tabs>
                <w:tab w:val="clear" w:pos="360"/>
                <w:tab w:val="decimal" w:pos="0"/>
              </w:tabs>
              <w:spacing w:after="0"/>
              <w:jc w:val="both"/>
              <w:rPr>
                <w:rFonts w:ascii="Times New Roman" w:hAnsi="Times New Roman"/>
                <w:sz w:val="16"/>
                <w:szCs w:val="16"/>
              </w:rPr>
            </w:pPr>
            <w:r w:rsidRPr="008211FD">
              <w:rPr>
                <w:rFonts w:ascii="Times New Roman" w:hAnsi="Times New Roman"/>
                <w:sz w:val="16"/>
                <w:szCs w:val="16"/>
              </w:rPr>
              <w:t>Eduardo Eugênio Vieira; Paulo Skaf; Rodrigo Loures; Luiz Leite; Luis Aubert Neto.</w:t>
            </w:r>
          </w:p>
        </w:tc>
        <w:tc>
          <w:tcPr>
            <w:tcW w:w="23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DecimalAligned"/>
              <w:tabs>
                <w:tab w:val="clear" w:pos="360"/>
                <w:tab w:val="decimal" w:pos="0"/>
              </w:tabs>
              <w:spacing w:after="0"/>
              <w:jc w:val="center"/>
              <w:rPr>
                <w:rFonts w:ascii="Times New Roman" w:hAnsi="Times New Roman"/>
                <w:sz w:val="16"/>
                <w:szCs w:val="16"/>
              </w:rPr>
            </w:pPr>
            <w:r w:rsidRPr="008211FD">
              <w:rPr>
                <w:rFonts w:ascii="Times New Roman" w:hAnsi="Times New Roman"/>
                <w:sz w:val="16"/>
                <w:szCs w:val="16"/>
              </w:rPr>
              <w:t>5</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rPr>
                <w:rFonts w:ascii="Times New Roman" w:hAnsi="Times New Roman"/>
                <w:sz w:val="16"/>
                <w:szCs w:val="16"/>
              </w:rPr>
            </w:pPr>
            <w:r w:rsidRPr="008211FD">
              <w:rPr>
                <w:rFonts w:ascii="Times New Roman" w:hAnsi="Times New Roman"/>
                <w:sz w:val="16"/>
                <w:szCs w:val="16"/>
              </w:rPr>
              <w:t>Mov. Brasil Competitivo</w:t>
            </w:r>
          </w:p>
        </w:tc>
        <w:tc>
          <w:tcPr>
            <w:tcW w:w="368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jc w:val="both"/>
              <w:rPr>
                <w:rFonts w:ascii="Times New Roman" w:hAnsi="Times New Roman"/>
                <w:color w:val="000000"/>
                <w:sz w:val="16"/>
                <w:szCs w:val="16"/>
              </w:rPr>
            </w:pPr>
            <w:r w:rsidRPr="008211FD">
              <w:rPr>
                <w:rFonts w:ascii="Times New Roman" w:hAnsi="Times New Roman"/>
                <w:sz w:val="16"/>
                <w:szCs w:val="16"/>
              </w:rPr>
              <w:t>Jorge Gerdau</w:t>
            </w:r>
            <w:r w:rsidRPr="008211FD">
              <w:rPr>
                <w:rFonts w:ascii="Times New Roman" w:hAnsi="Times New Roman"/>
                <w:color w:val="000000"/>
                <w:sz w:val="16"/>
                <w:szCs w:val="16"/>
              </w:rPr>
              <w:t>,</w:t>
            </w:r>
            <w:r w:rsidRPr="008211FD">
              <w:rPr>
                <w:rFonts w:ascii="Times New Roman" w:hAnsi="Times New Roman"/>
                <w:sz w:val="16"/>
                <w:szCs w:val="16"/>
              </w:rPr>
              <w:t xml:space="preserve"> Daniel Feffer,</w:t>
            </w:r>
            <w:r w:rsidRPr="008211FD">
              <w:rPr>
                <w:rFonts w:ascii="Times New Roman" w:hAnsi="Times New Roman"/>
                <w:color w:val="000000"/>
                <w:sz w:val="16"/>
                <w:szCs w:val="16"/>
              </w:rPr>
              <w:t xml:space="preserve"> Antoninho Trevisan e Adilson Primo.</w:t>
            </w:r>
          </w:p>
        </w:tc>
        <w:tc>
          <w:tcPr>
            <w:tcW w:w="23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jc w:val="center"/>
              <w:rPr>
                <w:rFonts w:ascii="Times New Roman" w:hAnsi="Times New Roman"/>
                <w:sz w:val="16"/>
                <w:szCs w:val="16"/>
              </w:rPr>
            </w:pPr>
            <w:r w:rsidRPr="008211FD">
              <w:rPr>
                <w:rFonts w:ascii="Times New Roman" w:hAnsi="Times New Roman"/>
                <w:sz w:val="16"/>
                <w:szCs w:val="16"/>
              </w:rPr>
              <w:t>4</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rPr>
                <w:rFonts w:ascii="Times New Roman" w:hAnsi="Times New Roman"/>
                <w:sz w:val="16"/>
                <w:szCs w:val="16"/>
              </w:rPr>
            </w:pPr>
            <w:r w:rsidRPr="008211FD">
              <w:rPr>
                <w:rFonts w:ascii="Times New Roman" w:hAnsi="Times New Roman"/>
                <w:sz w:val="16"/>
                <w:szCs w:val="16"/>
              </w:rPr>
              <w:t>Fórum CEOs Brasil–EUA</w:t>
            </w:r>
          </w:p>
        </w:tc>
        <w:tc>
          <w:tcPr>
            <w:tcW w:w="368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autoSpaceDE w:val="0"/>
              <w:autoSpaceDN w:val="0"/>
              <w:adjustRightInd w:val="0"/>
              <w:spacing w:after="0"/>
              <w:rPr>
                <w:rFonts w:ascii="Times New Roman" w:hAnsi="Times New Roman"/>
                <w:sz w:val="16"/>
                <w:szCs w:val="16"/>
              </w:rPr>
            </w:pPr>
            <w:r w:rsidRPr="008211FD">
              <w:rPr>
                <w:rFonts w:ascii="Times New Roman" w:hAnsi="Times New Roman"/>
                <w:sz w:val="16"/>
                <w:szCs w:val="16"/>
              </w:rPr>
              <w:t>Jorge Gerdau, José Luís Cutrale, Roger Agnelli.</w:t>
            </w:r>
          </w:p>
        </w:tc>
        <w:tc>
          <w:tcPr>
            <w:tcW w:w="23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autoSpaceDE w:val="0"/>
              <w:autoSpaceDN w:val="0"/>
              <w:adjustRightInd w:val="0"/>
              <w:spacing w:after="0"/>
              <w:jc w:val="center"/>
              <w:rPr>
                <w:rFonts w:ascii="Times New Roman" w:hAnsi="Times New Roman"/>
                <w:sz w:val="16"/>
                <w:szCs w:val="16"/>
              </w:rPr>
            </w:pPr>
            <w:r w:rsidRPr="008211FD">
              <w:rPr>
                <w:rFonts w:ascii="Times New Roman" w:hAnsi="Times New Roman"/>
                <w:sz w:val="16"/>
                <w:szCs w:val="16"/>
              </w:rPr>
              <w:t>3</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rPr>
                <w:rFonts w:ascii="Times New Roman" w:hAnsi="Times New Roman"/>
                <w:sz w:val="16"/>
                <w:szCs w:val="16"/>
              </w:rPr>
            </w:pPr>
            <w:r w:rsidRPr="008211FD">
              <w:rPr>
                <w:rFonts w:ascii="Times New Roman" w:hAnsi="Times New Roman"/>
                <w:sz w:val="16"/>
                <w:szCs w:val="16"/>
              </w:rPr>
              <w:t xml:space="preserve">CEAL </w:t>
            </w:r>
          </w:p>
        </w:tc>
        <w:tc>
          <w:tcPr>
            <w:tcW w:w="368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jc w:val="both"/>
              <w:rPr>
                <w:rFonts w:ascii="Times New Roman" w:hAnsi="Times New Roman"/>
                <w:color w:val="000000"/>
                <w:sz w:val="16"/>
                <w:szCs w:val="16"/>
              </w:rPr>
            </w:pPr>
            <w:r w:rsidRPr="008211FD">
              <w:rPr>
                <w:rFonts w:ascii="Times New Roman" w:hAnsi="Times New Roman"/>
                <w:sz w:val="16"/>
                <w:szCs w:val="16"/>
              </w:rPr>
              <w:t xml:space="preserve">Cosette Alves, Eugênio Staub, Ivo Rosset, Maurílio Biagi Fº. </w:t>
            </w:r>
          </w:p>
        </w:tc>
        <w:tc>
          <w:tcPr>
            <w:tcW w:w="23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jc w:val="center"/>
              <w:rPr>
                <w:rFonts w:ascii="Times New Roman" w:hAnsi="Times New Roman"/>
                <w:sz w:val="16"/>
                <w:szCs w:val="16"/>
              </w:rPr>
            </w:pPr>
            <w:r w:rsidRPr="008211FD">
              <w:rPr>
                <w:rFonts w:ascii="Times New Roman" w:hAnsi="Times New Roman"/>
                <w:sz w:val="16"/>
                <w:szCs w:val="16"/>
              </w:rPr>
              <w:t>4</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rPr>
                <w:rFonts w:ascii="Times New Roman" w:hAnsi="Times New Roman"/>
                <w:color w:val="000000"/>
                <w:sz w:val="16"/>
                <w:szCs w:val="16"/>
              </w:rPr>
            </w:pPr>
            <w:r w:rsidRPr="008211FD">
              <w:rPr>
                <w:rFonts w:ascii="Times New Roman" w:hAnsi="Times New Roman"/>
                <w:color w:val="000000"/>
                <w:sz w:val="16"/>
                <w:szCs w:val="16"/>
              </w:rPr>
              <w:t>Cives</w:t>
            </w:r>
          </w:p>
        </w:tc>
        <w:tc>
          <w:tcPr>
            <w:tcW w:w="368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DecimalAligned"/>
              <w:tabs>
                <w:tab w:val="clear" w:pos="360"/>
                <w:tab w:val="decimal" w:pos="0"/>
              </w:tabs>
              <w:spacing w:after="0"/>
              <w:jc w:val="both"/>
              <w:rPr>
                <w:rFonts w:ascii="Times New Roman" w:hAnsi="Times New Roman"/>
                <w:color w:val="000000"/>
                <w:sz w:val="16"/>
                <w:szCs w:val="16"/>
              </w:rPr>
            </w:pPr>
            <w:r w:rsidRPr="008211FD">
              <w:rPr>
                <w:rFonts w:ascii="Times New Roman" w:hAnsi="Times New Roman"/>
                <w:color w:val="000000"/>
                <w:sz w:val="16"/>
                <w:szCs w:val="16"/>
              </w:rPr>
              <w:t>Oded Grajew, Pedro Luiz Teruel, Gisela Gorovitz.</w:t>
            </w:r>
          </w:p>
        </w:tc>
        <w:tc>
          <w:tcPr>
            <w:tcW w:w="23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DecimalAligned"/>
              <w:tabs>
                <w:tab w:val="clear" w:pos="360"/>
                <w:tab w:val="decimal" w:pos="0"/>
              </w:tabs>
              <w:spacing w:after="0"/>
              <w:jc w:val="center"/>
              <w:rPr>
                <w:rFonts w:ascii="Times New Roman" w:hAnsi="Times New Roman"/>
                <w:color w:val="000000"/>
                <w:sz w:val="16"/>
                <w:szCs w:val="16"/>
              </w:rPr>
            </w:pPr>
            <w:r w:rsidRPr="008211FD">
              <w:rPr>
                <w:rFonts w:ascii="Times New Roman" w:hAnsi="Times New Roman"/>
                <w:color w:val="000000"/>
                <w:sz w:val="16"/>
                <w:szCs w:val="16"/>
              </w:rPr>
              <w:t>3</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rPr>
                <w:rFonts w:ascii="Times New Roman" w:hAnsi="Times New Roman"/>
                <w:color w:val="000000"/>
                <w:sz w:val="16"/>
                <w:szCs w:val="16"/>
              </w:rPr>
            </w:pPr>
            <w:r w:rsidRPr="008211FD">
              <w:rPr>
                <w:rFonts w:ascii="Times New Roman" w:hAnsi="Times New Roman"/>
                <w:color w:val="000000"/>
                <w:sz w:val="16"/>
                <w:szCs w:val="16"/>
              </w:rPr>
              <w:t>Fundação Dom Cabral</w:t>
            </w:r>
          </w:p>
        </w:tc>
        <w:tc>
          <w:tcPr>
            <w:tcW w:w="368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DecimalAligned"/>
              <w:tabs>
                <w:tab w:val="clear" w:pos="360"/>
                <w:tab w:val="decimal" w:pos="0"/>
              </w:tabs>
              <w:spacing w:after="0"/>
              <w:jc w:val="both"/>
              <w:rPr>
                <w:rFonts w:ascii="Times New Roman" w:hAnsi="Times New Roman"/>
                <w:color w:val="000000"/>
                <w:sz w:val="16"/>
                <w:szCs w:val="16"/>
              </w:rPr>
            </w:pPr>
            <w:r w:rsidRPr="008211FD">
              <w:rPr>
                <w:rFonts w:ascii="Times New Roman" w:hAnsi="Times New Roman"/>
                <w:color w:val="000000"/>
                <w:sz w:val="16"/>
                <w:szCs w:val="16"/>
              </w:rPr>
              <w:t xml:space="preserve">Sônia Regina Hess de Souza, </w:t>
            </w:r>
            <w:r w:rsidRPr="008211FD">
              <w:rPr>
                <w:rFonts w:ascii="Times New Roman" w:hAnsi="Times New Roman"/>
                <w:sz w:val="16"/>
                <w:szCs w:val="16"/>
              </w:rPr>
              <w:t>Cledorvino Belini, Robson Braga de Andrade.</w:t>
            </w:r>
          </w:p>
        </w:tc>
        <w:tc>
          <w:tcPr>
            <w:tcW w:w="23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DecimalAligned"/>
              <w:tabs>
                <w:tab w:val="clear" w:pos="360"/>
                <w:tab w:val="decimal" w:pos="0"/>
              </w:tabs>
              <w:spacing w:after="0"/>
              <w:jc w:val="center"/>
              <w:rPr>
                <w:rFonts w:ascii="Times New Roman" w:hAnsi="Times New Roman"/>
                <w:color w:val="000000"/>
                <w:sz w:val="16"/>
                <w:szCs w:val="16"/>
              </w:rPr>
            </w:pPr>
            <w:r w:rsidRPr="008211FD">
              <w:rPr>
                <w:rFonts w:ascii="Times New Roman" w:hAnsi="Times New Roman"/>
                <w:color w:val="000000"/>
                <w:sz w:val="16"/>
                <w:szCs w:val="16"/>
              </w:rPr>
              <w:t>3</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rPr>
                <w:rFonts w:ascii="Times New Roman" w:hAnsi="Times New Roman"/>
                <w:color w:val="000000"/>
                <w:sz w:val="16"/>
                <w:szCs w:val="16"/>
              </w:rPr>
            </w:pPr>
            <w:r w:rsidRPr="008211FD">
              <w:rPr>
                <w:rFonts w:ascii="Times New Roman" w:hAnsi="Times New Roman"/>
                <w:color w:val="000000"/>
                <w:sz w:val="16"/>
                <w:szCs w:val="16"/>
              </w:rPr>
              <w:t>Instituto Liberal</w:t>
            </w:r>
          </w:p>
        </w:tc>
        <w:tc>
          <w:tcPr>
            <w:tcW w:w="368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DecimalAligned"/>
              <w:tabs>
                <w:tab w:val="clear" w:pos="360"/>
                <w:tab w:val="decimal" w:pos="0"/>
              </w:tabs>
              <w:spacing w:after="0"/>
              <w:jc w:val="both"/>
              <w:rPr>
                <w:rFonts w:ascii="Times New Roman" w:hAnsi="Times New Roman"/>
                <w:sz w:val="16"/>
                <w:szCs w:val="16"/>
              </w:rPr>
            </w:pPr>
            <w:r w:rsidRPr="008211FD">
              <w:rPr>
                <w:rFonts w:ascii="Times New Roman" w:hAnsi="Times New Roman"/>
                <w:sz w:val="16"/>
                <w:szCs w:val="16"/>
              </w:rPr>
              <w:t xml:space="preserve">Jorge Gerdau, Raymundo Magliano, Sérgio Reze, Sérgio Haberfeld, </w:t>
            </w:r>
          </w:p>
        </w:tc>
        <w:tc>
          <w:tcPr>
            <w:tcW w:w="23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DecimalAligned"/>
              <w:tabs>
                <w:tab w:val="clear" w:pos="360"/>
                <w:tab w:val="decimal" w:pos="0"/>
              </w:tabs>
              <w:spacing w:after="0"/>
              <w:jc w:val="center"/>
              <w:rPr>
                <w:rFonts w:ascii="Times New Roman" w:hAnsi="Times New Roman"/>
                <w:sz w:val="16"/>
                <w:szCs w:val="16"/>
              </w:rPr>
            </w:pPr>
            <w:r w:rsidRPr="008211FD">
              <w:rPr>
                <w:rFonts w:ascii="Times New Roman" w:hAnsi="Times New Roman"/>
                <w:sz w:val="16"/>
                <w:szCs w:val="16"/>
              </w:rPr>
              <w:t>4</w:t>
            </w:r>
          </w:p>
        </w:tc>
      </w:tr>
      <w:tr w:rsidR="00F64C92" w:rsidRPr="008211FD" w:rsidTr="00720548">
        <w:tc>
          <w:tcPr>
            <w:tcW w:w="1082" w:type="pct"/>
            <w:tcBorders>
              <w:top w:val="single" w:sz="8" w:space="0" w:color="4F81BD"/>
              <w:left w:val="single" w:sz="8" w:space="0" w:color="4F81BD"/>
              <w:bottom w:val="single" w:sz="8" w:space="0" w:color="4F81BD"/>
              <w:right w:val="single" w:sz="8" w:space="0" w:color="4F81BD"/>
            </w:tcBorders>
          </w:tcPr>
          <w:p w:rsidR="00F64C92" w:rsidRPr="008211FD" w:rsidRDefault="00F64C92" w:rsidP="00CE3680">
            <w:pPr>
              <w:spacing w:after="0"/>
              <w:rPr>
                <w:rFonts w:ascii="Times New Roman" w:hAnsi="Times New Roman"/>
                <w:color w:val="000000"/>
                <w:sz w:val="16"/>
                <w:szCs w:val="16"/>
              </w:rPr>
            </w:pPr>
            <w:r w:rsidRPr="008211FD">
              <w:rPr>
                <w:rFonts w:ascii="Times New Roman" w:hAnsi="Times New Roman"/>
                <w:color w:val="000000"/>
                <w:sz w:val="16"/>
                <w:szCs w:val="16"/>
              </w:rPr>
              <w:t>Instituto Millenium</w:t>
            </w:r>
          </w:p>
        </w:tc>
        <w:tc>
          <w:tcPr>
            <w:tcW w:w="3684" w:type="pct"/>
            <w:tcBorders>
              <w:top w:val="single" w:sz="8" w:space="0" w:color="4F81BD"/>
              <w:left w:val="single" w:sz="8" w:space="0" w:color="4F81BD"/>
              <w:bottom w:val="single" w:sz="8" w:space="0" w:color="4F81BD"/>
              <w:right w:val="single" w:sz="8" w:space="0" w:color="4F81BD"/>
            </w:tcBorders>
          </w:tcPr>
          <w:p w:rsidR="00F64C92" w:rsidRPr="008211FD" w:rsidRDefault="00F64C92" w:rsidP="00CE3680">
            <w:pPr>
              <w:pStyle w:val="DecimalAligned"/>
              <w:tabs>
                <w:tab w:val="clear" w:pos="360"/>
                <w:tab w:val="decimal" w:pos="0"/>
              </w:tabs>
              <w:spacing w:after="0"/>
              <w:jc w:val="both"/>
              <w:rPr>
                <w:rFonts w:ascii="Times New Roman" w:hAnsi="Times New Roman"/>
                <w:sz w:val="16"/>
                <w:szCs w:val="16"/>
                <w:lang w:val="en-US"/>
              </w:rPr>
            </w:pPr>
            <w:r w:rsidRPr="008211FD">
              <w:rPr>
                <w:rFonts w:ascii="Times New Roman" w:hAnsi="Times New Roman"/>
                <w:sz w:val="16"/>
                <w:szCs w:val="16"/>
                <w:lang w:val="en-US"/>
              </w:rPr>
              <w:t>Daniel Feffer e Jorge Gerdau.</w:t>
            </w:r>
          </w:p>
        </w:tc>
        <w:tc>
          <w:tcPr>
            <w:tcW w:w="234" w:type="pct"/>
            <w:tcBorders>
              <w:top w:val="single" w:sz="8" w:space="0" w:color="4F81BD"/>
              <w:left w:val="single" w:sz="8" w:space="0" w:color="4F81BD"/>
              <w:bottom w:val="single" w:sz="8" w:space="0" w:color="4F81BD"/>
              <w:right w:val="single" w:sz="8" w:space="0" w:color="4F81BD"/>
            </w:tcBorders>
          </w:tcPr>
          <w:p w:rsidR="00F64C92" w:rsidRPr="008211FD" w:rsidRDefault="00F64C92" w:rsidP="00CE3680">
            <w:pPr>
              <w:pStyle w:val="DecimalAligned"/>
              <w:tabs>
                <w:tab w:val="clear" w:pos="360"/>
                <w:tab w:val="decimal" w:pos="0"/>
              </w:tabs>
              <w:spacing w:after="0"/>
              <w:jc w:val="center"/>
              <w:rPr>
                <w:rFonts w:ascii="Times New Roman" w:hAnsi="Times New Roman"/>
                <w:sz w:val="16"/>
                <w:szCs w:val="16"/>
                <w:lang w:val="en-US"/>
              </w:rPr>
            </w:pPr>
            <w:r w:rsidRPr="008211FD">
              <w:rPr>
                <w:rFonts w:ascii="Times New Roman" w:hAnsi="Times New Roman"/>
                <w:sz w:val="16"/>
                <w:szCs w:val="16"/>
                <w:lang w:val="en-US"/>
              </w:rPr>
              <w:t>2</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rPr>
                <w:rFonts w:ascii="Times New Roman" w:hAnsi="Times New Roman"/>
                <w:sz w:val="16"/>
                <w:szCs w:val="16"/>
              </w:rPr>
            </w:pPr>
            <w:r w:rsidRPr="008211FD">
              <w:rPr>
                <w:rFonts w:ascii="Times New Roman" w:hAnsi="Times New Roman"/>
                <w:sz w:val="16"/>
                <w:szCs w:val="16"/>
              </w:rPr>
              <w:t>Movimento Todos pela Educação</w:t>
            </w:r>
          </w:p>
        </w:tc>
        <w:tc>
          <w:tcPr>
            <w:tcW w:w="368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jc w:val="both"/>
              <w:rPr>
                <w:rFonts w:ascii="Times New Roman" w:hAnsi="Times New Roman"/>
                <w:sz w:val="16"/>
                <w:szCs w:val="16"/>
              </w:rPr>
            </w:pPr>
            <w:r w:rsidRPr="008211FD">
              <w:rPr>
                <w:rFonts w:ascii="Times New Roman" w:hAnsi="Times New Roman"/>
                <w:sz w:val="16"/>
                <w:szCs w:val="16"/>
              </w:rPr>
              <w:t>Fabio Barbosa, Daniel Feffer, Horácio Piva, Jorge Gerdau, Milu Vilella,Ricardo Young e Viviane Senna.</w:t>
            </w:r>
          </w:p>
        </w:tc>
        <w:tc>
          <w:tcPr>
            <w:tcW w:w="23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jc w:val="center"/>
              <w:rPr>
                <w:rFonts w:ascii="Times New Roman" w:hAnsi="Times New Roman"/>
                <w:sz w:val="16"/>
                <w:szCs w:val="16"/>
              </w:rPr>
            </w:pPr>
            <w:r w:rsidRPr="008211FD">
              <w:rPr>
                <w:rFonts w:ascii="Times New Roman" w:hAnsi="Times New Roman"/>
                <w:sz w:val="16"/>
                <w:szCs w:val="16"/>
              </w:rPr>
              <w:t>7</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spacing w:after="0"/>
              <w:rPr>
                <w:rFonts w:ascii="Times New Roman" w:hAnsi="Times New Roman"/>
                <w:color w:val="000000"/>
                <w:sz w:val="16"/>
                <w:szCs w:val="16"/>
              </w:rPr>
            </w:pPr>
            <w:r w:rsidRPr="008211FD">
              <w:rPr>
                <w:rFonts w:ascii="Times New Roman" w:hAnsi="Times New Roman"/>
                <w:color w:val="000000"/>
                <w:sz w:val="16"/>
                <w:szCs w:val="16"/>
              </w:rPr>
              <w:t>Assoc. Parceria Contra as Drogas</w:t>
            </w:r>
          </w:p>
        </w:tc>
        <w:tc>
          <w:tcPr>
            <w:tcW w:w="368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DecimalAligned"/>
              <w:tabs>
                <w:tab w:val="clear" w:pos="360"/>
                <w:tab w:val="decimal" w:pos="0"/>
              </w:tabs>
              <w:spacing w:after="0"/>
              <w:jc w:val="both"/>
              <w:rPr>
                <w:rFonts w:ascii="Times New Roman" w:hAnsi="Times New Roman"/>
                <w:color w:val="000000"/>
                <w:sz w:val="16"/>
                <w:szCs w:val="16"/>
              </w:rPr>
            </w:pPr>
            <w:r w:rsidRPr="008211FD">
              <w:rPr>
                <w:rFonts w:ascii="Times New Roman" w:hAnsi="Times New Roman"/>
                <w:color w:val="000000"/>
                <w:sz w:val="16"/>
                <w:szCs w:val="16"/>
              </w:rPr>
              <w:t>Horácio Piva, Fábio Coletti Barbosa, Fernando Ferreira, Márcio Cypriano, Milu Villela, Roberto Setúbal, Roger Agnelli.</w:t>
            </w:r>
          </w:p>
        </w:tc>
        <w:tc>
          <w:tcPr>
            <w:tcW w:w="234"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DecimalAligned"/>
              <w:tabs>
                <w:tab w:val="clear" w:pos="360"/>
                <w:tab w:val="decimal" w:pos="0"/>
              </w:tabs>
              <w:spacing w:after="0"/>
              <w:jc w:val="center"/>
              <w:rPr>
                <w:rFonts w:ascii="Times New Roman" w:hAnsi="Times New Roman"/>
                <w:color w:val="000000"/>
                <w:sz w:val="16"/>
                <w:szCs w:val="16"/>
              </w:rPr>
            </w:pPr>
            <w:r w:rsidRPr="008211FD">
              <w:rPr>
                <w:rFonts w:ascii="Times New Roman" w:hAnsi="Times New Roman"/>
                <w:color w:val="000000"/>
                <w:sz w:val="16"/>
                <w:szCs w:val="16"/>
              </w:rPr>
              <w:t>7</w:t>
            </w:r>
          </w:p>
        </w:tc>
      </w:tr>
      <w:tr w:rsidR="00FD610C" w:rsidRPr="008211FD" w:rsidTr="00720548">
        <w:tc>
          <w:tcPr>
            <w:tcW w:w="108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rPr>
                <w:rFonts w:ascii="Times New Roman" w:hAnsi="Times New Roman"/>
                <w:sz w:val="16"/>
                <w:szCs w:val="16"/>
              </w:rPr>
            </w:pPr>
            <w:r w:rsidRPr="008211FD">
              <w:rPr>
                <w:rFonts w:ascii="Times New Roman" w:hAnsi="Times New Roman"/>
                <w:sz w:val="16"/>
                <w:szCs w:val="16"/>
              </w:rPr>
              <w:t xml:space="preserve">Ação Fome Zero </w:t>
            </w:r>
          </w:p>
        </w:tc>
        <w:tc>
          <w:tcPr>
            <w:tcW w:w="368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jc w:val="both"/>
              <w:rPr>
                <w:rFonts w:ascii="Times New Roman" w:hAnsi="Times New Roman"/>
                <w:sz w:val="16"/>
                <w:szCs w:val="16"/>
              </w:rPr>
            </w:pPr>
            <w:r w:rsidRPr="008211FD">
              <w:rPr>
                <w:rFonts w:ascii="Times New Roman" w:hAnsi="Times New Roman"/>
                <w:sz w:val="16"/>
                <w:szCs w:val="16"/>
              </w:rPr>
              <w:t xml:space="preserve">Antoninho Trevisan, Gabriel Ferreira e José Carlos Bumlai. </w:t>
            </w:r>
          </w:p>
        </w:tc>
        <w:tc>
          <w:tcPr>
            <w:tcW w:w="23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spacing w:after="0"/>
              <w:jc w:val="center"/>
              <w:rPr>
                <w:rFonts w:ascii="Times New Roman" w:hAnsi="Times New Roman"/>
                <w:sz w:val="16"/>
                <w:szCs w:val="16"/>
              </w:rPr>
            </w:pPr>
            <w:r w:rsidRPr="008211FD">
              <w:rPr>
                <w:rFonts w:ascii="Times New Roman" w:hAnsi="Times New Roman"/>
                <w:sz w:val="16"/>
                <w:szCs w:val="16"/>
              </w:rPr>
              <w:t>3</w:t>
            </w:r>
          </w:p>
        </w:tc>
      </w:tr>
      <w:tr w:rsidR="004B4BBC" w:rsidRPr="008211FD" w:rsidTr="00720548">
        <w:tc>
          <w:tcPr>
            <w:tcW w:w="1082" w:type="pct"/>
            <w:tcBorders>
              <w:top w:val="single" w:sz="8" w:space="0" w:color="4F81BD"/>
              <w:left w:val="single" w:sz="8" w:space="0" w:color="4F81BD"/>
              <w:bottom w:val="single" w:sz="8" w:space="0" w:color="4F81BD"/>
              <w:right w:val="single" w:sz="8" w:space="0" w:color="4F81BD"/>
            </w:tcBorders>
            <w:shd w:val="clear" w:color="auto" w:fill="D3DFEE"/>
          </w:tcPr>
          <w:p w:rsidR="004B4BBC" w:rsidRDefault="004B4BBC" w:rsidP="004B4BBC">
            <w:pPr>
              <w:spacing w:after="0" w:line="240" w:lineRule="auto"/>
              <w:jc w:val="both"/>
              <w:rPr>
                <w:rFonts w:ascii="Times New Roman" w:eastAsia="Times New Roman" w:hAnsi="Times New Roman"/>
                <w:sz w:val="16"/>
                <w:szCs w:val="16"/>
              </w:rPr>
            </w:pPr>
            <w:r w:rsidRPr="00E32D11">
              <w:rPr>
                <w:rFonts w:ascii="Times New Roman" w:eastAsia="Times New Roman" w:hAnsi="Times New Roman"/>
                <w:sz w:val="16"/>
                <w:szCs w:val="16"/>
              </w:rPr>
              <w:t>Fórum Nacional /</w:t>
            </w:r>
          </w:p>
          <w:p w:rsidR="004B4BBC" w:rsidRPr="00E32D11" w:rsidRDefault="004B4BBC" w:rsidP="004B4BBC">
            <w:pPr>
              <w:spacing w:after="0" w:line="240" w:lineRule="auto"/>
              <w:jc w:val="both"/>
              <w:rPr>
                <w:rFonts w:ascii="Times New Roman" w:eastAsia="Times New Roman" w:hAnsi="Times New Roman"/>
                <w:b/>
                <w:sz w:val="16"/>
                <w:szCs w:val="16"/>
              </w:rPr>
            </w:pPr>
            <w:r w:rsidRPr="00E32D11">
              <w:rPr>
                <w:rFonts w:ascii="Times New Roman" w:eastAsia="Times New Roman" w:hAnsi="Times New Roman"/>
                <w:sz w:val="16"/>
                <w:szCs w:val="16"/>
              </w:rPr>
              <w:t xml:space="preserve"> INAE</w:t>
            </w:r>
            <w:r>
              <w:rPr>
                <w:rStyle w:val="Refdenotaderodap"/>
                <w:rFonts w:ascii="Times New Roman" w:eastAsia="Times New Roman" w:hAnsi="Times New Roman"/>
                <w:sz w:val="16"/>
                <w:szCs w:val="16"/>
              </w:rPr>
              <w:footnoteReference w:id="309"/>
            </w:r>
          </w:p>
        </w:tc>
        <w:tc>
          <w:tcPr>
            <w:tcW w:w="3684" w:type="pct"/>
            <w:tcBorders>
              <w:top w:val="single" w:sz="8" w:space="0" w:color="4F81BD"/>
              <w:left w:val="single" w:sz="8" w:space="0" w:color="4F81BD"/>
              <w:bottom w:val="single" w:sz="8" w:space="0" w:color="4F81BD"/>
              <w:right w:val="single" w:sz="8" w:space="0" w:color="4F81BD"/>
            </w:tcBorders>
            <w:shd w:val="clear" w:color="auto" w:fill="D3DFEE"/>
          </w:tcPr>
          <w:p w:rsidR="004B4BBC" w:rsidRPr="00E32D11" w:rsidRDefault="004B4BBC" w:rsidP="004B4BBC">
            <w:pPr>
              <w:spacing w:line="240" w:lineRule="auto"/>
              <w:jc w:val="both"/>
              <w:rPr>
                <w:rFonts w:ascii="Times New Roman" w:eastAsia="Times New Roman" w:hAnsi="Times New Roman"/>
                <w:sz w:val="16"/>
                <w:szCs w:val="16"/>
              </w:rPr>
            </w:pPr>
            <w:r w:rsidRPr="00E32D11">
              <w:rPr>
                <w:rFonts w:ascii="Times New Roman" w:eastAsia="Times New Roman" w:hAnsi="Times New Roman"/>
                <w:sz w:val="16"/>
                <w:szCs w:val="16"/>
              </w:rPr>
              <w:t>João Paulo dos Reis Velloso</w:t>
            </w:r>
          </w:p>
        </w:tc>
        <w:tc>
          <w:tcPr>
            <w:tcW w:w="234" w:type="pct"/>
            <w:tcBorders>
              <w:top w:val="single" w:sz="8" w:space="0" w:color="4F81BD"/>
              <w:left w:val="single" w:sz="8" w:space="0" w:color="4F81BD"/>
              <w:bottom w:val="single" w:sz="8" w:space="0" w:color="4F81BD"/>
              <w:right w:val="single" w:sz="8" w:space="0" w:color="4F81BD"/>
            </w:tcBorders>
            <w:shd w:val="clear" w:color="auto" w:fill="D3DFEE"/>
          </w:tcPr>
          <w:p w:rsidR="004B4BBC" w:rsidRPr="008211FD" w:rsidRDefault="004B4BBC" w:rsidP="00CE3680">
            <w:pPr>
              <w:spacing w:after="0"/>
              <w:jc w:val="center"/>
              <w:rPr>
                <w:rFonts w:ascii="Times New Roman" w:hAnsi="Times New Roman"/>
                <w:sz w:val="16"/>
                <w:szCs w:val="16"/>
              </w:rPr>
            </w:pPr>
            <w:r w:rsidRPr="008211FD">
              <w:rPr>
                <w:rFonts w:ascii="Times New Roman" w:hAnsi="Times New Roman"/>
                <w:sz w:val="16"/>
                <w:szCs w:val="16"/>
              </w:rPr>
              <w:t>1</w:t>
            </w:r>
          </w:p>
        </w:tc>
      </w:tr>
    </w:tbl>
    <w:p w:rsidR="00D1400E" w:rsidRPr="00720548" w:rsidRDefault="00D1400E" w:rsidP="00720548">
      <w:pPr>
        <w:tabs>
          <w:tab w:val="left" w:pos="0"/>
        </w:tabs>
        <w:spacing w:after="0" w:line="240" w:lineRule="auto"/>
        <w:jc w:val="both"/>
        <w:rPr>
          <w:rFonts w:ascii="Times New Roman" w:hAnsi="Times New Roman"/>
          <w:sz w:val="24"/>
          <w:szCs w:val="24"/>
        </w:rPr>
      </w:pPr>
      <w:r>
        <w:rPr>
          <w:rFonts w:ascii="Times New Roman" w:hAnsi="Times New Roman"/>
          <w:b/>
          <w:sz w:val="18"/>
          <w:szCs w:val="18"/>
        </w:rPr>
        <w:t>Elaboração própria</w:t>
      </w:r>
      <w:r w:rsidR="00720548">
        <w:rPr>
          <w:rFonts w:ascii="Times New Roman" w:hAnsi="Times New Roman"/>
          <w:b/>
          <w:sz w:val="18"/>
          <w:szCs w:val="18"/>
        </w:rPr>
        <w:t>. Fontes:</w:t>
      </w:r>
      <w:r w:rsidR="00720548">
        <w:rPr>
          <w:rFonts w:ascii="Times New Roman" w:hAnsi="Times New Roman"/>
          <w:sz w:val="18"/>
          <w:szCs w:val="18"/>
        </w:rPr>
        <w:t xml:space="preserve"> site do CDES </w:t>
      </w:r>
      <w:r w:rsidR="00720548" w:rsidRPr="00720548">
        <w:rPr>
          <w:rFonts w:ascii="Times New Roman" w:hAnsi="Times New Roman"/>
          <w:sz w:val="18"/>
          <w:szCs w:val="18"/>
        </w:rPr>
        <w:t>(</w:t>
      </w:r>
      <w:hyperlink r:id="rId21" w:history="1">
        <w:r w:rsidR="00720548" w:rsidRPr="00720548">
          <w:rPr>
            <w:rStyle w:val="Hyperlink"/>
            <w:rFonts w:ascii="Times New Roman" w:hAnsi="Times New Roman"/>
            <w:color w:val="auto"/>
            <w:sz w:val="18"/>
            <w:szCs w:val="18"/>
            <w:u w:val="none"/>
          </w:rPr>
          <w:t>www.cdes.gov.br</w:t>
        </w:r>
      </w:hyperlink>
      <w:r w:rsidR="00720548">
        <w:rPr>
          <w:rFonts w:ascii="Times New Roman" w:hAnsi="Times New Roman"/>
          <w:sz w:val="18"/>
          <w:szCs w:val="18"/>
        </w:rPr>
        <w:t>) e pesquisas na internet, principalmente nos sites das entidades pesquisadas.</w:t>
      </w:r>
    </w:p>
    <w:p w:rsidR="00BE4AD2" w:rsidRPr="00C3642C" w:rsidRDefault="00D1400E" w:rsidP="00BE4AD2">
      <w:pPr>
        <w:tabs>
          <w:tab w:val="left" w:pos="0"/>
        </w:tabs>
        <w:spacing w:before="240" w:after="0" w:line="360" w:lineRule="auto"/>
        <w:jc w:val="both"/>
        <w:rPr>
          <w:rFonts w:ascii="Times New Roman" w:hAnsi="Times New Roman"/>
          <w:sz w:val="24"/>
          <w:szCs w:val="24"/>
        </w:rPr>
      </w:pPr>
      <w:r>
        <w:rPr>
          <w:rFonts w:ascii="Times New Roman" w:hAnsi="Times New Roman"/>
          <w:sz w:val="24"/>
          <w:szCs w:val="24"/>
        </w:rPr>
        <w:tab/>
      </w:r>
      <w:r w:rsidR="008A1BC5" w:rsidRPr="00C3642C">
        <w:rPr>
          <w:rFonts w:ascii="Times New Roman" w:hAnsi="Times New Roman"/>
          <w:sz w:val="24"/>
          <w:szCs w:val="24"/>
        </w:rPr>
        <w:t xml:space="preserve">O quadro acima mostra </w:t>
      </w:r>
      <w:r w:rsidR="00C86774" w:rsidRPr="00C3642C">
        <w:rPr>
          <w:rFonts w:ascii="Times New Roman" w:hAnsi="Times New Roman"/>
          <w:sz w:val="24"/>
          <w:szCs w:val="24"/>
        </w:rPr>
        <w:t>que</w:t>
      </w:r>
      <w:r w:rsidR="004408E9" w:rsidRPr="00C3642C">
        <w:rPr>
          <w:rFonts w:ascii="Times New Roman" w:hAnsi="Times New Roman"/>
          <w:sz w:val="24"/>
          <w:szCs w:val="24"/>
        </w:rPr>
        <w:t xml:space="preserve">os governos Lula da Silva continuaram a acionar e reforçar a estrutura sindical e corporativa patronal varguista, que durante décadas foi criticada pelos dirigentes oriundos do novo sindicalismo. As tradicionais estruturas corporativas oficiais do patronato, ao contrário do que se deveria supor para um Conselho que, em tese, deveria traduzir ou se aproximar </w:t>
      </w:r>
      <w:r w:rsidR="00C86774" w:rsidRPr="00C3642C">
        <w:rPr>
          <w:rFonts w:ascii="Times New Roman" w:hAnsi="Times New Roman"/>
          <w:sz w:val="24"/>
          <w:szCs w:val="24"/>
        </w:rPr>
        <w:t>à</w:t>
      </w:r>
      <w:r w:rsidR="004408E9" w:rsidRPr="00C3642C">
        <w:rPr>
          <w:rFonts w:ascii="Times New Roman" w:hAnsi="Times New Roman"/>
          <w:sz w:val="24"/>
          <w:szCs w:val="24"/>
        </w:rPr>
        <w:t>s formas organizativas mais recentes de atuação e disseminação dos interesses empresariais, continua</w:t>
      </w:r>
      <w:r w:rsidR="006E7CA2">
        <w:rPr>
          <w:rFonts w:ascii="Times New Roman" w:hAnsi="Times New Roman"/>
          <w:sz w:val="24"/>
          <w:szCs w:val="24"/>
        </w:rPr>
        <w:t>va</w:t>
      </w:r>
      <w:r w:rsidR="00C86774" w:rsidRPr="00C3642C">
        <w:rPr>
          <w:rFonts w:ascii="Times New Roman" w:hAnsi="Times New Roman"/>
          <w:sz w:val="24"/>
          <w:szCs w:val="24"/>
        </w:rPr>
        <w:t>m</w:t>
      </w:r>
      <w:r w:rsidR="006E7CA2">
        <w:rPr>
          <w:rFonts w:ascii="Times New Roman" w:hAnsi="Times New Roman"/>
          <w:sz w:val="24"/>
          <w:szCs w:val="24"/>
        </w:rPr>
        <w:t>sendo reconhecida</w:t>
      </w:r>
      <w:r w:rsidR="00C86774" w:rsidRPr="00C3642C">
        <w:rPr>
          <w:rFonts w:ascii="Times New Roman" w:hAnsi="Times New Roman"/>
          <w:sz w:val="24"/>
          <w:szCs w:val="24"/>
        </w:rPr>
        <w:t>s como c</w:t>
      </w:r>
      <w:r w:rsidR="004408E9" w:rsidRPr="00C3642C">
        <w:rPr>
          <w:rFonts w:ascii="Times New Roman" w:hAnsi="Times New Roman"/>
          <w:sz w:val="24"/>
          <w:szCs w:val="24"/>
        </w:rPr>
        <w:t>ana</w:t>
      </w:r>
      <w:r w:rsidR="00C86774" w:rsidRPr="00C3642C">
        <w:rPr>
          <w:rFonts w:ascii="Times New Roman" w:hAnsi="Times New Roman"/>
          <w:sz w:val="24"/>
          <w:szCs w:val="24"/>
        </w:rPr>
        <w:t>isbastante relevantes não apenas de interlocução, mas de intromis</w:t>
      </w:r>
      <w:r w:rsidR="008E7E03" w:rsidRPr="00C3642C">
        <w:rPr>
          <w:rFonts w:ascii="Times New Roman" w:hAnsi="Times New Roman"/>
          <w:sz w:val="24"/>
          <w:szCs w:val="24"/>
        </w:rPr>
        <w:t>são de demandas do empresariado, desde uma perspectiva consensual intraburguesa e em direção aos “de baixo”.</w:t>
      </w:r>
      <w:r w:rsidR="00957AF3" w:rsidRPr="00C3642C">
        <w:rPr>
          <w:rStyle w:val="Refdenotaderodap"/>
          <w:rFonts w:ascii="Times New Roman" w:hAnsi="Times New Roman"/>
          <w:sz w:val="24"/>
          <w:szCs w:val="24"/>
        </w:rPr>
        <w:footnoteReference w:id="310"/>
      </w:r>
    </w:p>
    <w:p w:rsidR="00BC2432" w:rsidRPr="00C3642C" w:rsidRDefault="00957AF3" w:rsidP="00D242D7">
      <w:pPr>
        <w:spacing w:after="0" w:line="360" w:lineRule="auto"/>
        <w:jc w:val="both"/>
        <w:rPr>
          <w:rFonts w:ascii="Times New Roman" w:hAnsi="Times New Roman"/>
          <w:sz w:val="24"/>
          <w:szCs w:val="24"/>
        </w:rPr>
      </w:pPr>
      <w:r w:rsidRPr="00C3642C">
        <w:rPr>
          <w:rFonts w:ascii="Times New Roman" w:hAnsi="Times New Roman"/>
          <w:sz w:val="24"/>
          <w:szCs w:val="24"/>
        </w:rPr>
        <w:tab/>
        <w:t>Esse</w:t>
      </w:r>
      <w:r w:rsidR="00C86774" w:rsidRPr="00C3642C">
        <w:rPr>
          <w:rFonts w:ascii="Times New Roman" w:hAnsi="Times New Roman"/>
          <w:sz w:val="24"/>
          <w:szCs w:val="24"/>
        </w:rPr>
        <w:t xml:space="preserve"> perfil </w:t>
      </w:r>
      <w:r w:rsidR="00D242D7" w:rsidRPr="00C3642C">
        <w:rPr>
          <w:rFonts w:ascii="Times New Roman" w:hAnsi="Times New Roman"/>
          <w:sz w:val="24"/>
          <w:szCs w:val="24"/>
        </w:rPr>
        <w:t xml:space="preserve">das entidades </w:t>
      </w:r>
      <w:r w:rsidR="00C86774" w:rsidRPr="00C3642C">
        <w:rPr>
          <w:rFonts w:ascii="Times New Roman" w:hAnsi="Times New Roman"/>
          <w:sz w:val="24"/>
          <w:szCs w:val="24"/>
        </w:rPr>
        <w:t>representativ</w:t>
      </w:r>
      <w:r w:rsidR="00D242D7" w:rsidRPr="00C3642C">
        <w:rPr>
          <w:rFonts w:ascii="Times New Roman" w:hAnsi="Times New Roman"/>
          <w:sz w:val="24"/>
          <w:szCs w:val="24"/>
        </w:rPr>
        <w:t>as</w:t>
      </w:r>
      <w:r w:rsidR="00C86774" w:rsidRPr="00C3642C">
        <w:rPr>
          <w:rFonts w:ascii="Times New Roman" w:hAnsi="Times New Roman"/>
          <w:sz w:val="24"/>
          <w:szCs w:val="24"/>
        </w:rPr>
        <w:t xml:space="preserve"> empresaria</w:t>
      </w:r>
      <w:r w:rsidR="00D242D7" w:rsidRPr="00C3642C">
        <w:rPr>
          <w:rFonts w:ascii="Times New Roman" w:hAnsi="Times New Roman"/>
          <w:sz w:val="24"/>
          <w:szCs w:val="24"/>
        </w:rPr>
        <w:t>is</w:t>
      </w:r>
      <w:r w:rsidR="00C86774" w:rsidRPr="00C3642C">
        <w:rPr>
          <w:rFonts w:ascii="Times New Roman" w:hAnsi="Times New Roman"/>
          <w:sz w:val="24"/>
          <w:szCs w:val="24"/>
        </w:rPr>
        <w:t xml:space="preserve"> no Conselho (não nos esqueçamos que seus conselheiros são nomeados pelo Presidente da República) deriva e expressa </w:t>
      </w:r>
      <w:r w:rsidR="00C86774" w:rsidRPr="00C3642C">
        <w:rPr>
          <w:rFonts w:ascii="Times New Roman" w:hAnsi="Times New Roman"/>
          <w:i/>
          <w:sz w:val="24"/>
          <w:szCs w:val="24"/>
        </w:rPr>
        <w:t xml:space="preserve">uma das </w:t>
      </w:r>
      <w:r w:rsidR="00C86774" w:rsidRPr="00C3642C">
        <w:rPr>
          <w:rFonts w:ascii="Times New Roman" w:hAnsi="Times New Roman"/>
          <w:sz w:val="24"/>
          <w:szCs w:val="24"/>
        </w:rPr>
        <w:t xml:space="preserve">principais </w:t>
      </w:r>
      <w:r w:rsidR="005C1D0B" w:rsidRPr="00C3642C">
        <w:rPr>
          <w:rFonts w:ascii="Times New Roman" w:hAnsi="Times New Roman"/>
          <w:sz w:val="24"/>
          <w:szCs w:val="24"/>
        </w:rPr>
        <w:t xml:space="preserve">comprovações de que se trata de uma arena de consolidação do projeto de hegemonia do grande capital monopolista. A </w:t>
      </w:r>
      <w:r w:rsidR="005C1D0B" w:rsidRPr="00C3642C">
        <w:rPr>
          <w:rFonts w:ascii="Times New Roman" w:hAnsi="Times New Roman"/>
          <w:i/>
          <w:sz w:val="24"/>
          <w:szCs w:val="24"/>
        </w:rPr>
        <w:t xml:space="preserve">convocação </w:t>
      </w:r>
      <w:r w:rsidR="005C1D0B" w:rsidRPr="00C3642C">
        <w:rPr>
          <w:rFonts w:ascii="Times New Roman" w:hAnsi="Times New Roman"/>
          <w:sz w:val="24"/>
          <w:szCs w:val="24"/>
        </w:rPr>
        <w:t>destas entidades patronais para o interior do aparato estatal, através do CDES, mas também em outros fóruns, revela que o bloco político no período robustecia ou empoderava ainda mais a política do grande capital e</w:t>
      </w:r>
      <w:r w:rsidR="00E62A91">
        <w:rPr>
          <w:rFonts w:ascii="Times New Roman" w:hAnsi="Times New Roman"/>
          <w:sz w:val="24"/>
          <w:szCs w:val="24"/>
        </w:rPr>
        <w:t xml:space="preserve">, especialmente, do </w:t>
      </w:r>
      <w:r w:rsidR="005B38C8">
        <w:rPr>
          <w:rFonts w:ascii="Times New Roman" w:hAnsi="Times New Roman"/>
          <w:sz w:val="24"/>
          <w:szCs w:val="24"/>
        </w:rPr>
        <w:t xml:space="preserve">grande </w:t>
      </w:r>
      <w:r w:rsidR="00E62A91">
        <w:rPr>
          <w:rFonts w:ascii="Times New Roman" w:hAnsi="Times New Roman"/>
          <w:sz w:val="24"/>
          <w:szCs w:val="24"/>
        </w:rPr>
        <w:t xml:space="preserve">capital produtor de valor, sobrerrepresentado numericamente </w:t>
      </w:r>
      <w:r w:rsidR="009E531E">
        <w:rPr>
          <w:rFonts w:ascii="Times New Roman" w:hAnsi="Times New Roman"/>
          <w:sz w:val="24"/>
          <w:szCs w:val="24"/>
        </w:rPr>
        <w:t>em relação</w:t>
      </w:r>
      <w:r w:rsidR="00E62A91">
        <w:rPr>
          <w:rFonts w:ascii="Times New Roman" w:hAnsi="Times New Roman"/>
          <w:sz w:val="24"/>
          <w:szCs w:val="24"/>
        </w:rPr>
        <w:t xml:space="preserve"> aos demais setores empresariais. </w:t>
      </w:r>
      <w:r w:rsidR="00E62A91" w:rsidRPr="0021770C">
        <w:rPr>
          <w:rFonts w:ascii="Times New Roman" w:hAnsi="Times New Roman"/>
          <w:i/>
          <w:sz w:val="24"/>
          <w:szCs w:val="24"/>
        </w:rPr>
        <w:t>Isto não significou que</w:t>
      </w:r>
      <w:r w:rsidR="005C1D0B" w:rsidRPr="0021770C">
        <w:rPr>
          <w:rFonts w:ascii="Times New Roman" w:hAnsi="Times New Roman"/>
          <w:i/>
          <w:sz w:val="24"/>
          <w:szCs w:val="24"/>
        </w:rPr>
        <w:t xml:space="preserve"> tal ou qual fração capitalista</w:t>
      </w:r>
      <w:r w:rsidR="00E62A91" w:rsidRPr="0021770C">
        <w:rPr>
          <w:rFonts w:ascii="Times New Roman" w:hAnsi="Times New Roman"/>
          <w:i/>
          <w:sz w:val="24"/>
          <w:szCs w:val="24"/>
        </w:rPr>
        <w:t xml:space="preserve"> foi preterida no CDES</w:t>
      </w:r>
      <w:r w:rsidR="005C1D0B" w:rsidRPr="0021770C">
        <w:rPr>
          <w:rFonts w:ascii="Times New Roman" w:hAnsi="Times New Roman"/>
          <w:sz w:val="24"/>
          <w:szCs w:val="24"/>
        </w:rPr>
        <w:t>,</w:t>
      </w:r>
      <w:r w:rsidR="005C1D0B" w:rsidRPr="00C3642C">
        <w:rPr>
          <w:rFonts w:ascii="Times New Roman" w:hAnsi="Times New Roman"/>
          <w:sz w:val="24"/>
          <w:szCs w:val="24"/>
        </w:rPr>
        <w:t xml:space="preserve"> já que, como evidenciamos, a interpenetração de capitais de</w:t>
      </w:r>
      <w:r w:rsidRPr="00C3642C">
        <w:rPr>
          <w:rFonts w:ascii="Times New Roman" w:hAnsi="Times New Roman"/>
          <w:sz w:val="24"/>
          <w:szCs w:val="24"/>
        </w:rPr>
        <w:t xml:space="preserve"> atividades</w:t>
      </w:r>
      <w:r w:rsidR="005C1D0B" w:rsidRPr="00C3642C">
        <w:rPr>
          <w:rFonts w:ascii="Times New Roman" w:hAnsi="Times New Roman"/>
          <w:sz w:val="24"/>
          <w:szCs w:val="24"/>
        </w:rPr>
        <w:t xml:space="preserve"> distintas não nos autoriza concluir que os interesses da indústria, do comércio, do setor de serviços, do agronegócio ou dos setores bancários e financeiros não bancários sejam</w:t>
      </w:r>
      <w:r w:rsidR="005B38C8">
        <w:rPr>
          <w:rFonts w:ascii="Times New Roman" w:hAnsi="Times New Roman"/>
          <w:sz w:val="24"/>
          <w:szCs w:val="24"/>
        </w:rPr>
        <w:t>contraposto</w:t>
      </w:r>
      <w:r w:rsidR="00BC2432">
        <w:rPr>
          <w:rFonts w:ascii="Times New Roman" w:hAnsi="Times New Roman"/>
          <w:sz w:val="24"/>
          <w:szCs w:val="24"/>
        </w:rPr>
        <w:t>s</w:t>
      </w:r>
      <w:r w:rsidR="005B38C8">
        <w:rPr>
          <w:rFonts w:ascii="Times New Roman" w:hAnsi="Times New Roman"/>
          <w:sz w:val="24"/>
          <w:szCs w:val="24"/>
        </w:rPr>
        <w:t>, excludentes ou mesmo “adversários”.</w:t>
      </w:r>
      <w:r w:rsidR="002A6D13">
        <w:rPr>
          <w:rFonts w:ascii="Times New Roman" w:hAnsi="Times New Roman"/>
          <w:sz w:val="24"/>
          <w:szCs w:val="24"/>
        </w:rPr>
        <w:t>Deve-se antecipar, contudo, que</w:t>
      </w:r>
      <w:r w:rsidR="00BC2432">
        <w:rPr>
          <w:rFonts w:ascii="Times New Roman" w:hAnsi="Times New Roman"/>
          <w:sz w:val="24"/>
          <w:szCs w:val="24"/>
        </w:rPr>
        <w:t xml:space="preserve"> as disputas entre </w:t>
      </w:r>
      <w:r w:rsidR="007F2A75">
        <w:rPr>
          <w:rFonts w:ascii="Times New Roman" w:hAnsi="Times New Roman"/>
          <w:sz w:val="24"/>
          <w:szCs w:val="24"/>
        </w:rPr>
        <w:t xml:space="preserve">as </w:t>
      </w:r>
      <w:r w:rsidR="00BC2432">
        <w:rPr>
          <w:rFonts w:ascii="Times New Roman" w:hAnsi="Times New Roman"/>
          <w:sz w:val="24"/>
          <w:szCs w:val="24"/>
        </w:rPr>
        <w:t>formas relativamente autonomizadas do capital, tensionadas pelo evidente entrelaçamento a qual se envolvem, permit</w:t>
      </w:r>
      <w:r w:rsidR="002A6D13">
        <w:rPr>
          <w:rFonts w:ascii="Times New Roman" w:hAnsi="Times New Roman"/>
          <w:sz w:val="24"/>
          <w:szCs w:val="24"/>
        </w:rPr>
        <w:t xml:space="preserve">iram </w:t>
      </w:r>
      <w:r w:rsidR="007F2A75">
        <w:rPr>
          <w:rFonts w:ascii="Times New Roman" w:hAnsi="Times New Roman"/>
          <w:sz w:val="24"/>
          <w:szCs w:val="24"/>
        </w:rPr>
        <w:t xml:space="preserve">a entrever, </w:t>
      </w:r>
      <w:r w:rsidR="007F2A75">
        <w:rPr>
          <w:rFonts w:ascii="Times New Roman" w:hAnsi="Times New Roman"/>
          <w:i/>
          <w:sz w:val="24"/>
          <w:szCs w:val="24"/>
        </w:rPr>
        <w:t xml:space="preserve">no estudo sobre o </w:t>
      </w:r>
      <w:r w:rsidR="007F2A75" w:rsidRPr="007F2A75">
        <w:rPr>
          <w:rFonts w:ascii="Times New Roman" w:hAnsi="Times New Roman"/>
          <w:i/>
          <w:sz w:val="24"/>
          <w:szCs w:val="24"/>
        </w:rPr>
        <w:t>CDES</w:t>
      </w:r>
      <w:r w:rsidR="007F2A75">
        <w:rPr>
          <w:rFonts w:ascii="Times New Roman" w:hAnsi="Times New Roman"/>
          <w:i/>
          <w:sz w:val="24"/>
          <w:szCs w:val="24"/>
        </w:rPr>
        <w:t xml:space="preserve">, </w:t>
      </w:r>
      <w:r w:rsidR="007F2A75" w:rsidRPr="007F2A75">
        <w:rPr>
          <w:rFonts w:ascii="Times New Roman" w:hAnsi="Times New Roman"/>
          <w:sz w:val="24"/>
          <w:szCs w:val="24"/>
        </w:rPr>
        <w:t>a</w:t>
      </w:r>
      <w:r w:rsidR="0021770C">
        <w:rPr>
          <w:rFonts w:ascii="Times New Roman" w:hAnsi="Times New Roman"/>
          <w:sz w:val="24"/>
          <w:szCs w:val="24"/>
        </w:rPr>
        <w:t xml:space="preserve">paulatina montagem da </w:t>
      </w:r>
      <w:r w:rsidR="007F2A75">
        <w:rPr>
          <w:rFonts w:ascii="Times New Roman" w:hAnsi="Times New Roman"/>
          <w:sz w:val="24"/>
          <w:szCs w:val="24"/>
        </w:rPr>
        <w:t>consolidação d</w:t>
      </w:r>
      <w:r w:rsidR="0021770C">
        <w:rPr>
          <w:rFonts w:ascii="Times New Roman" w:hAnsi="Times New Roman"/>
          <w:sz w:val="24"/>
          <w:szCs w:val="24"/>
        </w:rPr>
        <w:t>e</w:t>
      </w:r>
      <w:r w:rsidR="007F2A75">
        <w:rPr>
          <w:rFonts w:ascii="Times New Roman" w:hAnsi="Times New Roman"/>
          <w:sz w:val="24"/>
          <w:szCs w:val="24"/>
        </w:rPr>
        <w:t xml:space="preserve"> posiç</w:t>
      </w:r>
      <w:r w:rsidR="0021770C">
        <w:rPr>
          <w:rFonts w:ascii="Times New Roman" w:hAnsi="Times New Roman"/>
          <w:sz w:val="24"/>
          <w:szCs w:val="24"/>
        </w:rPr>
        <w:t xml:space="preserve">õesprogramáticas </w:t>
      </w:r>
      <w:r w:rsidR="007F2A75">
        <w:rPr>
          <w:rFonts w:ascii="Times New Roman" w:hAnsi="Times New Roman"/>
          <w:sz w:val="24"/>
          <w:szCs w:val="24"/>
        </w:rPr>
        <w:t>d</w:t>
      </w:r>
      <w:r w:rsidR="000834BC">
        <w:rPr>
          <w:rFonts w:ascii="Times New Roman" w:hAnsi="Times New Roman"/>
          <w:sz w:val="24"/>
          <w:szCs w:val="24"/>
        </w:rPr>
        <w:t>e setores da</w:t>
      </w:r>
      <w:r w:rsidR="007F2A75">
        <w:rPr>
          <w:rFonts w:ascii="Times New Roman" w:hAnsi="Times New Roman"/>
          <w:sz w:val="24"/>
          <w:szCs w:val="24"/>
        </w:rPr>
        <w:t xml:space="preserve"> fração do capital </w:t>
      </w:r>
      <w:r w:rsidR="0021770C">
        <w:rPr>
          <w:rFonts w:ascii="Times New Roman" w:hAnsi="Times New Roman"/>
          <w:sz w:val="24"/>
          <w:szCs w:val="24"/>
        </w:rPr>
        <w:t>produtor de valor, como veremos no próximo capítulo.</w:t>
      </w:r>
    </w:p>
    <w:p w:rsidR="00B71551" w:rsidRPr="00C3642C" w:rsidRDefault="005919E6" w:rsidP="00B71551">
      <w:pPr>
        <w:spacing w:after="0" w:line="360" w:lineRule="auto"/>
        <w:ind w:firstLine="708"/>
        <w:jc w:val="both"/>
        <w:rPr>
          <w:rFonts w:ascii="Times New Roman" w:hAnsi="Times New Roman"/>
          <w:sz w:val="24"/>
          <w:szCs w:val="24"/>
        </w:rPr>
      </w:pPr>
      <w:r w:rsidRPr="00C3642C">
        <w:rPr>
          <w:rFonts w:ascii="Times New Roman" w:hAnsi="Times New Roman"/>
          <w:sz w:val="24"/>
          <w:szCs w:val="24"/>
        </w:rPr>
        <w:t xml:space="preserve">Dos 57 empresários listados no quadro, 13 </w:t>
      </w:r>
      <w:r w:rsidR="00FD7186" w:rsidRPr="00C3642C">
        <w:rPr>
          <w:rFonts w:ascii="Times New Roman" w:hAnsi="Times New Roman"/>
          <w:sz w:val="24"/>
          <w:szCs w:val="24"/>
        </w:rPr>
        <w:t xml:space="preserve">deles </w:t>
      </w:r>
      <w:r w:rsidRPr="00C3642C">
        <w:rPr>
          <w:rFonts w:ascii="Times New Roman" w:hAnsi="Times New Roman"/>
          <w:sz w:val="24"/>
          <w:szCs w:val="24"/>
        </w:rPr>
        <w:t xml:space="preserve">(apenas 23%) não </w:t>
      </w:r>
      <w:r w:rsidR="00AF4373" w:rsidRPr="00C3642C">
        <w:rPr>
          <w:rFonts w:ascii="Times New Roman" w:hAnsi="Times New Roman"/>
          <w:sz w:val="24"/>
          <w:szCs w:val="24"/>
        </w:rPr>
        <w:t xml:space="preserve">mantinham vínculos com </w:t>
      </w:r>
      <w:r w:rsidRPr="00C3642C">
        <w:rPr>
          <w:rFonts w:ascii="Times New Roman" w:hAnsi="Times New Roman"/>
          <w:sz w:val="24"/>
          <w:szCs w:val="24"/>
        </w:rPr>
        <w:t xml:space="preserve">as entidades </w:t>
      </w:r>
      <w:r w:rsidRPr="00C3642C">
        <w:rPr>
          <w:rFonts w:ascii="Times New Roman" w:hAnsi="Times New Roman"/>
          <w:i/>
          <w:sz w:val="24"/>
          <w:szCs w:val="24"/>
        </w:rPr>
        <w:t>corporativas oficiais</w:t>
      </w:r>
      <w:r w:rsidRPr="00C3642C">
        <w:rPr>
          <w:rFonts w:ascii="Times New Roman" w:hAnsi="Times New Roman"/>
          <w:sz w:val="24"/>
          <w:szCs w:val="24"/>
        </w:rPr>
        <w:t xml:space="preserve"> do patronato, o que significa, </w:t>
      </w:r>
      <w:r w:rsidR="00D242D7" w:rsidRPr="00C3642C">
        <w:rPr>
          <w:rFonts w:ascii="Times New Roman" w:hAnsi="Times New Roman"/>
          <w:i/>
          <w:sz w:val="24"/>
          <w:szCs w:val="24"/>
        </w:rPr>
        <w:t>analisando esta amostra empresarial</w:t>
      </w:r>
      <w:r w:rsidR="00D242D7" w:rsidRPr="00C3642C">
        <w:rPr>
          <w:rFonts w:ascii="Times New Roman" w:hAnsi="Times New Roman"/>
          <w:sz w:val="24"/>
          <w:szCs w:val="24"/>
        </w:rPr>
        <w:t>,</w:t>
      </w:r>
      <w:r w:rsidRPr="00C3642C">
        <w:rPr>
          <w:rFonts w:ascii="Times New Roman" w:hAnsi="Times New Roman"/>
          <w:sz w:val="24"/>
          <w:szCs w:val="24"/>
        </w:rPr>
        <w:t xml:space="preserve"> que a expressiva maioria </w:t>
      </w:r>
      <w:r w:rsidR="00D242D7" w:rsidRPr="00C3642C">
        <w:rPr>
          <w:rFonts w:ascii="Times New Roman" w:hAnsi="Times New Roman"/>
          <w:sz w:val="24"/>
          <w:szCs w:val="24"/>
        </w:rPr>
        <w:t xml:space="preserve">dos intelectuais orgânicos </w:t>
      </w:r>
      <w:r w:rsidRPr="00C3642C">
        <w:rPr>
          <w:rFonts w:ascii="Times New Roman" w:hAnsi="Times New Roman"/>
          <w:sz w:val="24"/>
          <w:szCs w:val="24"/>
        </w:rPr>
        <w:t xml:space="preserve">dos aparelhos privados de hegemonia </w:t>
      </w:r>
      <w:r w:rsidR="00D242D7" w:rsidRPr="00C3642C">
        <w:rPr>
          <w:rFonts w:ascii="Times New Roman" w:hAnsi="Times New Roman"/>
          <w:sz w:val="24"/>
          <w:szCs w:val="24"/>
        </w:rPr>
        <w:t xml:space="preserve">empresariais </w:t>
      </w:r>
      <w:r w:rsidRPr="00C3642C">
        <w:rPr>
          <w:rFonts w:ascii="Times New Roman" w:hAnsi="Times New Roman"/>
          <w:sz w:val="24"/>
          <w:szCs w:val="24"/>
        </w:rPr>
        <w:t xml:space="preserve">historicamente constituídos no Brasil </w:t>
      </w:r>
      <w:r w:rsidR="00D242D7" w:rsidRPr="00C3642C">
        <w:rPr>
          <w:rFonts w:ascii="Times New Roman" w:hAnsi="Times New Roman"/>
          <w:sz w:val="24"/>
          <w:szCs w:val="24"/>
        </w:rPr>
        <w:t>difundiam, ramificavam e consolidavam a sociabilidade do capital a partir da criação de outras entidades de gestão e de aperfeiçoamento da expansão dos interesses empresariais na sociedade civil e na sociedade política, para além das tradicionalmente estudadas ou pesquisadas.</w:t>
      </w:r>
      <w:r w:rsidR="00B71551" w:rsidRPr="00C3642C">
        <w:rPr>
          <w:rFonts w:ascii="Times New Roman" w:hAnsi="Times New Roman"/>
          <w:sz w:val="24"/>
          <w:szCs w:val="24"/>
        </w:rPr>
        <w:t xml:space="preserve"> É preciso investir em pesquisas as quais possam revelar o “movimento catártico” (do corporativo ao ético-político) do empresariado brasileiro a partir dos programas e agendas resultantes das imbricações entre as suas diferentes entidades, não como união de blocos associativos com atribuições autônomas e singulares, mas como causa e resultado da necessária e permanente renovação do projeto de hegemonia do capital. </w:t>
      </w:r>
    </w:p>
    <w:p w:rsidR="00FD610C" w:rsidRDefault="00FD610C" w:rsidP="00B71551">
      <w:pPr>
        <w:spacing w:line="360" w:lineRule="auto"/>
        <w:ind w:firstLine="708"/>
        <w:jc w:val="both"/>
        <w:rPr>
          <w:rFonts w:ascii="Times New Roman" w:hAnsi="Times New Roman"/>
          <w:sz w:val="24"/>
          <w:szCs w:val="24"/>
        </w:rPr>
      </w:pPr>
      <w:r>
        <w:rPr>
          <w:rFonts w:ascii="Times New Roman" w:hAnsi="Times New Roman"/>
          <w:sz w:val="24"/>
          <w:szCs w:val="24"/>
        </w:rPr>
        <w:t>Qual é o “chão” material comum a esta multiplicidade de associações, entidades, fóruns, institutos, federações, sindicatos etc, que compunha a sociedade civil de cunho empresarial no Conselho? A resposta se encontra nas relações sociais de produção capitalistas em que se sustenta o grupo social dominante. Segundo Fontes:</w:t>
      </w:r>
    </w:p>
    <w:p w:rsidR="00FD610C" w:rsidRDefault="00FD610C" w:rsidP="00FD610C">
      <w:pPr>
        <w:spacing w:line="240" w:lineRule="auto"/>
        <w:ind w:left="2268"/>
        <w:jc w:val="both"/>
        <w:rPr>
          <w:rFonts w:ascii="Times New Roman" w:hAnsi="Times New Roman"/>
          <w:sz w:val="24"/>
          <w:szCs w:val="24"/>
        </w:rPr>
      </w:pPr>
      <w:r w:rsidRPr="000A36C9">
        <w:rPr>
          <w:rFonts w:ascii="Times New Roman" w:hAnsi="Times New Roman"/>
          <w:sz w:val="20"/>
          <w:szCs w:val="20"/>
        </w:rPr>
        <w:t>Não há também isolamento da sociedade civil com relação ao mundo da produção. Este constitui o solo da sociabilidade a partir da qual se produzem interesses e antagonismos, se forjam as agregações de interesses e vontades, se produz a subordinação fundamental. A sociedade civil é o momento organizativo a mediar as relações de produção e a organização do Estado, produzindo organização e convencimento.</w:t>
      </w:r>
      <w:r>
        <w:rPr>
          <w:rStyle w:val="Refdenotaderodap"/>
          <w:rFonts w:ascii="Times New Roman" w:hAnsi="Times New Roman"/>
          <w:sz w:val="20"/>
          <w:szCs w:val="20"/>
        </w:rPr>
        <w:footnoteReference w:id="311"/>
      </w:r>
    </w:p>
    <w:p w:rsidR="00FD610C" w:rsidRDefault="00FD610C" w:rsidP="00FD610C">
      <w:pPr>
        <w:spacing w:after="0" w:line="360" w:lineRule="auto"/>
        <w:ind w:firstLine="708"/>
        <w:jc w:val="both"/>
        <w:rPr>
          <w:rFonts w:ascii="Times New Roman" w:hAnsi="Times New Roman"/>
          <w:sz w:val="24"/>
          <w:szCs w:val="24"/>
        </w:rPr>
      </w:pPr>
      <w:r>
        <w:rPr>
          <w:rFonts w:ascii="Times New Roman" w:hAnsi="Times New Roman"/>
          <w:sz w:val="24"/>
          <w:szCs w:val="24"/>
        </w:rPr>
        <w:t xml:space="preserve">Certamente, a proximidade econômica entre as associações corporativas e as </w:t>
      </w:r>
      <w:r w:rsidRPr="00055DC2">
        <w:rPr>
          <w:rFonts w:ascii="Times New Roman" w:hAnsi="Times New Roman"/>
          <w:sz w:val="24"/>
          <w:szCs w:val="24"/>
        </w:rPr>
        <w:t>voltadas para a organização da ação empresarial</w:t>
      </w:r>
      <w:r>
        <w:rPr>
          <w:rFonts w:ascii="Times New Roman" w:hAnsi="Times New Roman"/>
          <w:sz w:val="24"/>
          <w:szCs w:val="24"/>
        </w:rPr>
        <w:t xml:space="preserve"> exposta no quadro acima informava seu c</w:t>
      </w:r>
      <w:r w:rsidR="00A05B55">
        <w:rPr>
          <w:rFonts w:ascii="Times New Roman" w:hAnsi="Times New Roman"/>
          <w:sz w:val="24"/>
          <w:szCs w:val="24"/>
        </w:rPr>
        <w:t xml:space="preserve">onteúdo e composição classista. </w:t>
      </w:r>
      <w:r>
        <w:rPr>
          <w:rFonts w:ascii="Times New Roman" w:hAnsi="Times New Roman"/>
          <w:sz w:val="24"/>
          <w:szCs w:val="24"/>
        </w:rPr>
        <w:t xml:space="preserve">A base material (o mundo da produção) objetiva desta sociedade civil se expressava, na pesquisa sobre os </w:t>
      </w:r>
      <w:r w:rsidR="00CC0574">
        <w:rPr>
          <w:rFonts w:ascii="Times New Roman" w:hAnsi="Times New Roman"/>
          <w:sz w:val="24"/>
          <w:szCs w:val="24"/>
        </w:rPr>
        <w:t>e</w:t>
      </w:r>
      <w:r>
        <w:rPr>
          <w:rFonts w:ascii="Times New Roman" w:hAnsi="Times New Roman"/>
          <w:sz w:val="24"/>
          <w:szCs w:val="24"/>
        </w:rPr>
        <w:t>mpresários do CDES, nos grupos econômicos e firmas.</w:t>
      </w:r>
    </w:p>
    <w:p w:rsidR="00A05B55" w:rsidRDefault="00A05B55" w:rsidP="00FD610C">
      <w:pPr>
        <w:spacing w:after="0" w:line="360" w:lineRule="auto"/>
        <w:ind w:firstLine="708"/>
        <w:jc w:val="both"/>
        <w:rPr>
          <w:rFonts w:ascii="Times New Roman" w:hAnsi="Times New Roman"/>
          <w:sz w:val="24"/>
          <w:szCs w:val="24"/>
        </w:rPr>
      </w:pPr>
      <w:r>
        <w:rPr>
          <w:rFonts w:ascii="Times New Roman" w:hAnsi="Times New Roman"/>
          <w:sz w:val="24"/>
          <w:szCs w:val="24"/>
        </w:rPr>
        <w:t>O</w:t>
      </w:r>
      <w:r w:rsidR="00FD610C">
        <w:rPr>
          <w:rFonts w:ascii="Times New Roman" w:hAnsi="Times New Roman"/>
          <w:sz w:val="24"/>
          <w:szCs w:val="24"/>
        </w:rPr>
        <w:t xml:space="preserve"> caminho percorrido neste estudo</w:t>
      </w:r>
      <w:r>
        <w:rPr>
          <w:rFonts w:ascii="Times New Roman" w:hAnsi="Times New Roman"/>
          <w:sz w:val="24"/>
          <w:szCs w:val="24"/>
        </w:rPr>
        <w:t xml:space="preserve"> mostra </w:t>
      </w:r>
      <w:r w:rsidR="00CC0574">
        <w:rPr>
          <w:rFonts w:ascii="Times New Roman" w:hAnsi="Times New Roman"/>
          <w:sz w:val="24"/>
          <w:szCs w:val="24"/>
        </w:rPr>
        <w:t xml:space="preserve">que os </w:t>
      </w:r>
      <w:r>
        <w:rPr>
          <w:rFonts w:ascii="Times New Roman" w:hAnsi="Times New Roman"/>
          <w:sz w:val="24"/>
          <w:szCs w:val="24"/>
        </w:rPr>
        <w:t>empresários</w:t>
      </w:r>
      <w:r w:rsidR="00FD610C">
        <w:rPr>
          <w:rFonts w:ascii="Times New Roman" w:hAnsi="Times New Roman"/>
          <w:sz w:val="24"/>
          <w:szCs w:val="24"/>
        </w:rPr>
        <w:t xml:space="preserve"> do CDES ocupavam </w:t>
      </w:r>
      <w:r w:rsidR="00FD610C">
        <w:rPr>
          <w:rFonts w:ascii="Times New Roman" w:hAnsi="Times New Roman"/>
          <w:i/>
          <w:sz w:val="24"/>
          <w:szCs w:val="24"/>
        </w:rPr>
        <w:t>lugares sociais comuns</w:t>
      </w:r>
      <w:r w:rsidR="00FD610C">
        <w:rPr>
          <w:rFonts w:ascii="Times New Roman" w:hAnsi="Times New Roman"/>
          <w:sz w:val="24"/>
          <w:szCs w:val="24"/>
        </w:rPr>
        <w:t xml:space="preserve"> a eles, fruto de destacadas posições de classe nas relações de produção e de organizadores (intelectuais orgânicos) de suas frações. As redes corporativas e associativas (de distintas naturezas e propósitos) de que participavam nos permitem reconhecer o estabelecimento de uma </w:t>
      </w:r>
      <w:r w:rsidR="00FD610C">
        <w:rPr>
          <w:rFonts w:ascii="Times New Roman" w:hAnsi="Times New Roman"/>
          <w:i/>
          <w:sz w:val="24"/>
          <w:szCs w:val="24"/>
        </w:rPr>
        <w:t xml:space="preserve">rede de sociabilidade </w:t>
      </w:r>
      <w:r w:rsidR="00FD610C">
        <w:rPr>
          <w:rFonts w:ascii="Times New Roman" w:hAnsi="Times New Roman"/>
          <w:sz w:val="24"/>
          <w:szCs w:val="24"/>
        </w:rPr>
        <w:t xml:space="preserve">própria, apontando para a introjeção de valores, códigos, percepções e atuações comuns, isto é, para a permanente construção do </w:t>
      </w:r>
      <w:r w:rsidR="00FD610C">
        <w:rPr>
          <w:rFonts w:ascii="Times New Roman" w:hAnsi="Times New Roman"/>
          <w:i/>
          <w:sz w:val="24"/>
          <w:szCs w:val="24"/>
        </w:rPr>
        <w:t>habitus</w:t>
      </w:r>
      <w:r w:rsidR="00FD610C">
        <w:rPr>
          <w:rFonts w:ascii="Times New Roman" w:hAnsi="Times New Roman"/>
          <w:sz w:val="24"/>
          <w:szCs w:val="24"/>
        </w:rPr>
        <w:t xml:space="preserve">. Composto por um sistema de predisposições interiorizadas dotado de algumas propriedades e efeitos peculiares, o </w:t>
      </w:r>
      <w:r w:rsidR="00FD610C" w:rsidRPr="000615E6">
        <w:rPr>
          <w:rFonts w:ascii="Times New Roman" w:hAnsi="Times New Roman"/>
          <w:i/>
          <w:sz w:val="24"/>
          <w:szCs w:val="24"/>
        </w:rPr>
        <w:t>habitus</w:t>
      </w:r>
      <w:r w:rsidR="00FD610C">
        <w:rPr>
          <w:rFonts w:ascii="Times New Roman" w:hAnsi="Times New Roman"/>
          <w:sz w:val="24"/>
          <w:szCs w:val="24"/>
        </w:rPr>
        <w:t xml:space="preserve"> faz com que seus detentores se reconheçam entre si, comunguem dos mesmos gostos, percepções, preferências, valores.</w:t>
      </w:r>
    </w:p>
    <w:p w:rsidR="009826EF" w:rsidRDefault="00EE1870" w:rsidP="00FD610C">
      <w:pPr>
        <w:spacing w:after="0" w:line="360" w:lineRule="auto"/>
        <w:ind w:firstLine="708"/>
        <w:jc w:val="both"/>
        <w:rPr>
          <w:rFonts w:ascii="Times New Roman" w:hAnsi="Times New Roman"/>
          <w:sz w:val="24"/>
          <w:szCs w:val="24"/>
        </w:rPr>
      </w:pPr>
      <w:r>
        <w:rPr>
          <w:rFonts w:ascii="Times New Roman" w:hAnsi="Times New Roman"/>
          <w:sz w:val="24"/>
          <w:szCs w:val="24"/>
        </w:rPr>
        <w:t xml:space="preserve">Com os mesmos personagens, do mesmo solo econômico-empresarial, brotavam também iniciativas associativas de cunho genérico, falando diretamente em nome do país ou de “todos” (Movimento </w:t>
      </w:r>
      <w:r w:rsidRPr="00512E58">
        <w:rPr>
          <w:rFonts w:ascii="Times New Roman" w:hAnsi="Times New Roman"/>
          <w:i/>
          <w:sz w:val="24"/>
          <w:szCs w:val="24"/>
        </w:rPr>
        <w:t>Brasil</w:t>
      </w:r>
      <w:r>
        <w:rPr>
          <w:rFonts w:ascii="Times New Roman" w:hAnsi="Times New Roman"/>
          <w:sz w:val="24"/>
          <w:szCs w:val="24"/>
        </w:rPr>
        <w:t xml:space="preserve"> Competitivo e Movimento </w:t>
      </w:r>
      <w:r w:rsidRPr="00512E58">
        <w:rPr>
          <w:rFonts w:ascii="Times New Roman" w:hAnsi="Times New Roman"/>
          <w:i/>
          <w:sz w:val="24"/>
          <w:szCs w:val="24"/>
        </w:rPr>
        <w:t>Todos</w:t>
      </w:r>
      <w:r>
        <w:rPr>
          <w:rFonts w:ascii="Times New Roman" w:hAnsi="Times New Roman"/>
          <w:sz w:val="24"/>
          <w:szCs w:val="24"/>
        </w:rPr>
        <w:t xml:space="preserve"> pela Educação), presentes no CDES. No âm</w:t>
      </w:r>
      <w:r w:rsidR="008669CC">
        <w:rPr>
          <w:rFonts w:ascii="Times New Roman" w:hAnsi="Times New Roman"/>
          <w:sz w:val="24"/>
          <w:szCs w:val="24"/>
        </w:rPr>
        <w:t>bi</w:t>
      </w:r>
      <w:r>
        <w:rPr>
          <w:rFonts w:ascii="Times New Roman" w:hAnsi="Times New Roman"/>
          <w:sz w:val="24"/>
          <w:szCs w:val="24"/>
        </w:rPr>
        <w:t xml:space="preserve">to do CDES, amalgamavam-se empresários e suas entidades corporativas e </w:t>
      </w:r>
      <w:r w:rsidR="00512E58">
        <w:rPr>
          <w:rFonts w:ascii="Times New Roman" w:hAnsi="Times New Roman"/>
          <w:sz w:val="24"/>
          <w:szCs w:val="24"/>
        </w:rPr>
        <w:t xml:space="preserve">suas </w:t>
      </w:r>
      <w:r>
        <w:rPr>
          <w:rFonts w:ascii="Times New Roman" w:hAnsi="Times New Roman"/>
          <w:sz w:val="24"/>
          <w:szCs w:val="24"/>
        </w:rPr>
        <w:t xml:space="preserve">entidades com vocação hegemônica. Ultrapassavam suas exigências corporativas, e, sem descartá-las, produziam projetos de adequação subalterna para os trabalhadores, </w:t>
      </w:r>
      <w:r w:rsidR="009826EF">
        <w:rPr>
          <w:rFonts w:ascii="Times New Roman" w:hAnsi="Times New Roman"/>
          <w:sz w:val="24"/>
          <w:szCs w:val="24"/>
        </w:rPr>
        <w:t>ao passo em que ofereciam atendimento precário para algumas das carências populares.</w:t>
      </w:r>
    </w:p>
    <w:p w:rsidR="009826EF" w:rsidRDefault="009826EF" w:rsidP="00FD610C">
      <w:pPr>
        <w:spacing w:after="0" w:line="360" w:lineRule="auto"/>
        <w:ind w:firstLine="708"/>
        <w:jc w:val="both"/>
        <w:rPr>
          <w:rFonts w:ascii="Times New Roman" w:hAnsi="Times New Roman"/>
          <w:sz w:val="24"/>
          <w:szCs w:val="24"/>
        </w:rPr>
      </w:pPr>
      <w:r>
        <w:rPr>
          <w:rFonts w:ascii="Times New Roman" w:hAnsi="Times New Roman"/>
          <w:sz w:val="24"/>
          <w:szCs w:val="24"/>
        </w:rPr>
        <w:t>Este procedimento lhes permitia assegurar seus interesses, capturar reivindicações populares e convertê-las em demandas (atendidas de forma assistencialista ou fragmentada) e, sobretudo, colar, aderir o conjunto das políticas públicas ali formuladas ou endossadas a seu envoltório ideológico “para todos”, desvinculando-as aparentemente das formas de produção e de especialização econômica.</w:t>
      </w:r>
    </w:p>
    <w:p w:rsidR="00FD610C" w:rsidRPr="003B4E5C" w:rsidRDefault="00512E58" w:rsidP="00FD610C">
      <w:pPr>
        <w:spacing w:after="0" w:line="360" w:lineRule="auto"/>
        <w:ind w:firstLine="708"/>
        <w:jc w:val="both"/>
        <w:rPr>
          <w:rFonts w:ascii="Times New Roman" w:hAnsi="Times New Roman"/>
          <w:sz w:val="24"/>
          <w:szCs w:val="24"/>
        </w:rPr>
      </w:pPr>
      <w:r>
        <w:rPr>
          <w:rFonts w:ascii="Times New Roman" w:hAnsi="Times New Roman"/>
          <w:sz w:val="24"/>
          <w:szCs w:val="24"/>
        </w:rPr>
        <w:t>Por isso, p</w:t>
      </w:r>
      <w:r w:rsidR="009826EF">
        <w:rPr>
          <w:rFonts w:ascii="Times New Roman" w:hAnsi="Times New Roman"/>
          <w:sz w:val="24"/>
          <w:szCs w:val="24"/>
        </w:rPr>
        <w:t>a</w:t>
      </w:r>
      <w:r w:rsidR="00FD610C">
        <w:rPr>
          <w:rFonts w:ascii="Times New Roman" w:hAnsi="Times New Roman"/>
          <w:sz w:val="24"/>
          <w:szCs w:val="24"/>
        </w:rPr>
        <w:t xml:space="preserve">rece-nos que o CDES </w:t>
      </w:r>
      <w:r w:rsidR="00FD610C" w:rsidRPr="005A2C4C">
        <w:rPr>
          <w:rFonts w:ascii="Times New Roman" w:hAnsi="Times New Roman"/>
          <w:i/>
          <w:sz w:val="24"/>
          <w:szCs w:val="24"/>
        </w:rPr>
        <w:t>contribui</w:t>
      </w:r>
      <w:r w:rsidR="00FD610C">
        <w:rPr>
          <w:rFonts w:ascii="Times New Roman" w:hAnsi="Times New Roman"/>
          <w:i/>
          <w:sz w:val="24"/>
          <w:szCs w:val="24"/>
        </w:rPr>
        <w:t>u</w:t>
      </w:r>
      <w:r w:rsidR="00FD610C">
        <w:rPr>
          <w:rFonts w:ascii="Times New Roman" w:hAnsi="Times New Roman"/>
          <w:sz w:val="24"/>
          <w:szCs w:val="24"/>
        </w:rPr>
        <w:t xml:space="preserve"> para a formação de um “capital social” dos agentes pesquisados - mobilizado por uma rede de relações econômicas, políticas, sociais e culturais aos quais participavam – na medida em que foi uma instituição que adensou e/ou aprimorou tal rede de relações cujos agentes eram “dotados não só de propriedades comuns (passíveis de serem percebidas pelo observador, pelos outros e por eles mesmos), mas também que são unidos por </w:t>
      </w:r>
      <w:r w:rsidR="00FD610C">
        <w:rPr>
          <w:rFonts w:ascii="Times New Roman" w:hAnsi="Times New Roman"/>
          <w:i/>
          <w:sz w:val="24"/>
          <w:szCs w:val="24"/>
        </w:rPr>
        <w:t xml:space="preserve">ligações </w:t>
      </w:r>
      <w:r w:rsidR="00FD610C">
        <w:rPr>
          <w:rFonts w:ascii="Times New Roman" w:hAnsi="Times New Roman"/>
          <w:sz w:val="24"/>
          <w:szCs w:val="24"/>
        </w:rPr>
        <w:t>permanentes e úteis”.</w:t>
      </w:r>
      <w:r w:rsidR="00FD610C">
        <w:rPr>
          <w:rStyle w:val="Refdenotaderodap"/>
          <w:rFonts w:ascii="Times New Roman" w:hAnsi="Times New Roman"/>
          <w:sz w:val="24"/>
          <w:szCs w:val="24"/>
        </w:rPr>
        <w:footnoteReference w:id="312"/>
      </w:r>
    </w:p>
    <w:p w:rsidR="008669CC" w:rsidRDefault="00714705" w:rsidP="00714705">
      <w:pPr>
        <w:pStyle w:val="NormalWeb"/>
        <w:spacing w:before="0" w:beforeAutospacing="0" w:after="0" w:afterAutospacing="0" w:line="360" w:lineRule="auto"/>
        <w:ind w:firstLine="708"/>
        <w:jc w:val="both"/>
      </w:pPr>
      <w:r>
        <w:t>Ainda em relação às entidades da sociedade civil empresarial arroladas no quadro 2.20, salta aos olhos</w:t>
      </w:r>
      <w:r w:rsidR="008669CC">
        <w:t xml:space="preserve"> a preponderância das associações </w:t>
      </w:r>
      <w:r w:rsidR="00EA6C56">
        <w:t>das diversas frações do capital cuja sede localiza-se no</w:t>
      </w:r>
      <w:r w:rsidR="008669CC">
        <w:t xml:space="preserve"> estado de São Paulo. Supremacia esta que não é por acaso: tomando por base </w:t>
      </w:r>
      <w:r w:rsidR="008669CC" w:rsidRPr="00B14333">
        <w:rPr>
          <w:i/>
        </w:rPr>
        <w:t>a sede</w:t>
      </w:r>
      <w:r w:rsidR="008669CC">
        <w:t xml:space="preserve"> da</w:t>
      </w:r>
      <w:r w:rsidR="006E7CA2">
        <w:t>s</w:t>
      </w:r>
      <w:r w:rsidR="008669CC">
        <w:t xml:space="preserve"> firmas, grupos econômicos ou associações a que se vinculam os conselheiros-empresários pesquisados, o levantamento realizado nos revelou que, na composição do CDES de 2003, </w:t>
      </w:r>
      <w:r w:rsidR="006E7CA2">
        <w:t>foi</w:t>
      </w:r>
      <w:r w:rsidR="008669CC">
        <w:t xml:space="preserve"> a região </w:t>
      </w:r>
      <w:r w:rsidR="008669CC" w:rsidRPr="00CF562C">
        <w:rPr>
          <w:i/>
        </w:rPr>
        <w:t>Sudeste</w:t>
      </w:r>
      <w:r w:rsidR="008669CC">
        <w:t xml:space="preserve"> o </w:t>
      </w:r>
      <w:r w:rsidR="008669CC" w:rsidRPr="009B0FD2">
        <w:rPr>
          <w:i/>
        </w:rPr>
        <w:t>lócus</w:t>
      </w:r>
      <w:r w:rsidR="008669CC">
        <w:t xml:space="preserve"> principal da atividade associativa e empresarial. Dos 49 pesquisados, 38 (78%) conselheiros-empresários concentra</w:t>
      </w:r>
      <w:r w:rsidR="006E7CA2">
        <w:t>va</w:t>
      </w:r>
      <w:r w:rsidR="008669CC">
        <w:t>m-se nesta região.</w:t>
      </w:r>
    </w:p>
    <w:p w:rsidR="008669CC" w:rsidRDefault="008669CC" w:rsidP="008669CC">
      <w:pPr>
        <w:pStyle w:val="NormalWeb"/>
        <w:spacing w:before="0" w:beforeAutospacing="0" w:after="0" w:afterAutospacing="0" w:line="360" w:lineRule="auto"/>
        <w:ind w:firstLine="708"/>
        <w:jc w:val="both"/>
      </w:pPr>
      <w:r>
        <w:t>Observamos que, de longe, São Paulo destaca</w:t>
      </w:r>
      <w:r w:rsidR="006E7CA2">
        <w:t>va</w:t>
      </w:r>
      <w:r>
        <w:t>-se como sendo o estado que mais abriga</w:t>
      </w:r>
      <w:r w:rsidR="006E7CA2">
        <w:t>va</w:t>
      </w:r>
      <w:r>
        <w:t xml:space="preserve"> as sedes empresariais e associativas, com 31 conselheiros (63%), seguido de Minas Gerais e Rio de Janeiro, respectivamente com 5 (10%) e 2 (5%) cada. As regiões Centro-Oeste e Sul mostram-se empatadas quanto à representatividade empresarial no CDES: Mato Grosso e Distrito Federal estavam representados por 2 (4%) conselheiros cada enquanto que o Rio Grande do Sul e Paraná aparec</w:t>
      </w:r>
      <w:r w:rsidR="006E7CA2">
        <w:t>ia</w:t>
      </w:r>
      <w:r>
        <w:t>m com 3 (6%) e 1 (2%) re</w:t>
      </w:r>
      <w:r w:rsidR="006E7CA2">
        <w:t>spectivamente. Por último, estavam</w:t>
      </w:r>
      <w:r>
        <w:t xml:space="preserve"> as regiões Nordeste e Norte: Alagoas e Ceará com 1 conselheiro cada, ocorrendo o mesmo com o Pará. Embora a distribuição regional pesquisada valha para a composição inicial do CDES (2003), não nos parece que tal proporção tenha sofrido variações medianas ou bruscas ao longo do período pesquisado. A distribuição regional dos conselheiros-empresários da primeira formação do CDES (2003) está representada no gráfico abaixo:</w:t>
      </w:r>
    </w:p>
    <w:p w:rsidR="008669CC" w:rsidRDefault="0018135C" w:rsidP="008669CC">
      <w:pPr>
        <w:pStyle w:val="NormalWeb"/>
        <w:spacing w:before="240" w:beforeAutospacing="0" w:after="0" w:afterAutospacing="0" w:line="360" w:lineRule="auto"/>
        <w:jc w:val="center"/>
      </w:pPr>
      <w:r>
        <w:rPr>
          <w:noProof/>
        </w:rPr>
        <w:drawing>
          <wp:inline distT="0" distB="0" distL="0" distR="0">
            <wp:extent cx="5672066" cy="2483893"/>
            <wp:effectExtent l="19050" t="0" r="23884" b="0"/>
            <wp:docPr id="9"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669CC" w:rsidRPr="006E7CA2" w:rsidRDefault="00D1400E" w:rsidP="00C33FA2">
      <w:pPr>
        <w:pStyle w:val="NormalWeb"/>
        <w:spacing w:before="0" w:beforeAutospacing="0" w:after="0" w:afterAutospacing="0" w:line="360" w:lineRule="auto"/>
        <w:ind w:firstLine="708"/>
        <w:jc w:val="both"/>
      </w:pPr>
      <w:r>
        <w:rPr>
          <w:b/>
          <w:sz w:val="18"/>
          <w:szCs w:val="18"/>
        </w:rPr>
        <w:t>Elaboração própria</w:t>
      </w:r>
      <w:r w:rsidR="006E7CA2">
        <w:rPr>
          <w:b/>
          <w:sz w:val="18"/>
          <w:szCs w:val="18"/>
        </w:rPr>
        <w:t xml:space="preserve">. Fontes: </w:t>
      </w:r>
      <w:r w:rsidR="006E7CA2">
        <w:rPr>
          <w:sz w:val="18"/>
          <w:szCs w:val="18"/>
        </w:rPr>
        <w:t>sites das firmas e grupos econômicos</w:t>
      </w:r>
      <w:r w:rsidR="00554C68">
        <w:rPr>
          <w:sz w:val="18"/>
          <w:szCs w:val="18"/>
        </w:rPr>
        <w:t xml:space="preserve"> e de entidades empresariais.</w:t>
      </w:r>
    </w:p>
    <w:p w:rsidR="008669CC" w:rsidRDefault="008669CC" w:rsidP="008669CC">
      <w:pPr>
        <w:pStyle w:val="NormalWeb"/>
        <w:spacing w:before="240" w:beforeAutospacing="0" w:after="0" w:afterAutospacing="0" w:line="360" w:lineRule="auto"/>
        <w:ind w:firstLine="708"/>
        <w:jc w:val="both"/>
      </w:pPr>
      <w:r>
        <w:t xml:space="preserve">A exposição fria dos números não pode estar separada do significado político que ela busca retratar ou ocultar. O complexo </w:t>
      </w:r>
      <w:r w:rsidR="000834BC">
        <w:t>FIESP</w:t>
      </w:r>
      <w:r>
        <w:t xml:space="preserve">-CIESP, a CNI e a FIRJAN são entidades patronais da sociedade civil historicamente imersas na defesa, organização e atuação política do empresariado – aparelhos de hegemonia -, principalmente paulista, em suas frentes de batalha que, via de regra, extrapolam o muro dos interesses puramente econômico-corporativos. Trata-se de associações </w:t>
      </w:r>
      <w:r w:rsidRPr="006536C9">
        <w:rPr>
          <w:b/>
        </w:rPr>
        <w:t>do</w:t>
      </w:r>
      <w:r>
        <w:t xml:space="preserve"> Estado-Maior do grande capital no Brasil. A intensa concentração e conglomeração permite inferir também que tais entidades envolucram </w:t>
      </w:r>
      <w:r w:rsidRPr="00FD76F0">
        <w:rPr>
          <w:i/>
        </w:rPr>
        <w:t>interesses</w:t>
      </w:r>
      <w:r>
        <w:t xml:space="preserve"> mesclados (setor bancário, financeiro não bancário, industrial), verdadeiros porta-vozes do capital monopolista e financeiro (união entre diferentes setores).</w:t>
      </w:r>
    </w:p>
    <w:p w:rsidR="00FD610C" w:rsidRDefault="00FD610C" w:rsidP="00FD610C">
      <w:pPr>
        <w:pStyle w:val="NormalWeb"/>
        <w:spacing w:before="0" w:beforeAutospacing="0" w:after="0" w:afterAutospacing="0" w:line="360" w:lineRule="auto"/>
        <w:jc w:val="both"/>
        <w:rPr>
          <w:b/>
        </w:rPr>
      </w:pPr>
    </w:p>
    <w:p w:rsidR="00FD610C" w:rsidRDefault="00FD610C" w:rsidP="00FD610C">
      <w:pPr>
        <w:pStyle w:val="NormalWeb"/>
        <w:spacing w:before="0" w:beforeAutospacing="0" w:after="0" w:afterAutospacing="0" w:line="360" w:lineRule="auto"/>
        <w:jc w:val="both"/>
        <w:rPr>
          <w:b/>
        </w:rPr>
      </w:pPr>
      <w:r>
        <w:rPr>
          <w:b/>
        </w:rPr>
        <w:t xml:space="preserve">2.4 – </w:t>
      </w:r>
      <w:r w:rsidR="003E22B2">
        <w:rPr>
          <w:b/>
        </w:rPr>
        <w:t>Doações eleitorais e c</w:t>
      </w:r>
      <w:r>
        <w:rPr>
          <w:b/>
        </w:rPr>
        <w:t>oncentração e centralização do capital no CDES</w:t>
      </w:r>
    </w:p>
    <w:p w:rsidR="00FD610C" w:rsidRDefault="00FD610C" w:rsidP="00FD610C">
      <w:pPr>
        <w:pStyle w:val="NormalWeb"/>
        <w:spacing w:before="0" w:beforeAutospacing="0" w:after="240" w:afterAutospacing="0" w:line="360" w:lineRule="auto"/>
        <w:jc w:val="both"/>
      </w:pPr>
      <w:r>
        <w:tab/>
        <w:t xml:space="preserve">O atendimento às demandas do grande capital monopolista no Brasil foi uma marca registrada </w:t>
      </w:r>
      <w:r w:rsidR="00512E58">
        <w:t>d</w:t>
      </w:r>
      <w:r>
        <w:t xml:space="preserve">os governos Lula da Silva. Isto não se refletiu somente em relação ao volume de recursos doados para sua reeleição de 2006 (evolução de R$ 27,5 milhões para R$ 75 milhões em 2006, ou seja, de </w:t>
      </w:r>
      <w:r w:rsidR="00440CD6">
        <w:t>2</w:t>
      </w:r>
      <w:r w:rsidR="003A2CB8">
        <w:t>73</w:t>
      </w:r>
      <w:r>
        <w:t xml:space="preserve">%), mas também pelo fomento acelerado do processo de monopolização – via concentração e centralização do capital – impulsionado, por sua vez, pelas novas fusões e aquisições envolvendo BNDES e fundos públicos, partícipes do processo de transnacionalização do capital nativo e da criação e/ou refuncionalização de novas arenas no aparelho de Estado que passaram a abrigar grandes capitais, sejam nativos, internacionais ou associados, num processo de ampliação seletivamente burguesa do Estado, </w:t>
      </w:r>
      <w:r w:rsidR="007D13DD">
        <w:t>de que o</w:t>
      </w:r>
      <w:r>
        <w:t xml:space="preserve"> CDES é exemplo. Tanto nas doações das campanhas eleitorais quanto na composição do CDES, é flagrante a presença de setores oligopolizados da economia, incluídos os de papel e celulose, químico e petroquímico, siderúrgico e mineração, comunicações, fabricação de veículos, dentre outros, sob a liderança de bancos e empreiteiras (ou empresas de engenharia). Aliás, dados trazidos por Lazzarini, demonstram que dentre os 20 maiores doadores corporativos da campanha de reeleição de Lula da Silva em 2006,</w:t>
      </w:r>
      <w:r w:rsidR="00304E4C">
        <w:rPr>
          <w:rStyle w:val="Refdenotaderodap"/>
        </w:rPr>
        <w:footnoteReference w:id="313"/>
      </w:r>
      <w:r>
        <w:t xml:space="preserve"> 10 se enquadravam entre os mais destacados grupos econômicos atuantes no CDES:</w:t>
      </w:r>
    </w:p>
    <w:p w:rsidR="00FD610C" w:rsidRPr="00CA0A94" w:rsidRDefault="00FD610C" w:rsidP="00FD610C">
      <w:pPr>
        <w:pStyle w:val="NormalWeb"/>
        <w:spacing w:before="0" w:beforeAutospacing="0" w:after="240" w:afterAutospacing="0" w:line="360" w:lineRule="auto"/>
        <w:jc w:val="center"/>
        <w:rPr>
          <w:b/>
        </w:rPr>
      </w:pPr>
      <w:r>
        <w:rPr>
          <w:b/>
        </w:rPr>
        <w:t>Tabela 2.</w:t>
      </w:r>
      <w:r w:rsidR="003044EA">
        <w:rPr>
          <w:b/>
        </w:rPr>
        <w:t>2</w:t>
      </w:r>
      <w:r>
        <w:rPr>
          <w:b/>
        </w:rPr>
        <w:t xml:space="preserve"> – Os 20 maiores doadores da campanha de reeleição de Lula em 2006</w:t>
      </w:r>
    </w:p>
    <w:tbl>
      <w:tblPr>
        <w:tblW w:w="4891"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941"/>
        <w:gridCol w:w="1726"/>
        <w:gridCol w:w="2785"/>
        <w:gridCol w:w="1633"/>
      </w:tblGrid>
      <w:tr w:rsidR="00FD610C" w:rsidRPr="008211FD" w:rsidTr="00CE3680">
        <w:tc>
          <w:tcPr>
            <w:tcW w:w="1618" w:type="pct"/>
            <w:tcBorders>
              <w:top w:val="single" w:sz="8" w:space="0" w:color="4F81BD"/>
              <w:left w:val="single" w:sz="8" w:space="0" w:color="4F81BD"/>
              <w:bottom w:val="single" w:sz="18" w:space="0" w:color="4F81BD"/>
              <w:right w:val="single" w:sz="8" w:space="0" w:color="4F81BD"/>
            </w:tcBorders>
          </w:tcPr>
          <w:p w:rsidR="00FD610C" w:rsidRPr="00FD610C" w:rsidRDefault="00FD610C" w:rsidP="00CE3680">
            <w:pPr>
              <w:spacing w:after="0" w:line="240" w:lineRule="auto"/>
              <w:jc w:val="center"/>
              <w:rPr>
                <w:rFonts w:ascii="Times New Roman" w:eastAsia="Times New Roman" w:hAnsi="Times New Roman"/>
                <w:b/>
                <w:bCs/>
                <w:sz w:val="20"/>
                <w:szCs w:val="20"/>
              </w:rPr>
            </w:pPr>
            <w:r w:rsidRPr="00FD610C">
              <w:rPr>
                <w:rFonts w:ascii="Times New Roman" w:eastAsia="Times New Roman" w:hAnsi="Times New Roman"/>
                <w:b/>
                <w:bCs/>
                <w:sz w:val="20"/>
                <w:szCs w:val="20"/>
              </w:rPr>
              <w:t>Doador</w:t>
            </w:r>
          </w:p>
        </w:tc>
        <w:tc>
          <w:tcPr>
            <w:tcW w:w="950" w:type="pct"/>
            <w:tcBorders>
              <w:top w:val="single" w:sz="8" w:space="0" w:color="4F81BD"/>
              <w:left w:val="single" w:sz="8" w:space="0" w:color="4F81BD"/>
              <w:bottom w:val="single" w:sz="18" w:space="0" w:color="4F81BD"/>
              <w:right w:val="single" w:sz="8" w:space="0" w:color="4F81BD"/>
            </w:tcBorders>
          </w:tcPr>
          <w:p w:rsidR="00FD610C" w:rsidRPr="00FD610C" w:rsidRDefault="00FD610C" w:rsidP="00CE3680">
            <w:pPr>
              <w:spacing w:after="0" w:line="240" w:lineRule="auto"/>
              <w:jc w:val="center"/>
              <w:rPr>
                <w:rFonts w:ascii="Times New Roman" w:eastAsia="Times New Roman" w:hAnsi="Times New Roman"/>
                <w:b/>
                <w:bCs/>
                <w:sz w:val="20"/>
                <w:szCs w:val="20"/>
              </w:rPr>
            </w:pPr>
            <w:r w:rsidRPr="00FD610C">
              <w:rPr>
                <w:rFonts w:ascii="Times New Roman" w:eastAsia="Times New Roman" w:hAnsi="Times New Roman"/>
                <w:b/>
                <w:bCs/>
                <w:sz w:val="20"/>
                <w:szCs w:val="20"/>
              </w:rPr>
              <w:t>Valor (R$)</w:t>
            </w:r>
          </w:p>
        </w:tc>
        <w:tc>
          <w:tcPr>
            <w:tcW w:w="1533" w:type="pct"/>
            <w:tcBorders>
              <w:top w:val="single" w:sz="8" w:space="0" w:color="4F81BD"/>
              <w:left w:val="single" w:sz="8" w:space="0" w:color="4F81BD"/>
              <w:bottom w:val="single" w:sz="18" w:space="0" w:color="4F81BD"/>
              <w:right w:val="single" w:sz="8" w:space="0" w:color="4F81BD"/>
            </w:tcBorders>
          </w:tcPr>
          <w:p w:rsidR="00FD610C" w:rsidRPr="00FD610C" w:rsidRDefault="00FD610C" w:rsidP="00CE3680">
            <w:pPr>
              <w:spacing w:after="0" w:line="240" w:lineRule="auto"/>
              <w:jc w:val="center"/>
              <w:rPr>
                <w:rFonts w:ascii="Times New Roman" w:eastAsia="Times New Roman" w:hAnsi="Times New Roman"/>
                <w:b/>
                <w:bCs/>
                <w:sz w:val="20"/>
                <w:szCs w:val="20"/>
              </w:rPr>
            </w:pPr>
            <w:r w:rsidRPr="00FD610C">
              <w:rPr>
                <w:rFonts w:ascii="Times New Roman" w:eastAsia="Times New Roman" w:hAnsi="Times New Roman"/>
                <w:b/>
                <w:bCs/>
                <w:sz w:val="20"/>
                <w:szCs w:val="20"/>
              </w:rPr>
              <w:t>Doador</w:t>
            </w:r>
          </w:p>
        </w:tc>
        <w:tc>
          <w:tcPr>
            <w:tcW w:w="899" w:type="pct"/>
            <w:tcBorders>
              <w:top w:val="single" w:sz="8" w:space="0" w:color="4F81BD"/>
              <w:left w:val="single" w:sz="8" w:space="0" w:color="4F81BD"/>
              <w:bottom w:val="single" w:sz="18" w:space="0" w:color="4F81BD"/>
              <w:right w:val="single" w:sz="8" w:space="0" w:color="4F81BD"/>
            </w:tcBorders>
          </w:tcPr>
          <w:p w:rsidR="00FD610C" w:rsidRPr="00FD610C" w:rsidRDefault="00FD610C" w:rsidP="00CE3680">
            <w:pPr>
              <w:spacing w:after="0" w:line="240" w:lineRule="auto"/>
              <w:jc w:val="center"/>
              <w:rPr>
                <w:rFonts w:ascii="Times New Roman" w:eastAsia="Times New Roman" w:hAnsi="Times New Roman"/>
                <w:b/>
                <w:bCs/>
                <w:sz w:val="20"/>
                <w:szCs w:val="20"/>
              </w:rPr>
            </w:pPr>
            <w:r w:rsidRPr="00FD610C">
              <w:rPr>
                <w:rFonts w:ascii="Times New Roman" w:eastAsia="Times New Roman" w:hAnsi="Times New Roman"/>
                <w:b/>
                <w:bCs/>
                <w:sz w:val="20"/>
                <w:szCs w:val="20"/>
              </w:rPr>
              <w:t>Valor (R$)</w:t>
            </w:r>
          </w:p>
        </w:tc>
      </w:tr>
      <w:tr w:rsidR="00FD610C" w:rsidRPr="008211FD" w:rsidTr="00CE3680">
        <w:tc>
          <w:tcPr>
            <w:tcW w:w="1618" w:type="pct"/>
            <w:tcBorders>
              <w:top w:val="single" w:sz="8" w:space="0" w:color="4F81BD"/>
              <w:left w:val="single" w:sz="8" w:space="0" w:color="4F81BD"/>
              <w:bottom w:val="single" w:sz="8" w:space="0" w:color="4F81BD"/>
              <w:right w:val="single" w:sz="8" w:space="0" w:color="4F81BD"/>
            </w:tcBorders>
            <w:shd w:val="clear" w:color="auto" w:fill="D3DFEE"/>
          </w:tcPr>
          <w:p w:rsidR="00FD610C" w:rsidRPr="00FD610C" w:rsidRDefault="00FD610C" w:rsidP="00CE3680">
            <w:pPr>
              <w:spacing w:after="0" w:line="240" w:lineRule="auto"/>
              <w:jc w:val="both"/>
              <w:rPr>
                <w:rFonts w:ascii="Times New Roman" w:eastAsia="Times New Roman" w:hAnsi="Times New Roman"/>
                <w:b/>
                <w:bCs/>
                <w:sz w:val="20"/>
                <w:szCs w:val="20"/>
              </w:rPr>
            </w:pPr>
            <w:r w:rsidRPr="00FD610C">
              <w:rPr>
                <w:rFonts w:ascii="Times New Roman" w:eastAsia="Times New Roman" w:hAnsi="Times New Roman"/>
                <w:b/>
                <w:bCs/>
                <w:sz w:val="20"/>
                <w:szCs w:val="20"/>
              </w:rPr>
              <w:t>Vale</w:t>
            </w:r>
          </w:p>
        </w:tc>
        <w:tc>
          <w:tcPr>
            <w:tcW w:w="95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Textodenotaderodap"/>
              <w:jc w:val="center"/>
              <w:rPr>
                <w:rFonts w:ascii="Times New Roman" w:hAnsi="Times New Roman"/>
                <w:b/>
              </w:rPr>
            </w:pPr>
            <w:r w:rsidRPr="008211FD">
              <w:rPr>
                <w:rFonts w:ascii="Times New Roman" w:hAnsi="Times New Roman"/>
                <w:b/>
              </w:rPr>
              <w:t>4.050.000,00</w:t>
            </w:r>
          </w:p>
        </w:tc>
        <w:tc>
          <w:tcPr>
            <w:tcW w:w="1533" w:type="pct"/>
            <w:tcBorders>
              <w:top w:val="single" w:sz="8" w:space="0" w:color="4F81BD"/>
              <w:left w:val="single" w:sz="8" w:space="0" w:color="4F81BD"/>
              <w:bottom w:val="single" w:sz="8" w:space="0" w:color="4F81BD"/>
              <w:right w:val="single" w:sz="8" w:space="0" w:color="4F81BD"/>
            </w:tcBorders>
            <w:shd w:val="clear" w:color="auto" w:fill="D3DFEE"/>
          </w:tcPr>
          <w:p w:rsidR="00FD610C" w:rsidRPr="00FD610C" w:rsidRDefault="00FD610C" w:rsidP="00CE3680">
            <w:pPr>
              <w:spacing w:after="0" w:line="240" w:lineRule="auto"/>
              <w:jc w:val="both"/>
              <w:rPr>
                <w:rFonts w:ascii="Times New Roman" w:eastAsia="Times New Roman" w:hAnsi="Times New Roman"/>
                <w:bCs/>
                <w:sz w:val="20"/>
                <w:szCs w:val="20"/>
              </w:rPr>
            </w:pPr>
            <w:r w:rsidRPr="00FD610C">
              <w:rPr>
                <w:rFonts w:ascii="Times New Roman" w:eastAsia="Times New Roman" w:hAnsi="Times New Roman"/>
                <w:bCs/>
                <w:sz w:val="20"/>
                <w:szCs w:val="20"/>
              </w:rPr>
              <w:t>OAS</w:t>
            </w:r>
          </w:p>
        </w:tc>
        <w:tc>
          <w:tcPr>
            <w:tcW w:w="899"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Textodenotaderodap"/>
              <w:jc w:val="center"/>
              <w:rPr>
                <w:rFonts w:ascii="Times New Roman" w:hAnsi="Times New Roman"/>
              </w:rPr>
            </w:pPr>
            <w:r w:rsidRPr="008211FD">
              <w:rPr>
                <w:rFonts w:ascii="Times New Roman" w:hAnsi="Times New Roman"/>
              </w:rPr>
              <w:t>1.700.000,00</w:t>
            </w:r>
          </w:p>
        </w:tc>
      </w:tr>
      <w:tr w:rsidR="00FD610C" w:rsidRPr="008211FD" w:rsidTr="00CE3680">
        <w:trPr>
          <w:trHeight w:val="211"/>
        </w:trPr>
        <w:tc>
          <w:tcPr>
            <w:tcW w:w="1618" w:type="pct"/>
            <w:tcBorders>
              <w:top w:val="single" w:sz="8" w:space="0" w:color="4F81BD"/>
              <w:left w:val="single" w:sz="8" w:space="0" w:color="4F81BD"/>
              <w:bottom w:val="single" w:sz="8" w:space="0" w:color="4F81BD"/>
              <w:right w:val="single" w:sz="8" w:space="0" w:color="4F81BD"/>
            </w:tcBorders>
          </w:tcPr>
          <w:p w:rsidR="00FD610C" w:rsidRPr="00FD610C" w:rsidRDefault="00FD610C" w:rsidP="00CE3680">
            <w:pPr>
              <w:spacing w:after="0" w:line="240" w:lineRule="auto"/>
              <w:jc w:val="both"/>
              <w:rPr>
                <w:rFonts w:ascii="Times New Roman" w:eastAsia="Times New Roman" w:hAnsi="Times New Roman"/>
                <w:b/>
                <w:bCs/>
                <w:sz w:val="20"/>
                <w:szCs w:val="20"/>
              </w:rPr>
            </w:pPr>
            <w:r w:rsidRPr="00FD610C">
              <w:rPr>
                <w:rFonts w:ascii="Times New Roman" w:eastAsia="Times New Roman" w:hAnsi="Times New Roman"/>
                <w:b/>
                <w:bCs/>
                <w:sz w:val="20"/>
                <w:szCs w:val="20"/>
              </w:rPr>
              <w:t>Cutrale</w:t>
            </w:r>
          </w:p>
        </w:tc>
        <w:tc>
          <w:tcPr>
            <w:tcW w:w="950"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Textodenotaderodap"/>
              <w:jc w:val="center"/>
              <w:rPr>
                <w:rFonts w:ascii="Times New Roman" w:hAnsi="Times New Roman"/>
                <w:b/>
              </w:rPr>
            </w:pPr>
            <w:r w:rsidRPr="008211FD">
              <w:rPr>
                <w:rFonts w:ascii="Times New Roman" w:hAnsi="Times New Roman"/>
                <w:b/>
              </w:rPr>
              <w:t>4.000.000,00</w:t>
            </w:r>
          </w:p>
        </w:tc>
        <w:tc>
          <w:tcPr>
            <w:tcW w:w="1533" w:type="pct"/>
            <w:tcBorders>
              <w:top w:val="single" w:sz="8" w:space="0" w:color="4F81BD"/>
              <w:left w:val="single" w:sz="8" w:space="0" w:color="4F81BD"/>
              <w:bottom w:val="single" w:sz="8" w:space="0" w:color="4F81BD"/>
              <w:right w:val="single" w:sz="8" w:space="0" w:color="4F81BD"/>
            </w:tcBorders>
          </w:tcPr>
          <w:p w:rsidR="00FD610C" w:rsidRPr="00FD610C" w:rsidRDefault="00FD610C" w:rsidP="00CE3680">
            <w:pPr>
              <w:spacing w:after="0" w:line="240" w:lineRule="auto"/>
              <w:jc w:val="both"/>
              <w:rPr>
                <w:rFonts w:ascii="Times New Roman" w:eastAsia="Times New Roman" w:hAnsi="Times New Roman"/>
                <w:bCs/>
                <w:sz w:val="20"/>
                <w:szCs w:val="20"/>
              </w:rPr>
            </w:pPr>
            <w:r w:rsidRPr="00FD610C">
              <w:rPr>
                <w:rFonts w:ascii="Times New Roman" w:eastAsia="Times New Roman" w:hAnsi="Times New Roman"/>
                <w:bCs/>
                <w:sz w:val="20"/>
                <w:szCs w:val="20"/>
              </w:rPr>
              <w:t>Andrade Gutierrez</w:t>
            </w:r>
          </w:p>
        </w:tc>
        <w:tc>
          <w:tcPr>
            <w:tcW w:w="899"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Textodenotaderodap"/>
              <w:jc w:val="center"/>
              <w:rPr>
                <w:rFonts w:ascii="Times New Roman" w:hAnsi="Times New Roman"/>
              </w:rPr>
            </w:pPr>
            <w:r w:rsidRPr="008211FD">
              <w:rPr>
                <w:rFonts w:ascii="Times New Roman" w:hAnsi="Times New Roman"/>
              </w:rPr>
              <w:t>1.520.000,00</w:t>
            </w:r>
          </w:p>
        </w:tc>
      </w:tr>
      <w:tr w:rsidR="00FD610C" w:rsidRPr="008211FD" w:rsidTr="00CE3680">
        <w:tc>
          <w:tcPr>
            <w:tcW w:w="1618" w:type="pct"/>
            <w:tcBorders>
              <w:top w:val="single" w:sz="8" w:space="0" w:color="4F81BD"/>
              <w:left w:val="single" w:sz="8" w:space="0" w:color="4F81BD"/>
              <w:bottom w:val="single" w:sz="8" w:space="0" w:color="4F81BD"/>
              <w:right w:val="single" w:sz="8" w:space="0" w:color="4F81BD"/>
            </w:tcBorders>
            <w:shd w:val="clear" w:color="auto" w:fill="D3DFEE"/>
          </w:tcPr>
          <w:p w:rsidR="00FD610C" w:rsidRPr="00FD610C" w:rsidRDefault="00FD610C" w:rsidP="00CE3680">
            <w:pPr>
              <w:spacing w:after="0" w:line="240" w:lineRule="auto"/>
              <w:jc w:val="both"/>
              <w:rPr>
                <w:rFonts w:ascii="Times New Roman" w:eastAsia="Times New Roman" w:hAnsi="Times New Roman"/>
                <w:bCs/>
                <w:sz w:val="20"/>
                <w:szCs w:val="20"/>
              </w:rPr>
            </w:pPr>
            <w:r w:rsidRPr="00FD610C">
              <w:rPr>
                <w:rFonts w:ascii="Times New Roman" w:eastAsia="Times New Roman" w:hAnsi="Times New Roman"/>
                <w:bCs/>
                <w:sz w:val="20"/>
                <w:szCs w:val="20"/>
              </w:rPr>
              <w:t>Camargo Corrêa</w:t>
            </w:r>
          </w:p>
        </w:tc>
        <w:tc>
          <w:tcPr>
            <w:tcW w:w="95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Textodenotaderodap"/>
              <w:jc w:val="center"/>
              <w:rPr>
                <w:rFonts w:ascii="Times New Roman" w:hAnsi="Times New Roman"/>
              </w:rPr>
            </w:pPr>
            <w:r w:rsidRPr="008211FD">
              <w:rPr>
                <w:rFonts w:ascii="Times New Roman" w:hAnsi="Times New Roman"/>
              </w:rPr>
              <w:t>3.504.000,00</w:t>
            </w:r>
          </w:p>
        </w:tc>
        <w:tc>
          <w:tcPr>
            <w:tcW w:w="1533" w:type="pct"/>
            <w:tcBorders>
              <w:top w:val="single" w:sz="8" w:space="0" w:color="4F81BD"/>
              <w:left w:val="single" w:sz="8" w:space="0" w:color="4F81BD"/>
              <w:bottom w:val="single" w:sz="8" w:space="0" w:color="4F81BD"/>
              <w:right w:val="single" w:sz="8" w:space="0" w:color="4F81BD"/>
            </w:tcBorders>
            <w:shd w:val="clear" w:color="auto" w:fill="D3DFEE"/>
          </w:tcPr>
          <w:p w:rsidR="00FD610C" w:rsidRPr="00FD610C" w:rsidRDefault="00FD610C" w:rsidP="00CE3680">
            <w:pPr>
              <w:spacing w:after="0" w:line="240" w:lineRule="auto"/>
              <w:jc w:val="both"/>
              <w:rPr>
                <w:rFonts w:ascii="Times New Roman" w:eastAsia="Times New Roman" w:hAnsi="Times New Roman"/>
                <w:b/>
                <w:bCs/>
                <w:sz w:val="20"/>
                <w:szCs w:val="20"/>
              </w:rPr>
            </w:pPr>
            <w:r w:rsidRPr="00FD610C">
              <w:rPr>
                <w:rFonts w:ascii="Times New Roman" w:eastAsia="Times New Roman" w:hAnsi="Times New Roman"/>
                <w:b/>
                <w:bCs/>
                <w:sz w:val="20"/>
                <w:szCs w:val="20"/>
              </w:rPr>
              <w:t>Banco ABN AMRO Real</w:t>
            </w:r>
          </w:p>
        </w:tc>
        <w:tc>
          <w:tcPr>
            <w:tcW w:w="899"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Textodenotaderodap"/>
              <w:jc w:val="center"/>
              <w:rPr>
                <w:rFonts w:ascii="Times New Roman" w:hAnsi="Times New Roman"/>
                <w:b/>
              </w:rPr>
            </w:pPr>
            <w:r w:rsidRPr="008211FD">
              <w:rPr>
                <w:rFonts w:ascii="Times New Roman" w:hAnsi="Times New Roman"/>
                <w:b/>
              </w:rPr>
              <w:t>1.500.000,00</w:t>
            </w:r>
          </w:p>
        </w:tc>
      </w:tr>
      <w:tr w:rsidR="00FD610C" w:rsidRPr="008211FD" w:rsidTr="00CE3680">
        <w:tc>
          <w:tcPr>
            <w:tcW w:w="1618" w:type="pct"/>
            <w:tcBorders>
              <w:top w:val="single" w:sz="8" w:space="0" w:color="4F81BD"/>
              <w:left w:val="single" w:sz="8" w:space="0" w:color="4F81BD"/>
              <w:bottom w:val="single" w:sz="8" w:space="0" w:color="4F81BD"/>
              <w:right w:val="single" w:sz="8" w:space="0" w:color="4F81BD"/>
            </w:tcBorders>
          </w:tcPr>
          <w:p w:rsidR="00FD610C" w:rsidRPr="00FD610C" w:rsidRDefault="00FD610C" w:rsidP="00CE3680">
            <w:pPr>
              <w:spacing w:after="0" w:line="240" w:lineRule="auto"/>
              <w:jc w:val="both"/>
              <w:rPr>
                <w:rFonts w:ascii="Times New Roman" w:eastAsia="Times New Roman" w:hAnsi="Times New Roman"/>
                <w:b/>
                <w:bCs/>
                <w:sz w:val="20"/>
                <w:szCs w:val="20"/>
              </w:rPr>
            </w:pPr>
            <w:r w:rsidRPr="00FD610C">
              <w:rPr>
                <w:rFonts w:ascii="Times New Roman" w:eastAsia="Times New Roman" w:hAnsi="Times New Roman"/>
                <w:b/>
                <w:bCs/>
                <w:sz w:val="20"/>
                <w:szCs w:val="20"/>
              </w:rPr>
              <w:t>Banco Itaú</w:t>
            </w:r>
          </w:p>
        </w:tc>
        <w:tc>
          <w:tcPr>
            <w:tcW w:w="950"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Textodenotaderodap"/>
              <w:jc w:val="center"/>
              <w:rPr>
                <w:rFonts w:ascii="Times New Roman" w:hAnsi="Times New Roman"/>
                <w:b/>
              </w:rPr>
            </w:pPr>
            <w:r w:rsidRPr="008211FD">
              <w:rPr>
                <w:rFonts w:ascii="Times New Roman" w:hAnsi="Times New Roman"/>
                <w:b/>
              </w:rPr>
              <w:t>3.500.000,00</w:t>
            </w:r>
          </w:p>
        </w:tc>
        <w:tc>
          <w:tcPr>
            <w:tcW w:w="1533" w:type="pct"/>
            <w:tcBorders>
              <w:top w:val="single" w:sz="8" w:space="0" w:color="4F81BD"/>
              <w:left w:val="single" w:sz="8" w:space="0" w:color="4F81BD"/>
              <w:bottom w:val="single" w:sz="8" w:space="0" w:color="4F81BD"/>
              <w:right w:val="single" w:sz="8" w:space="0" w:color="4F81BD"/>
            </w:tcBorders>
          </w:tcPr>
          <w:p w:rsidR="00FD610C" w:rsidRPr="00FD610C" w:rsidRDefault="00FD610C" w:rsidP="00CE3680">
            <w:pPr>
              <w:spacing w:after="0" w:line="240" w:lineRule="auto"/>
              <w:jc w:val="both"/>
              <w:rPr>
                <w:rFonts w:ascii="Times New Roman" w:eastAsia="Times New Roman" w:hAnsi="Times New Roman"/>
                <w:bCs/>
                <w:sz w:val="20"/>
                <w:szCs w:val="20"/>
              </w:rPr>
            </w:pPr>
            <w:r w:rsidRPr="00FD610C">
              <w:rPr>
                <w:rFonts w:ascii="Times New Roman" w:eastAsia="Times New Roman" w:hAnsi="Times New Roman"/>
                <w:bCs/>
                <w:sz w:val="20"/>
                <w:szCs w:val="20"/>
              </w:rPr>
              <w:t>Ambev</w:t>
            </w:r>
          </w:p>
        </w:tc>
        <w:tc>
          <w:tcPr>
            <w:tcW w:w="899"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Textodenotaderodap"/>
              <w:jc w:val="center"/>
              <w:rPr>
                <w:rFonts w:ascii="Times New Roman" w:hAnsi="Times New Roman"/>
              </w:rPr>
            </w:pPr>
            <w:r w:rsidRPr="008211FD">
              <w:rPr>
                <w:rFonts w:ascii="Times New Roman" w:hAnsi="Times New Roman"/>
              </w:rPr>
              <w:t>1.500.000,00</w:t>
            </w:r>
          </w:p>
        </w:tc>
      </w:tr>
      <w:tr w:rsidR="00FD610C" w:rsidRPr="008211FD" w:rsidTr="00CE3680">
        <w:tc>
          <w:tcPr>
            <w:tcW w:w="1618" w:type="pct"/>
            <w:tcBorders>
              <w:top w:val="single" w:sz="8" w:space="0" w:color="4F81BD"/>
              <w:left w:val="single" w:sz="8" w:space="0" w:color="4F81BD"/>
              <w:bottom w:val="single" w:sz="8" w:space="0" w:color="4F81BD"/>
              <w:right w:val="single" w:sz="8" w:space="0" w:color="4F81BD"/>
            </w:tcBorders>
            <w:shd w:val="clear" w:color="auto" w:fill="D3DFEE"/>
          </w:tcPr>
          <w:p w:rsidR="00FD610C" w:rsidRPr="00FD610C" w:rsidRDefault="00FD610C" w:rsidP="00CE3680">
            <w:pPr>
              <w:spacing w:after="0" w:line="240" w:lineRule="auto"/>
              <w:jc w:val="both"/>
              <w:rPr>
                <w:rFonts w:ascii="Times New Roman" w:eastAsia="Times New Roman" w:hAnsi="Times New Roman"/>
                <w:b/>
                <w:bCs/>
                <w:sz w:val="20"/>
                <w:szCs w:val="20"/>
              </w:rPr>
            </w:pPr>
            <w:r w:rsidRPr="00FD610C">
              <w:rPr>
                <w:rFonts w:ascii="Times New Roman" w:eastAsia="Times New Roman" w:hAnsi="Times New Roman"/>
                <w:b/>
                <w:bCs/>
                <w:sz w:val="20"/>
                <w:szCs w:val="20"/>
              </w:rPr>
              <w:t>Gerdau</w:t>
            </w:r>
          </w:p>
        </w:tc>
        <w:tc>
          <w:tcPr>
            <w:tcW w:w="95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Textodenotaderodap"/>
              <w:jc w:val="center"/>
              <w:rPr>
                <w:rFonts w:ascii="Times New Roman" w:hAnsi="Times New Roman"/>
                <w:b/>
              </w:rPr>
            </w:pPr>
            <w:r w:rsidRPr="008211FD">
              <w:rPr>
                <w:rFonts w:ascii="Times New Roman" w:hAnsi="Times New Roman"/>
                <w:b/>
              </w:rPr>
              <w:t>3.100.000,00</w:t>
            </w:r>
          </w:p>
        </w:tc>
        <w:tc>
          <w:tcPr>
            <w:tcW w:w="1533"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Textodenotaderodap"/>
              <w:jc w:val="both"/>
              <w:rPr>
                <w:rFonts w:ascii="Times New Roman" w:hAnsi="Times New Roman"/>
                <w:b/>
              </w:rPr>
            </w:pPr>
            <w:r w:rsidRPr="008211FD">
              <w:rPr>
                <w:rFonts w:ascii="Times New Roman" w:hAnsi="Times New Roman"/>
                <w:b/>
              </w:rPr>
              <w:t>Unibanco</w:t>
            </w:r>
          </w:p>
        </w:tc>
        <w:tc>
          <w:tcPr>
            <w:tcW w:w="899"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Textodenotaderodap"/>
              <w:jc w:val="center"/>
              <w:rPr>
                <w:rFonts w:ascii="Times New Roman" w:hAnsi="Times New Roman"/>
                <w:b/>
              </w:rPr>
            </w:pPr>
            <w:r w:rsidRPr="008211FD">
              <w:rPr>
                <w:rFonts w:ascii="Times New Roman" w:hAnsi="Times New Roman"/>
                <w:b/>
              </w:rPr>
              <w:t>1.300.000,00</w:t>
            </w:r>
          </w:p>
        </w:tc>
      </w:tr>
      <w:tr w:rsidR="00FD610C" w:rsidRPr="008211FD" w:rsidTr="00CE3680">
        <w:tc>
          <w:tcPr>
            <w:tcW w:w="1618" w:type="pct"/>
            <w:tcBorders>
              <w:top w:val="single" w:sz="8" w:space="0" w:color="4F81BD"/>
              <w:left w:val="single" w:sz="8" w:space="0" w:color="4F81BD"/>
              <w:bottom w:val="single" w:sz="8" w:space="0" w:color="4F81BD"/>
              <w:right w:val="single" w:sz="8" w:space="0" w:color="4F81BD"/>
            </w:tcBorders>
          </w:tcPr>
          <w:p w:rsidR="00FD610C" w:rsidRPr="00FD610C" w:rsidRDefault="00FD610C" w:rsidP="00CE3680">
            <w:pPr>
              <w:spacing w:after="0" w:line="240" w:lineRule="auto"/>
              <w:jc w:val="both"/>
              <w:rPr>
                <w:rFonts w:ascii="Times New Roman" w:eastAsia="Times New Roman" w:hAnsi="Times New Roman"/>
                <w:bCs/>
                <w:sz w:val="20"/>
                <w:szCs w:val="20"/>
              </w:rPr>
            </w:pPr>
            <w:r w:rsidRPr="00FD610C">
              <w:rPr>
                <w:rFonts w:ascii="Times New Roman" w:eastAsia="Times New Roman" w:hAnsi="Times New Roman"/>
                <w:bCs/>
                <w:sz w:val="20"/>
                <w:szCs w:val="20"/>
              </w:rPr>
              <w:t>JBS-Friboi</w:t>
            </w:r>
          </w:p>
        </w:tc>
        <w:tc>
          <w:tcPr>
            <w:tcW w:w="950"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Textodenotaderodap"/>
              <w:jc w:val="center"/>
              <w:rPr>
                <w:rFonts w:ascii="Times New Roman" w:hAnsi="Times New Roman"/>
              </w:rPr>
            </w:pPr>
            <w:r w:rsidRPr="008211FD">
              <w:rPr>
                <w:rFonts w:ascii="Times New Roman" w:hAnsi="Times New Roman"/>
              </w:rPr>
              <w:t>2.502.000,00</w:t>
            </w:r>
          </w:p>
        </w:tc>
        <w:tc>
          <w:tcPr>
            <w:tcW w:w="1533"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Textodenotaderodap"/>
              <w:jc w:val="both"/>
              <w:rPr>
                <w:rFonts w:ascii="Times New Roman" w:hAnsi="Times New Roman"/>
                <w:b/>
              </w:rPr>
            </w:pPr>
            <w:r w:rsidRPr="008211FD">
              <w:rPr>
                <w:rFonts w:ascii="Times New Roman" w:hAnsi="Times New Roman"/>
                <w:b/>
              </w:rPr>
              <w:t>Embraer</w:t>
            </w:r>
          </w:p>
        </w:tc>
        <w:tc>
          <w:tcPr>
            <w:tcW w:w="899"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Textodenotaderodap"/>
              <w:jc w:val="center"/>
              <w:rPr>
                <w:rFonts w:ascii="Times New Roman" w:hAnsi="Times New Roman"/>
                <w:b/>
              </w:rPr>
            </w:pPr>
            <w:r w:rsidRPr="008211FD">
              <w:rPr>
                <w:rFonts w:ascii="Times New Roman" w:hAnsi="Times New Roman"/>
                <w:b/>
              </w:rPr>
              <w:t>1.300.000,00</w:t>
            </w:r>
          </w:p>
        </w:tc>
      </w:tr>
      <w:tr w:rsidR="00FD610C" w:rsidRPr="008211FD" w:rsidTr="00CE3680">
        <w:tc>
          <w:tcPr>
            <w:tcW w:w="1618" w:type="pct"/>
            <w:tcBorders>
              <w:top w:val="single" w:sz="8" w:space="0" w:color="4F81BD"/>
              <w:left w:val="single" w:sz="8" w:space="0" w:color="4F81BD"/>
              <w:bottom w:val="single" w:sz="8" w:space="0" w:color="4F81BD"/>
              <w:right w:val="single" w:sz="8" w:space="0" w:color="4F81BD"/>
            </w:tcBorders>
            <w:shd w:val="clear" w:color="auto" w:fill="D3DFEE"/>
          </w:tcPr>
          <w:p w:rsidR="00FD610C" w:rsidRPr="00FD610C" w:rsidRDefault="00FD610C" w:rsidP="00CE3680">
            <w:pPr>
              <w:spacing w:after="0" w:line="240" w:lineRule="auto"/>
              <w:jc w:val="both"/>
              <w:rPr>
                <w:rFonts w:ascii="Times New Roman" w:eastAsia="Times New Roman" w:hAnsi="Times New Roman"/>
                <w:b/>
                <w:bCs/>
                <w:sz w:val="20"/>
                <w:szCs w:val="20"/>
              </w:rPr>
            </w:pPr>
            <w:r w:rsidRPr="00FD610C">
              <w:rPr>
                <w:rFonts w:ascii="Times New Roman" w:eastAsia="Times New Roman" w:hAnsi="Times New Roman"/>
                <w:b/>
                <w:bCs/>
                <w:sz w:val="20"/>
                <w:szCs w:val="20"/>
              </w:rPr>
              <w:t>Bradesco</w:t>
            </w:r>
          </w:p>
        </w:tc>
        <w:tc>
          <w:tcPr>
            <w:tcW w:w="95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Textodenotaderodap"/>
              <w:jc w:val="center"/>
              <w:rPr>
                <w:rFonts w:ascii="Times New Roman" w:hAnsi="Times New Roman"/>
                <w:b/>
              </w:rPr>
            </w:pPr>
            <w:r w:rsidRPr="008211FD">
              <w:rPr>
                <w:rFonts w:ascii="Times New Roman" w:hAnsi="Times New Roman"/>
                <w:b/>
              </w:rPr>
              <w:t>2.500.000,00</w:t>
            </w:r>
          </w:p>
        </w:tc>
        <w:tc>
          <w:tcPr>
            <w:tcW w:w="1533"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Textodenotaderodap"/>
              <w:jc w:val="both"/>
              <w:rPr>
                <w:rFonts w:ascii="Times New Roman" w:hAnsi="Times New Roman"/>
              </w:rPr>
            </w:pPr>
            <w:r w:rsidRPr="008211FD">
              <w:rPr>
                <w:rFonts w:ascii="Times New Roman" w:hAnsi="Times New Roman"/>
              </w:rPr>
              <w:t>Coopersucar</w:t>
            </w:r>
          </w:p>
        </w:tc>
        <w:tc>
          <w:tcPr>
            <w:tcW w:w="899"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Textodenotaderodap"/>
              <w:jc w:val="center"/>
              <w:rPr>
                <w:rFonts w:ascii="Times New Roman" w:hAnsi="Times New Roman"/>
              </w:rPr>
            </w:pPr>
            <w:r w:rsidRPr="008211FD">
              <w:rPr>
                <w:rFonts w:ascii="Times New Roman" w:hAnsi="Times New Roman"/>
              </w:rPr>
              <w:t>1.286.000,00</w:t>
            </w:r>
          </w:p>
        </w:tc>
      </w:tr>
      <w:tr w:rsidR="00FD610C" w:rsidRPr="008211FD" w:rsidTr="00CE3680">
        <w:tc>
          <w:tcPr>
            <w:tcW w:w="1618" w:type="pct"/>
            <w:tcBorders>
              <w:top w:val="single" w:sz="8" w:space="0" w:color="4F81BD"/>
              <w:left w:val="single" w:sz="8" w:space="0" w:color="4F81BD"/>
              <w:bottom w:val="single" w:sz="8" w:space="0" w:color="4F81BD"/>
              <w:right w:val="single" w:sz="8" w:space="0" w:color="4F81BD"/>
            </w:tcBorders>
          </w:tcPr>
          <w:p w:rsidR="00FD610C" w:rsidRPr="00FD610C" w:rsidRDefault="00FD610C" w:rsidP="00CE3680">
            <w:pPr>
              <w:spacing w:after="0" w:line="240" w:lineRule="auto"/>
              <w:jc w:val="both"/>
              <w:rPr>
                <w:rFonts w:ascii="Times New Roman" w:eastAsia="Times New Roman" w:hAnsi="Times New Roman"/>
                <w:b/>
                <w:bCs/>
                <w:sz w:val="20"/>
                <w:szCs w:val="20"/>
              </w:rPr>
            </w:pPr>
            <w:r w:rsidRPr="00FD610C">
              <w:rPr>
                <w:rFonts w:ascii="Times New Roman" w:eastAsia="Times New Roman" w:hAnsi="Times New Roman"/>
                <w:b/>
                <w:bCs/>
                <w:sz w:val="20"/>
                <w:szCs w:val="20"/>
              </w:rPr>
              <w:t>CSN/Vicunha</w:t>
            </w:r>
          </w:p>
        </w:tc>
        <w:tc>
          <w:tcPr>
            <w:tcW w:w="950"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Textodenotaderodap"/>
              <w:jc w:val="center"/>
              <w:rPr>
                <w:rFonts w:ascii="Times New Roman" w:hAnsi="Times New Roman"/>
                <w:b/>
              </w:rPr>
            </w:pPr>
            <w:r w:rsidRPr="008211FD">
              <w:rPr>
                <w:rFonts w:ascii="Times New Roman" w:hAnsi="Times New Roman"/>
                <w:b/>
              </w:rPr>
              <w:t>2.266.000,00</w:t>
            </w:r>
          </w:p>
        </w:tc>
        <w:tc>
          <w:tcPr>
            <w:tcW w:w="1533"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Textodenotaderodap"/>
              <w:jc w:val="both"/>
              <w:rPr>
                <w:rFonts w:ascii="Times New Roman" w:hAnsi="Times New Roman"/>
              </w:rPr>
            </w:pPr>
            <w:r w:rsidRPr="008211FD">
              <w:rPr>
                <w:rFonts w:ascii="Times New Roman" w:hAnsi="Times New Roman"/>
              </w:rPr>
              <w:t>UTV Engenharia</w:t>
            </w:r>
          </w:p>
        </w:tc>
        <w:tc>
          <w:tcPr>
            <w:tcW w:w="899"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Textodenotaderodap"/>
              <w:jc w:val="center"/>
              <w:rPr>
                <w:rFonts w:ascii="Times New Roman" w:hAnsi="Times New Roman"/>
              </w:rPr>
            </w:pPr>
            <w:r w:rsidRPr="008211FD">
              <w:rPr>
                <w:rFonts w:ascii="Times New Roman" w:hAnsi="Times New Roman"/>
              </w:rPr>
              <w:t>1.000.000,00</w:t>
            </w:r>
          </w:p>
        </w:tc>
      </w:tr>
      <w:tr w:rsidR="00FD610C" w:rsidRPr="008211FD" w:rsidTr="00CE3680">
        <w:tc>
          <w:tcPr>
            <w:tcW w:w="1618" w:type="pct"/>
            <w:tcBorders>
              <w:top w:val="single" w:sz="8" w:space="0" w:color="4F81BD"/>
              <w:left w:val="single" w:sz="8" w:space="0" w:color="4F81BD"/>
              <w:bottom w:val="single" w:sz="8" w:space="0" w:color="4F81BD"/>
              <w:right w:val="single" w:sz="8" w:space="0" w:color="4F81BD"/>
            </w:tcBorders>
            <w:shd w:val="clear" w:color="auto" w:fill="D3DFEE"/>
          </w:tcPr>
          <w:p w:rsidR="00FD610C" w:rsidRPr="00FD610C" w:rsidRDefault="00FD610C" w:rsidP="00CE3680">
            <w:pPr>
              <w:spacing w:after="0" w:line="240" w:lineRule="auto"/>
              <w:jc w:val="both"/>
              <w:rPr>
                <w:rFonts w:ascii="Times New Roman" w:eastAsia="Times New Roman" w:hAnsi="Times New Roman"/>
                <w:bCs/>
                <w:sz w:val="20"/>
                <w:szCs w:val="20"/>
              </w:rPr>
            </w:pPr>
            <w:r w:rsidRPr="00FD610C">
              <w:rPr>
                <w:rFonts w:ascii="Times New Roman" w:eastAsia="Times New Roman" w:hAnsi="Times New Roman"/>
                <w:bCs/>
                <w:sz w:val="20"/>
                <w:szCs w:val="20"/>
              </w:rPr>
              <w:t>FSTP Brasil</w:t>
            </w:r>
          </w:p>
        </w:tc>
        <w:tc>
          <w:tcPr>
            <w:tcW w:w="95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Textodenotaderodap"/>
              <w:jc w:val="center"/>
              <w:rPr>
                <w:rFonts w:ascii="Times New Roman" w:hAnsi="Times New Roman"/>
              </w:rPr>
            </w:pPr>
            <w:r w:rsidRPr="008211FD">
              <w:rPr>
                <w:rFonts w:ascii="Times New Roman" w:hAnsi="Times New Roman"/>
              </w:rPr>
              <w:t>2.000.000,00</w:t>
            </w:r>
          </w:p>
        </w:tc>
        <w:tc>
          <w:tcPr>
            <w:tcW w:w="1533"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Textodenotaderodap"/>
              <w:jc w:val="both"/>
              <w:rPr>
                <w:rFonts w:ascii="Times New Roman" w:hAnsi="Times New Roman"/>
              </w:rPr>
            </w:pPr>
            <w:r w:rsidRPr="008211FD">
              <w:rPr>
                <w:rFonts w:ascii="Times New Roman" w:hAnsi="Times New Roman"/>
              </w:rPr>
              <w:t>Unigel/Acrinor</w:t>
            </w:r>
          </w:p>
        </w:tc>
        <w:tc>
          <w:tcPr>
            <w:tcW w:w="899"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Textodenotaderodap"/>
              <w:jc w:val="center"/>
              <w:rPr>
                <w:rFonts w:ascii="Times New Roman" w:hAnsi="Times New Roman"/>
              </w:rPr>
            </w:pPr>
            <w:r w:rsidRPr="008211FD">
              <w:rPr>
                <w:rFonts w:ascii="Times New Roman" w:hAnsi="Times New Roman"/>
              </w:rPr>
              <w:t>2.000.000,00</w:t>
            </w:r>
          </w:p>
        </w:tc>
      </w:tr>
      <w:tr w:rsidR="00FD610C" w:rsidRPr="008211FD" w:rsidTr="00CE3680">
        <w:tc>
          <w:tcPr>
            <w:tcW w:w="1618" w:type="pct"/>
            <w:tcBorders>
              <w:top w:val="single" w:sz="8" w:space="0" w:color="4F81BD"/>
              <w:left w:val="single" w:sz="8" w:space="0" w:color="4F81BD"/>
              <w:bottom w:val="single" w:sz="8" w:space="0" w:color="4F81BD"/>
              <w:right w:val="single" w:sz="8" w:space="0" w:color="4F81BD"/>
            </w:tcBorders>
          </w:tcPr>
          <w:p w:rsidR="00FD610C" w:rsidRPr="00FD610C" w:rsidRDefault="00FD610C" w:rsidP="00CE3680">
            <w:pPr>
              <w:spacing w:after="0" w:line="240" w:lineRule="auto"/>
              <w:jc w:val="both"/>
              <w:rPr>
                <w:rFonts w:ascii="Times New Roman" w:eastAsia="Times New Roman" w:hAnsi="Times New Roman"/>
                <w:bCs/>
                <w:sz w:val="20"/>
                <w:szCs w:val="20"/>
              </w:rPr>
            </w:pPr>
            <w:r w:rsidRPr="00FD610C">
              <w:rPr>
                <w:rFonts w:ascii="Times New Roman" w:eastAsia="Times New Roman" w:hAnsi="Times New Roman"/>
                <w:bCs/>
                <w:sz w:val="20"/>
                <w:szCs w:val="20"/>
              </w:rPr>
              <w:t>Votorantim</w:t>
            </w:r>
          </w:p>
        </w:tc>
        <w:tc>
          <w:tcPr>
            <w:tcW w:w="950"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Textodenotaderodap"/>
              <w:jc w:val="center"/>
              <w:rPr>
                <w:rFonts w:ascii="Times New Roman" w:hAnsi="Times New Roman"/>
              </w:rPr>
            </w:pPr>
            <w:r w:rsidRPr="008211FD">
              <w:rPr>
                <w:rFonts w:ascii="Times New Roman" w:hAnsi="Times New Roman"/>
              </w:rPr>
              <w:t>1.700.000,00</w:t>
            </w:r>
          </w:p>
        </w:tc>
        <w:tc>
          <w:tcPr>
            <w:tcW w:w="1533"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Textodenotaderodap"/>
              <w:jc w:val="both"/>
              <w:rPr>
                <w:rFonts w:ascii="Times New Roman" w:hAnsi="Times New Roman"/>
                <w:b/>
              </w:rPr>
            </w:pPr>
            <w:r w:rsidRPr="008211FD">
              <w:rPr>
                <w:rFonts w:ascii="Times New Roman" w:hAnsi="Times New Roman"/>
                <w:b/>
              </w:rPr>
              <w:t>Instituto Bras. Siderurgia (IBS)</w:t>
            </w:r>
          </w:p>
        </w:tc>
        <w:tc>
          <w:tcPr>
            <w:tcW w:w="899"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Textodenotaderodap"/>
              <w:jc w:val="center"/>
              <w:rPr>
                <w:rFonts w:ascii="Times New Roman" w:hAnsi="Times New Roman"/>
                <w:b/>
              </w:rPr>
            </w:pPr>
            <w:r w:rsidRPr="008211FD">
              <w:rPr>
                <w:rFonts w:ascii="Times New Roman" w:hAnsi="Times New Roman"/>
                <w:b/>
              </w:rPr>
              <w:t>1.000.000,00</w:t>
            </w:r>
          </w:p>
        </w:tc>
      </w:tr>
    </w:tbl>
    <w:p w:rsidR="00FD610C" w:rsidRPr="00720548" w:rsidRDefault="00FD610C" w:rsidP="00FD610C">
      <w:pPr>
        <w:pStyle w:val="NormalWeb"/>
        <w:spacing w:before="0" w:beforeAutospacing="0" w:after="240" w:afterAutospacing="0"/>
        <w:jc w:val="both"/>
        <w:rPr>
          <w:sz w:val="18"/>
          <w:szCs w:val="18"/>
        </w:rPr>
      </w:pPr>
      <w:r w:rsidRPr="00720548">
        <w:rPr>
          <w:b/>
          <w:sz w:val="18"/>
          <w:szCs w:val="18"/>
        </w:rPr>
        <w:t xml:space="preserve">Elaboração própria. Fonte: </w:t>
      </w:r>
      <w:r w:rsidRPr="00720548">
        <w:rPr>
          <w:sz w:val="18"/>
          <w:szCs w:val="18"/>
        </w:rPr>
        <w:t xml:space="preserve">Lazzarini (2011). Dados reportados do jornal </w:t>
      </w:r>
      <w:r w:rsidRPr="00720548">
        <w:rPr>
          <w:i/>
          <w:sz w:val="18"/>
          <w:szCs w:val="18"/>
        </w:rPr>
        <w:t xml:space="preserve">Valor Econômico </w:t>
      </w:r>
      <w:r w:rsidRPr="00720548">
        <w:rPr>
          <w:sz w:val="18"/>
          <w:szCs w:val="18"/>
        </w:rPr>
        <w:t>de 19/11/2006. Os doadores em destaque estavam representados no CDES.</w:t>
      </w:r>
    </w:p>
    <w:p w:rsidR="006575B1" w:rsidRDefault="00FD610C" w:rsidP="00FD610C">
      <w:pPr>
        <w:autoSpaceDE w:val="0"/>
        <w:autoSpaceDN w:val="0"/>
        <w:adjustRightInd w:val="0"/>
        <w:spacing w:after="0" w:line="360" w:lineRule="auto"/>
        <w:jc w:val="both"/>
        <w:rPr>
          <w:rFonts w:ascii="Times New Roman" w:hAnsi="Times New Roman"/>
          <w:sz w:val="24"/>
          <w:szCs w:val="24"/>
        </w:rPr>
      </w:pPr>
      <w:r>
        <w:tab/>
      </w:r>
      <w:r w:rsidRPr="007C4E23">
        <w:rPr>
          <w:rFonts w:ascii="Times New Roman" w:hAnsi="Times New Roman"/>
          <w:sz w:val="24"/>
          <w:szCs w:val="24"/>
        </w:rPr>
        <w:t xml:space="preserve">Impressiona o volume de recursos recebidos pela candidatura Lula desse seleto e robusto grupo. </w:t>
      </w:r>
      <w:r w:rsidR="00512E58">
        <w:rPr>
          <w:rFonts w:ascii="Times New Roman" w:hAnsi="Times New Roman"/>
          <w:sz w:val="24"/>
          <w:szCs w:val="24"/>
        </w:rPr>
        <w:t>N</w:t>
      </w:r>
      <w:r w:rsidRPr="007C4E23">
        <w:rPr>
          <w:rFonts w:ascii="Times New Roman" w:hAnsi="Times New Roman"/>
          <w:sz w:val="24"/>
          <w:szCs w:val="24"/>
        </w:rPr>
        <w:t xml:space="preserve">otamos que os R$ 24.516.000,000 repassados pelos </w:t>
      </w:r>
      <w:r w:rsidRPr="006575B1">
        <w:rPr>
          <w:rFonts w:ascii="Times New Roman" w:hAnsi="Times New Roman"/>
          <w:i/>
          <w:sz w:val="24"/>
          <w:szCs w:val="24"/>
        </w:rPr>
        <w:t xml:space="preserve">10 </w:t>
      </w:r>
      <w:r w:rsidR="00512E58" w:rsidRPr="006575B1">
        <w:rPr>
          <w:rFonts w:ascii="Times New Roman" w:hAnsi="Times New Roman"/>
          <w:i/>
          <w:sz w:val="24"/>
          <w:szCs w:val="24"/>
        </w:rPr>
        <w:t xml:space="preserve">maiores </w:t>
      </w:r>
      <w:r w:rsidRPr="006575B1">
        <w:rPr>
          <w:rFonts w:ascii="Times New Roman" w:hAnsi="Times New Roman"/>
          <w:i/>
          <w:sz w:val="24"/>
          <w:szCs w:val="24"/>
        </w:rPr>
        <w:t>doadores presentes no CDES</w:t>
      </w:r>
      <w:r w:rsidRPr="007C4E23">
        <w:rPr>
          <w:rFonts w:ascii="Times New Roman" w:hAnsi="Times New Roman"/>
          <w:sz w:val="24"/>
          <w:szCs w:val="24"/>
        </w:rPr>
        <w:t xml:space="preserve"> correspond</w:t>
      </w:r>
      <w:r w:rsidR="006575B1">
        <w:rPr>
          <w:rFonts w:ascii="Times New Roman" w:hAnsi="Times New Roman"/>
          <w:sz w:val="24"/>
          <w:szCs w:val="24"/>
        </w:rPr>
        <w:t>ia</w:t>
      </w:r>
      <w:r w:rsidRPr="007C4E23">
        <w:rPr>
          <w:rFonts w:ascii="Times New Roman" w:hAnsi="Times New Roman"/>
          <w:sz w:val="24"/>
          <w:szCs w:val="24"/>
        </w:rPr>
        <w:t xml:space="preserve">m a </w:t>
      </w:r>
      <w:r w:rsidRPr="007C4E23">
        <w:rPr>
          <w:rFonts w:ascii="Times New Roman" w:hAnsi="Times New Roman"/>
          <w:i/>
          <w:sz w:val="24"/>
          <w:szCs w:val="24"/>
        </w:rPr>
        <w:t>32,68% (cerca de um terço) do total de doações (R$ 75.024.000,00) de todos os setores empresariais</w:t>
      </w:r>
      <w:r w:rsidRPr="007C4E23">
        <w:rPr>
          <w:rFonts w:ascii="Times New Roman" w:hAnsi="Times New Roman"/>
          <w:sz w:val="24"/>
          <w:szCs w:val="24"/>
        </w:rPr>
        <w:t xml:space="preserve"> à reeleição de Lula em 2006.</w:t>
      </w:r>
      <w:r w:rsidR="00512E58">
        <w:rPr>
          <w:rStyle w:val="Refdenotaderodap"/>
          <w:rFonts w:ascii="Times New Roman" w:hAnsi="Times New Roman"/>
          <w:sz w:val="24"/>
          <w:szCs w:val="24"/>
        </w:rPr>
        <w:footnoteReference w:id="314"/>
      </w:r>
      <w:r w:rsidRPr="007C4E23">
        <w:rPr>
          <w:rFonts w:ascii="Times New Roman" w:hAnsi="Times New Roman"/>
          <w:sz w:val="24"/>
          <w:szCs w:val="24"/>
        </w:rPr>
        <w:t xml:space="preserve"> Se considerarmos o total de doações dos 20 maiores doadores (ou seja, R$ 43.228.000,00) os 10 grupos convocados a assumirem posições de “conselheiros da sociedade civil” no Conselho participaram de 56,7% deste total. Nesta generosa fatia conselherista, o setor bancário agregou R$ 8.800.000,00, ou seja, 36% do total repassado, sendo o restante assumido </w:t>
      </w:r>
      <w:r>
        <w:rPr>
          <w:rFonts w:ascii="Times New Roman" w:hAnsi="Times New Roman"/>
          <w:sz w:val="24"/>
          <w:szCs w:val="24"/>
        </w:rPr>
        <w:t xml:space="preserve">por </w:t>
      </w:r>
      <w:r w:rsidRPr="007C4E23">
        <w:rPr>
          <w:rFonts w:ascii="Times New Roman" w:hAnsi="Times New Roman"/>
          <w:sz w:val="24"/>
          <w:szCs w:val="24"/>
        </w:rPr>
        <w:t>5 grupos industriais e uma entidade representativa dos interesses do em</w:t>
      </w:r>
      <w:r>
        <w:rPr>
          <w:rFonts w:ascii="Times New Roman" w:hAnsi="Times New Roman"/>
          <w:sz w:val="24"/>
          <w:szCs w:val="24"/>
        </w:rPr>
        <w:t xml:space="preserve">presariado do setor siderúrgico, o Instituto Brasileiro de Siderurgia. </w:t>
      </w:r>
    </w:p>
    <w:p w:rsidR="00FD610C" w:rsidRDefault="00FD610C" w:rsidP="006575B1">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Segundo Moreira, o IBSfuncionava como</w:t>
      </w:r>
      <w:r w:rsidRPr="007C4E23">
        <w:rPr>
          <w:rFonts w:ascii="Times New Roman" w:hAnsi="Times New Roman"/>
          <w:sz w:val="24"/>
          <w:szCs w:val="24"/>
        </w:rPr>
        <w:t xml:space="preserve"> “importante aparelho privado de hegemonia para uma determinada fração de classe, apontando assim os caminhos para as privatizações entre os anos de 1976-1988</w:t>
      </w:r>
      <w:r w:rsidR="006575B1">
        <w:rPr>
          <w:rFonts w:ascii="Times New Roman" w:hAnsi="Times New Roman"/>
          <w:sz w:val="24"/>
          <w:szCs w:val="24"/>
        </w:rPr>
        <w:t>”. O</w:t>
      </w:r>
      <w:r>
        <w:rPr>
          <w:rFonts w:ascii="Times New Roman" w:hAnsi="Times New Roman"/>
          <w:sz w:val="24"/>
          <w:szCs w:val="24"/>
        </w:rPr>
        <w:t xml:space="preserve"> conselheiro permanente do CDES, Jorge Gerdau Johannpeter, </w:t>
      </w:r>
      <w:r w:rsidR="006575B1">
        <w:rPr>
          <w:rFonts w:ascii="Times New Roman" w:hAnsi="Times New Roman"/>
          <w:sz w:val="24"/>
          <w:szCs w:val="24"/>
        </w:rPr>
        <w:t>assumiu</w:t>
      </w:r>
      <w:r>
        <w:rPr>
          <w:rFonts w:ascii="Times New Roman" w:hAnsi="Times New Roman"/>
          <w:sz w:val="24"/>
          <w:szCs w:val="24"/>
        </w:rPr>
        <w:t xml:space="preserve"> a presidência do Instituto entre 1980-1982, mantendo-se </w:t>
      </w:r>
      <w:r w:rsidR="006575B1">
        <w:rPr>
          <w:rFonts w:ascii="Times New Roman" w:hAnsi="Times New Roman"/>
          <w:sz w:val="24"/>
          <w:szCs w:val="24"/>
        </w:rPr>
        <w:t xml:space="preserve">ainda atualmente </w:t>
      </w:r>
      <w:r>
        <w:rPr>
          <w:rFonts w:ascii="Times New Roman" w:hAnsi="Times New Roman"/>
          <w:sz w:val="24"/>
          <w:szCs w:val="24"/>
        </w:rPr>
        <w:t>como membro de seu conselho.</w:t>
      </w:r>
      <w:r>
        <w:rPr>
          <w:rStyle w:val="Refdenotaderodap"/>
          <w:rFonts w:ascii="Times New Roman" w:hAnsi="Times New Roman"/>
          <w:sz w:val="24"/>
          <w:szCs w:val="24"/>
        </w:rPr>
        <w:footnoteReference w:id="315"/>
      </w:r>
    </w:p>
    <w:p w:rsidR="00FD610C" w:rsidRDefault="00FD610C" w:rsidP="00FD610C">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b/>
        <w:t>Como demonstração da aludida concentração e centralização do grande capital atuante no CDES, a tabela 2.</w:t>
      </w:r>
      <w:r w:rsidR="003044EA">
        <w:rPr>
          <w:rFonts w:ascii="Times New Roman" w:hAnsi="Times New Roman"/>
          <w:sz w:val="24"/>
          <w:szCs w:val="24"/>
        </w:rPr>
        <w:t>3</w:t>
      </w:r>
      <w:r>
        <w:rPr>
          <w:rFonts w:ascii="Times New Roman" w:hAnsi="Times New Roman"/>
          <w:sz w:val="24"/>
          <w:szCs w:val="24"/>
        </w:rPr>
        <w:t xml:space="preserve"> abaixo elenca os grupos econômicos por Receita Bruta (RB), referente ao ano contábil de 2003:</w:t>
      </w:r>
    </w:p>
    <w:p w:rsidR="00FD610C" w:rsidRPr="000F6482" w:rsidRDefault="003044EA" w:rsidP="00FD610C">
      <w:pPr>
        <w:autoSpaceDE w:val="0"/>
        <w:autoSpaceDN w:val="0"/>
        <w:adjustRightInd w:val="0"/>
        <w:spacing w:line="360" w:lineRule="auto"/>
        <w:jc w:val="center"/>
        <w:rPr>
          <w:rFonts w:ascii="Times New Roman" w:hAnsi="Times New Roman"/>
          <w:sz w:val="24"/>
          <w:szCs w:val="24"/>
        </w:rPr>
      </w:pPr>
      <w:r>
        <w:rPr>
          <w:rFonts w:ascii="Times New Roman" w:hAnsi="Times New Roman"/>
          <w:b/>
          <w:sz w:val="24"/>
          <w:szCs w:val="24"/>
        </w:rPr>
        <w:t>Tabela 2.3</w:t>
      </w:r>
      <w:r w:rsidR="00FD610C">
        <w:rPr>
          <w:rFonts w:ascii="Times New Roman" w:hAnsi="Times New Roman"/>
          <w:b/>
          <w:sz w:val="24"/>
          <w:szCs w:val="24"/>
        </w:rPr>
        <w:t xml:space="preserve"> – Ranking 2004 de Grupos Econômicos </w:t>
      </w:r>
      <w:r w:rsidR="006575B1">
        <w:rPr>
          <w:rFonts w:ascii="Times New Roman" w:hAnsi="Times New Roman"/>
          <w:b/>
          <w:sz w:val="24"/>
          <w:szCs w:val="24"/>
        </w:rPr>
        <w:t>representados no</w:t>
      </w:r>
      <w:r w:rsidR="00FD610C">
        <w:rPr>
          <w:rFonts w:ascii="Times New Roman" w:hAnsi="Times New Roman"/>
          <w:b/>
          <w:sz w:val="24"/>
          <w:szCs w:val="24"/>
        </w:rPr>
        <w:t xml:space="preserve"> CDES (ano base 2003)</w:t>
      </w:r>
    </w:p>
    <w:tbl>
      <w:tblPr>
        <w:tblW w:w="4906"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692"/>
        <w:gridCol w:w="1646"/>
        <w:gridCol w:w="955"/>
        <w:gridCol w:w="1247"/>
        <w:gridCol w:w="764"/>
        <w:gridCol w:w="1642"/>
        <w:gridCol w:w="991"/>
        <w:gridCol w:w="1175"/>
      </w:tblGrid>
      <w:tr w:rsidR="003E22B2" w:rsidRPr="005320C0" w:rsidTr="003E22B2">
        <w:trPr>
          <w:trHeight w:val="593"/>
        </w:trPr>
        <w:tc>
          <w:tcPr>
            <w:tcW w:w="380" w:type="pct"/>
            <w:tcBorders>
              <w:top w:val="single" w:sz="8" w:space="0" w:color="4F81BD"/>
              <w:left w:val="single" w:sz="8" w:space="0" w:color="4F81BD"/>
              <w:bottom w:val="single" w:sz="18" w:space="0" w:color="4F81BD"/>
              <w:right w:val="single" w:sz="8" w:space="0" w:color="4F81BD"/>
            </w:tcBorders>
          </w:tcPr>
          <w:p w:rsidR="003E22B2" w:rsidRPr="003E22B2" w:rsidRDefault="003E22B2" w:rsidP="00FE30AE">
            <w:pPr>
              <w:spacing w:after="0" w:line="240" w:lineRule="auto"/>
              <w:rPr>
                <w:rFonts w:ascii="Times New Roman" w:eastAsia="Times New Roman" w:hAnsi="Times New Roman"/>
                <w:b/>
                <w:bCs/>
                <w:sz w:val="20"/>
                <w:szCs w:val="20"/>
              </w:rPr>
            </w:pPr>
            <w:r w:rsidRPr="003E22B2">
              <w:rPr>
                <w:rFonts w:ascii="Times New Roman" w:eastAsia="Times New Roman" w:hAnsi="Times New Roman"/>
                <w:b/>
                <w:bCs/>
                <w:sz w:val="20"/>
                <w:szCs w:val="20"/>
              </w:rPr>
              <w:t>2004</w:t>
            </w:r>
          </w:p>
        </w:tc>
        <w:tc>
          <w:tcPr>
            <w:tcW w:w="903" w:type="pct"/>
            <w:tcBorders>
              <w:top w:val="single" w:sz="8" w:space="0" w:color="4F81BD"/>
              <w:left w:val="single" w:sz="8" w:space="0" w:color="4F81BD"/>
              <w:bottom w:val="single" w:sz="18" w:space="0" w:color="4F81BD"/>
              <w:right w:val="single" w:sz="8" w:space="0" w:color="4F81BD"/>
            </w:tcBorders>
          </w:tcPr>
          <w:p w:rsidR="003E22B2" w:rsidRPr="003E22B2" w:rsidRDefault="003E22B2" w:rsidP="00FE30AE">
            <w:pPr>
              <w:spacing w:after="0" w:line="240" w:lineRule="auto"/>
              <w:rPr>
                <w:rFonts w:ascii="Times New Roman" w:eastAsia="Times New Roman" w:hAnsi="Times New Roman"/>
                <w:b/>
                <w:bCs/>
                <w:sz w:val="20"/>
                <w:szCs w:val="20"/>
              </w:rPr>
            </w:pPr>
            <w:r w:rsidRPr="003E22B2">
              <w:rPr>
                <w:rFonts w:ascii="Times New Roman" w:eastAsia="Times New Roman" w:hAnsi="Times New Roman"/>
                <w:b/>
                <w:bCs/>
                <w:sz w:val="20"/>
                <w:szCs w:val="20"/>
              </w:rPr>
              <w:t>Empresa</w:t>
            </w:r>
          </w:p>
        </w:tc>
        <w:tc>
          <w:tcPr>
            <w:tcW w:w="524" w:type="pct"/>
            <w:tcBorders>
              <w:top w:val="single" w:sz="8" w:space="0" w:color="4F81BD"/>
              <w:left w:val="single" w:sz="8" w:space="0" w:color="4F81BD"/>
              <w:bottom w:val="single" w:sz="18" w:space="0" w:color="4F81BD"/>
              <w:right w:val="single" w:sz="8" w:space="0" w:color="4F81BD"/>
            </w:tcBorders>
          </w:tcPr>
          <w:p w:rsidR="003E22B2" w:rsidRPr="003E22B2" w:rsidRDefault="003E22B2" w:rsidP="00FE30AE">
            <w:pPr>
              <w:spacing w:after="0" w:line="240" w:lineRule="auto"/>
              <w:rPr>
                <w:rFonts w:ascii="Times New Roman" w:eastAsia="Times New Roman" w:hAnsi="Times New Roman"/>
                <w:b/>
                <w:bCs/>
                <w:sz w:val="20"/>
                <w:szCs w:val="20"/>
              </w:rPr>
            </w:pPr>
            <w:r>
              <w:rPr>
                <w:rFonts w:ascii="Times New Roman" w:eastAsia="Times New Roman" w:hAnsi="Times New Roman"/>
                <w:b/>
                <w:bCs/>
                <w:sz w:val="20"/>
                <w:szCs w:val="20"/>
              </w:rPr>
              <w:t>Origem do K</w:t>
            </w:r>
          </w:p>
        </w:tc>
        <w:tc>
          <w:tcPr>
            <w:tcW w:w="684" w:type="pct"/>
            <w:tcBorders>
              <w:top w:val="single" w:sz="8" w:space="0" w:color="4F81BD"/>
              <w:left w:val="single" w:sz="8" w:space="0" w:color="4F81BD"/>
              <w:bottom w:val="single" w:sz="18" w:space="0" w:color="4F81BD"/>
              <w:right w:val="single" w:sz="8" w:space="0" w:color="4F81BD"/>
            </w:tcBorders>
          </w:tcPr>
          <w:p w:rsidR="003E22B2" w:rsidRPr="003E22B2" w:rsidRDefault="003E22B2" w:rsidP="00FE30AE">
            <w:pPr>
              <w:spacing w:after="0" w:line="240" w:lineRule="auto"/>
              <w:jc w:val="center"/>
              <w:rPr>
                <w:rFonts w:ascii="Times New Roman" w:eastAsia="Times New Roman" w:hAnsi="Times New Roman"/>
                <w:b/>
                <w:bCs/>
                <w:sz w:val="20"/>
                <w:szCs w:val="20"/>
              </w:rPr>
            </w:pPr>
            <w:r w:rsidRPr="003E22B2">
              <w:rPr>
                <w:rFonts w:ascii="Times New Roman" w:eastAsia="Times New Roman" w:hAnsi="Times New Roman"/>
                <w:b/>
                <w:bCs/>
                <w:sz w:val="20"/>
                <w:szCs w:val="20"/>
              </w:rPr>
              <w:t>Receita Bruta (R$ milhões)</w:t>
            </w:r>
          </w:p>
        </w:tc>
        <w:tc>
          <w:tcPr>
            <w:tcW w:w="419" w:type="pct"/>
            <w:tcBorders>
              <w:top w:val="single" w:sz="8" w:space="0" w:color="4F81BD"/>
              <w:left w:val="single" w:sz="8" w:space="0" w:color="4F81BD"/>
              <w:bottom w:val="single" w:sz="18" w:space="0" w:color="4F81BD"/>
              <w:right w:val="single" w:sz="8" w:space="0" w:color="4F81BD"/>
            </w:tcBorders>
          </w:tcPr>
          <w:p w:rsidR="003E22B2" w:rsidRPr="003E22B2" w:rsidRDefault="003E22B2" w:rsidP="00FE30AE">
            <w:pPr>
              <w:spacing w:after="0" w:line="240" w:lineRule="auto"/>
              <w:rPr>
                <w:rFonts w:ascii="Times New Roman" w:eastAsia="Times New Roman" w:hAnsi="Times New Roman"/>
                <w:b/>
                <w:bCs/>
                <w:sz w:val="20"/>
                <w:szCs w:val="20"/>
              </w:rPr>
            </w:pPr>
            <w:r w:rsidRPr="003E22B2">
              <w:rPr>
                <w:rFonts w:ascii="Times New Roman" w:eastAsia="Times New Roman" w:hAnsi="Times New Roman"/>
                <w:b/>
                <w:bCs/>
                <w:sz w:val="20"/>
                <w:szCs w:val="20"/>
              </w:rPr>
              <w:t>2004</w:t>
            </w:r>
          </w:p>
        </w:tc>
        <w:tc>
          <w:tcPr>
            <w:tcW w:w="901" w:type="pct"/>
            <w:tcBorders>
              <w:top w:val="single" w:sz="8" w:space="0" w:color="4F81BD"/>
              <w:left w:val="single" w:sz="8" w:space="0" w:color="4F81BD"/>
              <w:bottom w:val="single" w:sz="18" w:space="0" w:color="4F81BD"/>
              <w:right w:val="single" w:sz="8" w:space="0" w:color="4F81BD"/>
            </w:tcBorders>
          </w:tcPr>
          <w:p w:rsidR="003E22B2" w:rsidRPr="003E22B2" w:rsidRDefault="003E22B2" w:rsidP="00FE30AE">
            <w:pPr>
              <w:spacing w:after="0" w:line="240" w:lineRule="auto"/>
              <w:rPr>
                <w:rFonts w:ascii="Times New Roman" w:eastAsia="Times New Roman" w:hAnsi="Times New Roman"/>
                <w:b/>
                <w:bCs/>
                <w:sz w:val="20"/>
                <w:szCs w:val="20"/>
              </w:rPr>
            </w:pPr>
            <w:r w:rsidRPr="003E22B2">
              <w:rPr>
                <w:rFonts w:ascii="Times New Roman" w:eastAsia="Times New Roman" w:hAnsi="Times New Roman"/>
                <w:b/>
                <w:bCs/>
                <w:sz w:val="20"/>
                <w:szCs w:val="20"/>
              </w:rPr>
              <w:t>Empresa</w:t>
            </w:r>
          </w:p>
        </w:tc>
        <w:tc>
          <w:tcPr>
            <w:tcW w:w="544" w:type="pct"/>
            <w:tcBorders>
              <w:top w:val="single" w:sz="8" w:space="0" w:color="4F81BD"/>
              <w:left w:val="single" w:sz="8" w:space="0" w:color="4F81BD"/>
              <w:bottom w:val="single" w:sz="18" w:space="0" w:color="4F81BD"/>
              <w:right w:val="single" w:sz="8" w:space="0" w:color="4F81BD"/>
            </w:tcBorders>
          </w:tcPr>
          <w:p w:rsidR="003E22B2" w:rsidRPr="003E22B2" w:rsidRDefault="003E22B2" w:rsidP="00FE30AE">
            <w:pPr>
              <w:spacing w:after="0" w:line="240" w:lineRule="auto"/>
              <w:rPr>
                <w:rFonts w:ascii="Times New Roman" w:eastAsia="Times New Roman" w:hAnsi="Times New Roman"/>
                <w:b/>
                <w:bCs/>
                <w:sz w:val="20"/>
                <w:szCs w:val="20"/>
              </w:rPr>
            </w:pPr>
            <w:r>
              <w:rPr>
                <w:rFonts w:ascii="Times New Roman" w:eastAsia="Times New Roman" w:hAnsi="Times New Roman"/>
                <w:b/>
                <w:bCs/>
                <w:sz w:val="20"/>
                <w:szCs w:val="20"/>
              </w:rPr>
              <w:t>Origem do K</w:t>
            </w:r>
          </w:p>
        </w:tc>
        <w:tc>
          <w:tcPr>
            <w:tcW w:w="645" w:type="pct"/>
            <w:tcBorders>
              <w:top w:val="single" w:sz="8" w:space="0" w:color="4F81BD"/>
              <w:left w:val="single" w:sz="8" w:space="0" w:color="4F81BD"/>
              <w:bottom w:val="single" w:sz="18" w:space="0" w:color="4F81BD"/>
              <w:right w:val="single" w:sz="8" w:space="0" w:color="4F81BD"/>
            </w:tcBorders>
          </w:tcPr>
          <w:p w:rsidR="003E22B2" w:rsidRPr="003E22B2" w:rsidRDefault="003E22B2" w:rsidP="00FE30AE">
            <w:pPr>
              <w:spacing w:after="0" w:line="240" w:lineRule="auto"/>
              <w:jc w:val="center"/>
              <w:rPr>
                <w:rFonts w:ascii="Times New Roman" w:eastAsia="Times New Roman" w:hAnsi="Times New Roman"/>
                <w:b/>
                <w:bCs/>
                <w:sz w:val="20"/>
                <w:szCs w:val="20"/>
              </w:rPr>
            </w:pPr>
            <w:r w:rsidRPr="003E22B2">
              <w:rPr>
                <w:rFonts w:ascii="Times New Roman" w:eastAsia="Times New Roman" w:hAnsi="Times New Roman"/>
                <w:b/>
                <w:bCs/>
                <w:sz w:val="20"/>
                <w:szCs w:val="20"/>
              </w:rPr>
              <w:t>Receita Bruta (R$ milhões)</w:t>
            </w:r>
          </w:p>
        </w:tc>
      </w:tr>
      <w:tr w:rsidR="003E22B2" w:rsidRPr="008211FD" w:rsidTr="003E22B2">
        <w:trPr>
          <w:trHeight w:val="217"/>
        </w:trPr>
        <w:tc>
          <w:tcPr>
            <w:tcW w:w="380"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3</w:t>
            </w:r>
          </w:p>
        </w:tc>
        <w:tc>
          <w:tcPr>
            <w:tcW w:w="903"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both"/>
              <w:rPr>
                <w:rFonts w:ascii="Times New Roman" w:hAnsi="Times New Roman"/>
              </w:rPr>
            </w:pPr>
            <w:r w:rsidRPr="003E22B2">
              <w:rPr>
                <w:rFonts w:ascii="Times New Roman" w:hAnsi="Times New Roman"/>
              </w:rPr>
              <w:t>Bradesco</w:t>
            </w:r>
          </w:p>
        </w:tc>
        <w:tc>
          <w:tcPr>
            <w:tcW w:w="52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8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46706,0</w:t>
            </w:r>
          </w:p>
        </w:tc>
        <w:tc>
          <w:tcPr>
            <w:tcW w:w="419"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27</w:t>
            </w:r>
          </w:p>
        </w:tc>
        <w:tc>
          <w:tcPr>
            <w:tcW w:w="901"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both"/>
              <w:rPr>
                <w:rFonts w:ascii="Times New Roman" w:hAnsi="Times New Roman"/>
              </w:rPr>
            </w:pPr>
            <w:r w:rsidRPr="003E22B2">
              <w:rPr>
                <w:rFonts w:ascii="Times New Roman" w:hAnsi="Times New Roman"/>
              </w:rPr>
              <w:t>Nestlé</w:t>
            </w:r>
          </w:p>
        </w:tc>
        <w:tc>
          <w:tcPr>
            <w:tcW w:w="54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SU</w:t>
            </w:r>
          </w:p>
        </w:tc>
        <w:tc>
          <w:tcPr>
            <w:tcW w:w="645"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9642,3</w:t>
            </w:r>
          </w:p>
        </w:tc>
      </w:tr>
      <w:tr w:rsidR="003E22B2" w:rsidRPr="008211FD" w:rsidTr="003E22B2">
        <w:trPr>
          <w:trHeight w:val="224"/>
        </w:trPr>
        <w:tc>
          <w:tcPr>
            <w:tcW w:w="380"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5</w:t>
            </w:r>
          </w:p>
        </w:tc>
        <w:tc>
          <w:tcPr>
            <w:tcW w:w="903"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both"/>
              <w:rPr>
                <w:rFonts w:ascii="Times New Roman" w:hAnsi="Times New Roman"/>
              </w:rPr>
            </w:pPr>
            <w:r w:rsidRPr="003E22B2">
              <w:rPr>
                <w:rFonts w:ascii="Times New Roman" w:hAnsi="Times New Roman"/>
              </w:rPr>
              <w:t>Itaúsa</w:t>
            </w:r>
          </w:p>
        </w:tc>
        <w:tc>
          <w:tcPr>
            <w:tcW w:w="52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8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27938,2</w:t>
            </w:r>
          </w:p>
        </w:tc>
        <w:tc>
          <w:tcPr>
            <w:tcW w:w="419"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33</w:t>
            </w:r>
          </w:p>
        </w:tc>
        <w:tc>
          <w:tcPr>
            <w:tcW w:w="901"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both"/>
              <w:rPr>
                <w:rFonts w:ascii="Times New Roman" w:hAnsi="Times New Roman"/>
              </w:rPr>
            </w:pPr>
            <w:r w:rsidRPr="003E22B2">
              <w:rPr>
                <w:rFonts w:ascii="Times New Roman" w:hAnsi="Times New Roman"/>
              </w:rPr>
              <w:t>CSN</w:t>
            </w:r>
          </w:p>
        </w:tc>
        <w:tc>
          <w:tcPr>
            <w:tcW w:w="54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45"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8291,7</w:t>
            </w:r>
          </w:p>
        </w:tc>
      </w:tr>
      <w:tr w:rsidR="003E22B2" w:rsidRPr="008211FD" w:rsidTr="003E22B2">
        <w:trPr>
          <w:trHeight w:val="217"/>
        </w:trPr>
        <w:tc>
          <w:tcPr>
            <w:tcW w:w="380"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7</w:t>
            </w:r>
          </w:p>
        </w:tc>
        <w:tc>
          <w:tcPr>
            <w:tcW w:w="903"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both"/>
              <w:rPr>
                <w:rFonts w:ascii="Times New Roman" w:hAnsi="Times New Roman"/>
              </w:rPr>
            </w:pPr>
            <w:r w:rsidRPr="003E22B2">
              <w:rPr>
                <w:rFonts w:ascii="Times New Roman" w:hAnsi="Times New Roman"/>
              </w:rPr>
              <w:t>Telefônica</w:t>
            </w:r>
          </w:p>
        </w:tc>
        <w:tc>
          <w:tcPr>
            <w:tcW w:w="52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EP</w:t>
            </w:r>
          </w:p>
        </w:tc>
        <w:tc>
          <w:tcPr>
            <w:tcW w:w="68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22263,5</w:t>
            </w:r>
          </w:p>
        </w:tc>
        <w:tc>
          <w:tcPr>
            <w:tcW w:w="419"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40</w:t>
            </w:r>
          </w:p>
        </w:tc>
        <w:tc>
          <w:tcPr>
            <w:tcW w:w="901"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both"/>
              <w:rPr>
                <w:rFonts w:ascii="Times New Roman" w:hAnsi="Times New Roman"/>
              </w:rPr>
            </w:pPr>
            <w:r w:rsidRPr="003E22B2">
              <w:rPr>
                <w:rFonts w:ascii="Times New Roman" w:hAnsi="Times New Roman"/>
              </w:rPr>
              <w:t>Embraer</w:t>
            </w:r>
          </w:p>
        </w:tc>
        <w:tc>
          <w:tcPr>
            <w:tcW w:w="54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45"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6599,1</w:t>
            </w:r>
          </w:p>
        </w:tc>
      </w:tr>
      <w:tr w:rsidR="003E22B2" w:rsidRPr="008211FD" w:rsidTr="003E22B2">
        <w:trPr>
          <w:trHeight w:val="217"/>
        </w:trPr>
        <w:tc>
          <w:tcPr>
            <w:tcW w:w="380"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8</w:t>
            </w:r>
          </w:p>
        </w:tc>
        <w:tc>
          <w:tcPr>
            <w:tcW w:w="903"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both"/>
              <w:rPr>
                <w:rFonts w:ascii="Times New Roman" w:hAnsi="Times New Roman"/>
              </w:rPr>
            </w:pPr>
            <w:r w:rsidRPr="003E22B2">
              <w:rPr>
                <w:rFonts w:ascii="Times New Roman" w:hAnsi="Times New Roman"/>
              </w:rPr>
              <w:t>Ipiranga</w:t>
            </w:r>
          </w:p>
        </w:tc>
        <w:tc>
          <w:tcPr>
            <w:tcW w:w="52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8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21295,0</w:t>
            </w:r>
          </w:p>
        </w:tc>
        <w:tc>
          <w:tcPr>
            <w:tcW w:w="419"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59</w:t>
            </w:r>
          </w:p>
        </w:tc>
        <w:tc>
          <w:tcPr>
            <w:tcW w:w="901"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both"/>
              <w:rPr>
                <w:rFonts w:ascii="Times New Roman" w:hAnsi="Times New Roman"/>
              </w:rPr>
            </w:pPr>
            <w:r w:rsidRPr="003E22B2">
              <w:rPr>
                <w:rFonts w:ascii="Times New Roman" w:hAnsi="Times New Roman"/>
              </w:rPr>
              <w:t>Suzano</w:t>
            </w:r>
          </w:p>
        </w:tc>
        <w:tc>
          <w:tcPr>
            <w:tcW w:w="54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45"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4202,6</w:t>
            </w:r>
          </w:p>
        </w:tc>
      </w:tr>
      <w:tr w:rsidR="003E22B2" w:rsidRPr="008211FD" w:rsidTr="003E22B2">
        <w:trPr>
          <w:trHeight w:val="217"/>
        </w:trPr>
        <w:tc>
          <w:tcPr>
            <w:tcW w:w="380"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9</w:t>
            </w:r>
          </w:p>
        </w:tc>
        <w:tc>
          <w:tcPr>
            <w:tcW w:w="903"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both"/>
              <w:rPr>
                <w:rFonts w:ascii="Times New Roman" w:hAnsi="Times New Roman"/>
              </w:rPr>
            </w:pPr>
            <w:r w:rsidRPr="003E22B2">
              <w:rPr>
                <w:rFonts w:ascii="Times New Roman" w:hAnsi="Times New Roman"/>
              </w:rPr>
              <w:t>CVRD</w:t>
            </w:r>
          </w:p>
        </w:tc>
        <w:tc>
          <w:tcPr>
            <w:tcW w:w="52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8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20218,7</w:t>
            </w:r>
          </w:p>
        </w:tc>
        <w:tc>
          <w:tcPr>
            <w:tcW w:w="419"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69</w:t>
            </w:r>
          </w:p>
        </w:tc>
        <w:tc>
          <w:tcPr>
            <w:tcW w:w="901"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both"/>
              <w:rPr>
                <w:rFonts w:ascii="Times New Roman" w:hAnsi="Times New Roman"/>
              </w:rPr>
            </w:pPr>
            <w:r w:rsidRPr="003E22B2">
              <w:rPr>
                <w:rFonts w:ascii="Times New Roman" w:hAnsi="Times New Roman"/>
              </w:rPr>
              <w:t>Klabin</w:t>
            </w:r>
          </w:p>
        </w:tc>
        <w:tc>
          <w:tcPr>
            <w:tcW w:w="54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45"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3366,7</w:t>
            </w:r>
          </w:p>
        </w:tc>
      </w:tr>
      <w:tr w:rsidR="003E22B2" w:rsidRPr="008211FD" w:rsidTr="003E22B2">
        <w:trPr>
          <w:trHeight w:val="217"/>
        </w:trPr>
        <w:tc>
          <w:tcPr>
            <w:tcW w:w="380"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10</w:t>
            </w:r>
          </w:p>
        </w:tc>
        <w:tc>
          <w:tcPr>
            <w:tcW w:w="903"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both"/>
              <w:rPr>
                <w:rFonts w:ascii="Times New Roman" w:hAnsi="Times New Roman"/>
              </w:rPr>
            </w:pPr>
            <w:r w:rsidRPr="003E22B2">
              <w:rPr>
                <w:rFonts w:ascii="Times New Roman" w:hAnsi="Times New Roman"/>
              </w:rPr>
              <w:t>Telemar</w:t>
            </w:r>
          </w:p>
        </w:tc>
        <w:tc>
          <w:tcPr>
            <w:tcW w:w="52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8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19426,9</w:t>
            </w:r>
          </w:p>
        </w:tc>
        <w:tc>
          <w:tcPr>
            <w:tcW w:w="419"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82</w:t>
            </w:r>
          </w:p>
        </w:tc>
        <w:tc>
          <w:tcPr>
            <w:tcW w:w="901"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both"/>
              <w:rPr>
                <w:rFonts w:ascii="Times New Roman" w:hAnsi="Times New Roman"/>
              </w:rPr>
            </w:pPr>
            <w:r w:rsidRPr="003E22B2">
              <w:rPr>
                <w:rFonts w:ascii="Times New Roman" w:hAnsi="Times New Roman"/>
              </w:rPr>
              <w:t>Martins</w:t>
            </w:r>
          </w:p>
        </w:tc>
        <w:tc>
          <w:tcPr>
            <w:tcW w:w="54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45"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2522,0</w:t>
            </w:r>
          </w:p>
        </w:tc>
      </w:tr>
      <w:tr w:rsidR="003E22B2" w:rsidRPr="008211FD" w:rsidTr="003E22B2">
        <w:trPr>
          <w:trHeight w:val="217"/>
        </w:trPr>
        <w:tc>
          <w:tcPr>
            <w:tcW w:w="380"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12</w:t>
            </w:r>
          </w:p>
        </w:tc>
        <w:tc>
          <w:tcPr>
            <w:tcW w:w="903"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both"/>
              <w:rPr>
                <w:rFonts w:ascii="Times New Roman" w:hAnsi="Times New Roman"/>
              </w:rPr>
            </w:pPr>
            <w:r w:rsidRPr="003E22B2">
              <w:rPr>
                <w:rFonts w:ascii="Times New Roman" w:hAnsi="Times New Roman"/>
              </w:rPr>
              <w:t>Unibanco</w:t>
            </w:r>
          </w:p>
        </w:tc>
        <w:tc>
          <w:tcPr>
            <w:tcW w:w="52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8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18384,2</w:t>
            </w:r>
          </w:p>
        </w:tc>
        <w:tc>
          <w:tcPr>
            <w:tcW w:w="419"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83</w:t>
            </w:r>
          </w:p>
        </w:tc>
        <w:tc>
          <w:tcPr>
            <w:tcW w:w="901"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both"/>
              <w:rPr>
                <w:rFonts w:ascii="Times New Roman" w:hAnsi="Times New Roman"/>
              </w:rPr>
            </w:pPr>
            <w:r w:rsidRPr="003E22B2">
              <w:rPr>
                <w:rFonts w:ascii="Times New Roman" w:hAnsi="Times New Roman"/>
              </w:rPr>
              <w:t>Jereissati SP</w:t>
            </w:r>
          </w:p>
        </w:tc>
        <w:tc>
          <w:tcPr>
            <w:tcW w:w="54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45"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2468,2</w:t>
            </w:r>
          </w:p>
        </w:tc>
      </w:tr>
      <w:tr w:rsidR="003E22B2" w:rsidRPr="008211FD" w:rsidTr="003E22B2">
        <w:trPr>
          <w:trHeight w:val="217"/>
        </w:trPr>
        <w:tc>
          <w:tcPr>
            <w:tcW w:w="380"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13</w:t>
            </w:r>
          </w:p>
        </w:tc>
        <w:tc>
          <w:tcPr>
            <w:tcW w:w="903"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both"/>
              <w:rPr>
                <w:rFonts w:ascii="Times New Roman" w:hAnsi="Times New Roman"/>
              </w:rPr>
            </w:pPr>
            <w:r w:rsidRPr="003E22B2">
              <w:rPr>
                <w:rFonts w:ascii="Times New Roman" w:hAnsi="Times New Roman"/>
              </w:rPr>
              <w:t>Odebrecht</w:t>
            </w:r>
          </w:p>
        </w:tc>
        <w:tc>
          <w:tcPr>
            <w:tcW w:w="52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8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17335,3</w:t>
            </w:r>
          </w:p>
        </w:tc>
        <w:tc>
          <w:tcPr>
            <w:tcW w:w="419"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84</w:t>
            </w:r>
          </w:p>
        </w:tc>
        <w:tc>
          <w:tcPr>
            <w:tcW w:w="901"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both"/>
              <w:rPr>
                <w:rFonts w:ascii="Times New Roman" w:hAnsi="Times New Roman"/>
              </w:rPr>
            </w:pPr>
            <w:r w:rsidRPr="003E22B2">
              <w:rPr>
                <w:rFonts w:ascii="Times New Roman" w:hAnsi="Times New Roman"/>
              </w:rPr>
              <w:t>Alcoa</w:t>
            </w:r>
          </w:p>
        </w:tc>
        <w:tc>
          <w:tcPr>
            <w:tcW w:w="54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US</w:t>
            </w:r>
          </w:p>
        </w:tc>
        <w:tc>
          <w:tcPr>
            <w:tcW w:w="645"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2419,5</w:t>
            </w:r>
          </w:p>
        </w:tc>
      </w:tr>
      <w:tr w:rsidR="003E22B2" w:rsidRPr="008211FD" w:rsidTr="003E22B2">
        <w:trPr>
          <w:trHeight w:val="217"/>
        </w:trPr>
        <w:tc>
          <w:tcPr>
            <w:tcW w:w="380"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16</w:t>
            </w:r>
          </w:p>
        </w:tc>
        <w:tc>
          <w:tcPr>
            <w:tcW w:w="903"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both"/>
              <w:rPr>
                <w:rFonts w:ascii="Times New Roman" w:hAnsi="Times New Roman"/>
              </w:rPr>
            </w:pPr>
            <w:r w:rsidRPr="003E22B2">
              <w:rPr>
                <w:rFonts w:ascii="Times New Roman" w:hAnsi="Times New Roman"/>
              </w:rPr>
              <w:t>Gerdau</w:t>
            </w:r>
          </w:p>
        </w:tc>
        <w:tc>
          <w:tcPr>
            <w:tcW w:w="52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8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15783,0</w:t>
            </w:r>
          </w:p>
        </w:tc>
        <w:tc>
          <w:tcPr>
            <w:tcW w:w="419"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104</w:t>
            </w:r>
          </w:p>
        </w:tc>
        <w:tc>
          <w:tcPr>
            <w:tcW w:w="901"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both"/>
              <w:rPr>
                <w:rFonts w:ascii="Times New Roman" w:hAnsi="Times New Roman"/>
              </w:rPr>
            </w:pPr>
            <w:r w:rsidRPr="003E22B2">
              <w:rPr>
                <w:rFonts w:ascii="Times New Roman" w:hAnsi="Times New Roman"/>
              </w:rPr>
              <w:t>Citigroup</w:t>
            </w:r>
          </w:p>
        </w:tc>
        <w:tc>
          <w:tcPr>
            <w:tcW w:w="54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US</w:t>
            </w:r>
          </w:p>
        </w:tc>
        <w:tc>
          <w:tcPr>
            <w:tcW w:w="645"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1845,2</w:t>
            </w:r>
          </w:p>
        </w:tc>
      </w:tr>
      <w:tr w:rsidR="003E22B2" w:rsidRPr="008211FD" w:rsidTr="003E22B2">
        <w:trPr>
          <w:trHeight w:val="217"/>
        </w:trPr>
        <w:tc>
          <w:tcPr>
            <w:tcW w:w="380"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17</w:t>
            </w:r>
          </w:p>
        </w:tc>
        <w:tc>
          <w:tcPr>
            <w:tcW w:w="903"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both"/>
              <w:rPr>
                <w:rFonts w:ascii="Times New Roman" w:hAnsi="Times New Roman"/>
              </w:rPr>
            </w:pPr>
            <w:r w:rsidRPr="003E22B2">
              <w:rPr>
                <w:rFonts w:ascii="Times New Roman" w:hAnsi="Times New Roman"/>
              </w:rPr>
              <w:t>Fiat</w:t>
            </w:r>
          </w:p>
        </w:tc>
        <w:tc>
          <w:tcPr>
            <w:tcW w:w="52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IT</w:t>
            </w:r>
          </w:p>
        </w:tc>
        <w:tc>
          <w:tcPr>
            <w:tcW w:w="68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13623,2</w:t>
            </w:r>
          </w:p>
        </w:tc>
        <w:tc>
          <w:tcPr>
            <w:tcW w:w="419"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111</w:t>
            </w:r>
          </w:p>
        </w:tc>
        <w:tc>
          <w:tcPr>
            <w:tcW w:w="901"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both"/>
              <w:rPr>
                <w:rFonts w:ascii="Times New Roman" w:hAnsi="Times New Roman"/>
              </w:rPr>
            </w:pPr>
            <w:r w:rsidRPr="003E22B2">
              <w:rPr>
                <w:rFonts w:ascii="Times New Roman" w:hAnsi="Times New Roman"/>
              </w:rPr>
              <w:t>Vicunha</w:t>
            </w:r>
          </w:p>
        </w:tc>
        <w:tc>
          <w:tcPr>
            <w:tcW w:w="54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45"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1654,8</w:t>
            </w:r>
          </w:p>
        </w:tc>
      </w:tr>
      <w:tr w:rsidR="003E22B2" w:rsidRPr="008211FD" w:rsidTr="003E22B2">
        <w:trPr>
          <w:trHeight w:val="217"/>
        </w:trPr>
        <w:tc>
          <w:tcPr>
            <w:tcW w:w="380"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19</w:t>
            </w:r>
          </w:p>
        </w:tc>
        <w:tc>
          <w:tcPr>
            <w:tcW w:w="903"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both"/>
              <w:rPr>
                <w:rFonts w:ascii="Times New Roman" w:hAnsi="Times New Roman"/>
              </w:rPr>
            </w:pPr>
            <w:r w:rsidRPr="003E22B2">
              <w:rPr>
                <w:rFonts w:ascii="Times New Roman" w:hAnsi="Times New Roman"/>
              </w:rPr>
              <w:t>Pão de Açúcar</w:t>
            </w:r>
          </w:p>
        </w:tc>
        <w:tc>
          <w:tcPr>
            <w:tcW w:w="52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BR/FR</w:t>
            </w:r>
          </w:p>
        </w:tc>
        <w:tc>
          <w:tcPr>
            <w:tcW w:w="68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12788,4</w:t>
            </w:r>
          </w:p>
        </w:tc>
        <w:tc>
          <w:tcPr>
            <w:tcW w:w="419"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151</w:t>
            </w:r>
          </w:p>
        </w:tc>
        <w:tc>
          <w:tcPr>
            <w:tcW w:w="901"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both"/>
              <w:rPr>
                <w:rFonts w:ascii="Times New Roman" w:hAnsi="Times New Roman"/>
              </w:rPr>
            </w:pPr>
            <w:r w:rsidRPr="003E22B2">
              <w:rPr>
                <w:rFonts w:ascii="Times New Roman" w:hAnsi="Times New Roman"/>
              </w:rPr>
              <w:t>Dixie-Toga</w:t>
            </w:r>
          </w:p>
        </w:tc>
        <w:tc>
          <w:tcPr>
            <w:tcW w:w="54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45"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1032,2</w:t>
            </w:r>
          </w:p>
        </w:tc>
      </w:tr>
      <w:tr w:rsidR="003E22B2" w:rsidRPr="008211FD" w:rsidTr="003E22B2">
        <w:trPr>
          <w:trHeight w:val="217"/>
        </w:trPr>
        <w:tc>
          <w:tcPr>
            <w:tcW w:w="380"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21</w:t>
            </w:r>
          </w:p>
        </w:tc>
        <w:tc>
          <w:tcPr>
            <w:tcW w:w="903"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both"/>
              <w:rPr>
                <w:rFonts w:ascii="Times New Roman" w:hAnsi="Times New Roman"/>
              </w:rPr>
            </w:pPr>
            <w:r w:rsidRPr="003E22B2">
              <w:rPr>
                <w:rFonts w:ascii="Times New Roman" w:hAnsi="Times New Roman"/>
              </w:rPr>
              <w:t>Santander</w:t>
            </w:r>
          </w:p>
        </w:tc>
        <w:tc>
          <w:tcPr>
            <w:tcW w:w="52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EP</w:t>
            </w:r>
          </w:p>
        </w:tc>
        <w:tc>
          <w:tcPr>
            <w:tcW w:w="68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12305,7</w:t>
            </w:r>
          </w:p>
        </w:tc>
        <w:tc>
          <w:tcPr>
            <w:tcW w:w="419"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171</w:t>
            </w:r>
          </w:p>
        </w:tc>
        <w:tc>
          <w:tcPr>
            <w:tcW w:w="901"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both"/>
              <w:rPr>
                <w:rFonts w:ascii="Times New Roman" w:hAnsi="Times New Roman"/>
              </w:rPr>
            </w:pPr>
            <w:r w:rsidRPr="003E22B2">
              <w:rPr>
                <w:rFonts w:ascii="Times New Roman" w:hAnsi="Times New Roman"/>
              </w:rPr>
              <w:t>Iochpe-Maxion</w:t>
            </w:r>
          </w:p>
        </w:tc>
        <w:tc>
          <w:tcPr>
            <w:tcW w:w="54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45"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749,0</w:t>
            </w:r>
          </w:p>
        </w:tc>
      </w:tr>
      <w:tr w:rsidR="003E22B2" w:rsidRPr="008211FD" w:rsidTr="003E22B2">
        <w:trPr>
          <w:trHeight w:val="217"/>
        </w:trPr>
        <w:tc>
          <w:tcPr>
            <w:tcW w:w="380"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23</w:t>
            </w:r>
          </w:p>
        </w:tc>
        <w:tc>
          <w:tcPr>
            <w:tcW w:w="903"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both"/>
              <w:rPr>
                <w:rFonts w:ascii="Times New Roman" w:hAnsi="Times New Roman"/>
              </w:rPr>
            </w:pPr>
            <w:r w:rsidRPr="003E22B2">
              <w:rPr>
                <w:rFonts w:ascii="Times New Roman" w:hAnsi="Times New Roman"/>
              </w:rPr>
              <w:t>ABN AMRO</w:t>
            </w:r>
          </w:p>
        </w:tc>
        <w:tc>
          <w:tcPr>
            <w:tcW w:w="52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HO</w:t>
            </w:r>
          </w:p>
        </w:tc>
        <w:tc>
          <w:tcPr>
            <w:tcW w:w="68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11699,2</w:t>
            </w:r>
          </w:p>
        </w:tc>
        <w:tc>
          <w:tcPr>
            <w:tcW w:w="419"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179</w:t>
            </w:r>
          </w:p>
        </w:tc>
        <w:tc>
          <w:tcPr>
            <w:tcW w:w="901"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both"/>
              <w:rPr>
                <w:rFonts w:ascii="Times New Roman" w:hAnsi="Times New Roman"/>
              </w:rPr>
            </w:pPr>
            <w:r w:rsidRPr="003E22B2">
              <w:rPr>
                <w:rFonts w:ascii="Times New Roman" w:hAnsi="Times New Roman"/>
              </w:rPr>
              <w:t>Banco Fibra</w:t>
            </w:r>
          </w:p>
        </w:tc>
        <w:tc>
          <w:tcPr>
            <w:tcW w:w="544"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45" w:type="pct"/>
            <w:tcBorders>
              <w:top w:val="single" w:sz="8" w:space="0" w:color="4F81BD"/>
              <w:left w:val="single" w:sz="8" w:space="0" w:color="4F81BD"/>
              <w:bottom w:val="single" w:sz="8" w:space="0" w:color="4F81BD"/>
              <w:right w:val="single" w:sz="8" w:space="0" w:color="4F81BD"/>
            </w:tcBorders>
            <w:shd w:val="clear" w:color="auto" w:fill="D3DFEE"/>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679,2</w:t>
            </w:r>
          </w:p>
        </w:tc>
      </w:tr>
      <w:tr w:rsidR="003E22B2" w:rsidRPr="008211FD" w:rsidTr="003E22B2">
        <w:trPr>
          <w:trHeight w:val="228"/>
        </w:trPr>
        <w:tc>
          <w:tcPr>
            <w:tcW w:w="380"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24</w:t>
            </w:r>
          </w:p>
        </w:tc>
        <w:tc>
          <w:tcPr>
            <w:tcW w:w="903"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both"/>
              <w:rPr>
                <w:rFonts w:ascii="Times New Roman" w:hAnsi="Times New Roman"/>
              </w:rPr>
            </w:pPr>
            <w:r w:rsidRPr="003E22B2">
              <w:rPr>
                <w:rFonts w:ascii="Times New Roman" w:hAnsi="Times New Roman"/>
              </w:rPr>
              <w:t>Usiminas</w:t>
            </w:r>
          </w:p>
        </w:tc>
        <w:tc>
          <w:tcPr>
            <w:tcW w:w="52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BR/JP</w:t>
            </w:r>
          </w:p>
        </w:tc>
        <w:tc>
          <w:tcPr>
            <w:tcW w:w="68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11095,6</w:t>
            </w:r>
          </w:p>
        </w:tc>
        <w:tc>
          <w:tcPr>
            <w:tcW w:w="419"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spacing w:after="0" w:line="240" w:lineRule="auto"/>
              <w:jc w:val="both"/>
              <w:rPr>
                <w:rFonts w:ascii="Times New Roman" w:eastAsia="Times New Roman" w:hAnsi="Times New Roman"/>
                <w:b/>
                <w:bCs/>
                <w:sz w:val="20"/>
                <w:szCs w:val="20"/>
              </w:rPr>
            </w:pPr>
            <w:r w:rsidRPr="003E22B2">
              <w:rPr>
                <w:rFonts w:ascii="Times New Roman" w:eastAsia="Times New Roman" w:hAnsi="Times New Roman"/>
                <w:b/>
                <w:bCs/>
                <w:sz w:val="20"/>
                <w:szCs w:val="20"/>
              </w:rPr>
              <w:t>196</w:t>
            </w:r>
          </w:p>
        </w:tc>
        <w:tc>
          <w:tcPr>
            <w:tcW w:w="901"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both"/>
              <w:rPr>
                <w:rFonts w:ascii="Times New Roman" w:hAnsi="Times New Roman"/>
              </w:rPr>
            </w:pPr>
            <w:r w:rsidRPr="003E22B2">
              <w:rPr>
                <w:rFonts w:ascii="Times New Roman" w:hAnsi="Times New Roman"/>
              </w:rPr>
              <w:t>Gradiente</w:t>
            </w:r>
          </w:p>
        </w:tc>
        <w:tc>
          <w:tcPr>
            <w:tcW w:w="544"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BR</w:t>
            </w:r>
          </w:p>
        </w:tc>
        <w:tc>
          <w:tcPr>
            <w:tcW w:w="645" w:type="pct"/>
            <w:tcBorders>
              <w:top w:val="single" w:sz="8" w:space="0" w:color="4F81BD"/>
              <w:left w:val="single" w:sz="8" w:space="0" w:color="4F81BD"/>
              <w:bottom w:val="single" w:sz="8" w:space="0" w:color="4F81BD"/>
              <w:right w:val="single" w:sz="8" w:space="0" w:color="4F81BD"/>
            </w:tcBorders>
          </w:tcPr>
          <w:p w:rsidR="003E22B2" w:rsidRPr="003E22B2" w:rsidRDefault="003E22B2" w:rsidP="00FE30AE">
            <w:pPr>
              <w:pStyle w:val="Textodenotaderodap"/>
              <w:jc w:val="center"/>
              <w:rPr>
                <w:rFonts w:ascii="Times New Roman" w:hAnsi="Times New Roman"/>
              </w:rPr>
            </w:pPr>
            <w:r w:rsidRPr="003E22B2">
              <w:rPr>
                <w:rFonts w:ascii="Times New Roman" w:hAnsi="Times New Roman"/>
              </w:rPr>
              <w:t>530,3</w:t>
            </w:r>
          </w:p>
        </w:tc>
      </w:tr>
    </w:tbl>
    <w:p w:rsidR="00D1400E" w:rsidRPr="003E22B2" w:rsidRDefault="00D1400E" w:rsidP="00D1400E">
      <w:pPr>
        <w:spacing w:after="0" w:line="360" w:lineRule="auto"/>
        <w:jc w:val="both"/>
        <w:rPr>
          <w:rFonts w:ascii="Times New Roman" w:hAnsi="Times New Roman"/>
          <w:sz w:val="24"/>
          <w:szCs w:val="24"/>
        </w:rPr>
      </w:pPr>
      <w:r>
        <w:rPr>
          <w:rFonts w:ascii="Times New Roman" w:hAnsi="Times New Roman"/>
          <w:b/>
          <w:sz w:val="18"/>
          <w:szCs w:val="18"/>
        </w:rPr>
        <w:t>Elaboração própria</w:t>
      </w:r>
      <w:r w:rsidR="003E22B2">
        <w:rPr>
          <w:rFonts w:ascii="Times New Roman" w:hAnsi="Times New Roman"/>
          <w:b/>
          <w:sz w:val="18"/>
          <w:szCs w:val="18"/>
        </w:rPr>
        <w:t xml:space="preserve">. Fonte: </w:t>
      </w:r>
      <w:r w:rsidR="003E22B2" w:rsidRPr="003E22B2">
        <w:rPr>
          <w:rFonts w:ascii="Times New Roman" w:hAnsi="Times New Roman"/>
          <w:sz w:val="18"/>
          <w:szCs w:val="18"/>
        </w:rPr>
        <w:t xml:space="preserve">Revista </w:t>
      </w:r>
      <w:r w:rsidR="003E22B2">
        <w:rPr>
          <w:rFonts w:ascii="Times New Roman" w:hAnsi="Times New Roman"/>
          <w:sz w:val="18"/>
          <w:szCs w:val="18"/>
        </w:rPr>
        <w:t>Valor Grandes Grupos 2004.</w:t>
      </w:r>
    </w:p>
    <w:p w:rsidR="007D767D" w:rsidRPr="00C3642C" w:rsidRDefault="00FD610C" w:rsidP="00FD610C">
      <w:pPr>
        <w:spacing w:before="240" w:after="0" w:line="360" w:lineRule="auto"/>
        <w:ind w:firstLine="708"/>
        <w:jc w:val="both"/>
        <w:rPr>
          <w:rFonts w:ascii="Times New Roman" w:hAnsi="Times New Roman"/>
          <w:sz w:val="24"/>
          <w:szCs w:val="24"/>
        </w:rPr>
      </w:pPr>
      <w:r w:rsidRPr="008B536D">
        <w:rPr>
          <w:rFonts w:ascii="Times New Roman" w:hAnsi="Times New Roman"/>
          <w:sz w:val="24"/>
          <w:szCs w:val="24"/>
        </w:rPr>
        <w:t xml:space="preserve">O ranking foi elaborado a partir da revista Valor Grandes Grupos 2004. Grandes empresas não foram encontradas sequer em </w:t>
      </w:r>
      <w:r>
        <w:rPr>
          <w:rFonts w:ascii="Times New Roman" w:hAnsi="Times New Roman"/>
          <w:sz w:val="24"/>
          <w:szCs w:val="24"/>
        </w:rPr>
        <w:t xml:space="preserve">rankings </w:t>
      </w:r>
      <w:r w:rsidR="00071C54">
        <w:rPr>
          <w:rFonts w:ascii="Times New Roman" w:hAnsi="Times New Roman"/>
          <w:sz w:val="24"/>
          <w:szCs w:val="24"/>
        </w:rPr>
        <w:t>posteriores</w:t>
      </w:r>
      <w:r>
        <w:rPr>
          <w:rFonts w:ascii="Times New Roman" w:hAnsi="Times New Roman"/>
          <w:sz w:val="24"/>
          <w:szCs w:val="24"/>
        </w:rPr>
        <w:t>: Grupo Rosset,</w:t>
      </w:r>
      <w:r w:rsidRPr="008B536D">
        <w:rPr>
          <w:rFonts w:ascii="Times New Roman" w:hAnsi="Times New Roman"/>
          <w:sz w:val="24"/>
          <w:szCs w:val="24"/>
        </w:rPr>
        <w:t xml:space="preserve"> Grupo Springer, Grupo Dudalina, CBMM</w:t>
      </w:r>
      <w:r w:rsidR="007D767D">
        <w:rPr>
          <w:rFonts w:ascii="Times New Roman" w:hAnsi="Times New Roman"/>
          <w:sz w:val="24"/>
          <w:szCs w:val="24"/>
        </w:rPr>
        <w:t xml:space="preserve">, </w:t>
      </w:r>
      <w:r w:rsidR="007D767D" w:rsidRPr="008B536D">
        <w:rPr>
          <w:rFonts w:ascii="Times New Roman" w:hAnsi="Times New Roman"/>
          <w:sz w:val="24"/>
          <w:szCs w:val="24"/>
        </w:rPr>
        <w:t>Sucocítrico Cutrale</w:t>
      </w:r>
      <w:r w:rsidRPr="008B536D">
        <w:rPr>
          <w:rFonts w:ascii="Times New Roman" w:hAnsi="Times New Roman"/>
          <w:sz w:val="24"/>
          <w:szCs w:val="24"/>
        </w:rPr>
        <w:t xml:space="preserve">. </w:t>
      </w:r>
      <w:r w:rsidR="0032612B" w:rsidRPr="00C3642C">
        <w:rPr>
          <w:rFonts w:ascii="Times New Roman" w:hAnsi="Times New Roman"/>
          <w:sz w:val="24"/>
          <w:szCs w:val="24"/>
        </w:rPr>
        <w:t>Is</w:t>
      </w:r>
      <w:r w:rsidR="00D36C3F" w:rsidRPr="00C3642C">
        <w:rPr>
          <w:rFonts w:ascii="Times New Roman" w:hAnsi="Times New Roman"/>
          <w:sz w:val="24"/>
          <w:szCs w:val="24"/>
        </w:rPr>
        <w:t>s</w:t>
      </w:r>
      <w:r w:rsidR="0032612B" w:rsidRPr="00C3642C">
        <w:rPr>
          <w:rFonts w:ascii="Times New Roman" w:hAnsi="Times New Roman"/>
          <w:sz w:val="24"/>
          <w:szCs w:val="24"/>
        </w:rPr>
        <w:t xml:space="preserve">o significa que </w:t>
      </w:r>
      <w:r w:rsidR="007D767D" w:rsidRPr="00C3642C">
        <w:rPr>
          <w:rFonts w:ascii="Times New Roman" w:hAnsi="Times New Roman"/>
          <w:sz w:val="24"/>
          <w:szCs w:val="24"/>
        </w:rPr>
        <w:t>n</w:t>
      </w:r>
      <w:r w:rsidR="0032612B" w:rsidRPr="00C3642C">
        <w:rPr>
          <w:rFonts w:ascii="Times New Roman" w:hAnsi="Times New Roman"/>
          <w:sz w:val="24"/>
          <w:szCs w:val="24"/>
        </w:rPr>
        <w:t xml:space="preserve">os </w:t>
      </w:r>
      <w:r w:rsidR="007D767D" w:rsidRPr="00C3642C">
        <w:rPr>
          <w:rFonts w:ascii="Times New Roman" w:hAnsi="Times New Roman"/>
          <w:sz w:val="24"/>
          <w:szCs w:val="24"/>
        </w:rPr>
        <w:t>três</w:t>
      </w:r>
      <w:r w:rsidR="0032612B" w:rsidRPr="00C3642C">
        <w:rPr>
          <w:rFonts w:ascii="Times New Roman" w:hAnsi="Times New Roman"/>
          <w:sz w:val="24"/>
          <w:szCs w:val="24"/>
        </w:rPr>
        <w:t xml:space="preserve"> primeiros grupos</w:t>
      </w:r>
      <w:r w:rsidR="007D767D" w:rsidRPr="00C3642C">
        <w:rPr>
          <w:rFonts w:ascii="Times New Roman" w:hAnsi="Times New Roman"/>
          <w:sz w:val="24"/>
          <w:szCs w:val="24"/>
        </w:rPr>
        <w:t xml:space="preserve"> a</w:t>
      </w:r>
      <w:r w:rsidR="0032612B" w:rsidRPr="00C3642C">
        <w:rPr>
          <w:rFonts w:ascii="Times New Roman" w:hAnsi="Times New Roman"/>
          <w:sz w:val="24"/>
          <w:szCs w:val="24"/>
        </w:rPr>
        <w:t xml:space="preserve"> Receita Bruta (RB</w:t>
      </w:r>
      <w:r w:rsidR="00761765" w:rsidRPr="00C3642C">
        <w:rPr>
          <w:rFonts w:ascii="Times New Roman" w:hAnsi="Times New Roman"/>
          <w:sz w:val="24"/>
          <w:szCs w:val="24"/>
        </w:rPr>
        <w:t>), naquele ano,</w:t>
      </w:r>
      <w:r w:rsidR="007D767D" w:rsidRPr="00C3642C">
        <w:rPr>
          <w:rFonts w:ascii="Times New Roman" w:hAnsi="Times New Roman"/>
          <w:sz w:val="24"/>
          <w:szCs w:val="24"/>
        </w:rPr>
        <w:t xml:space="preserve"> não alcançou</w:t>
      </w:r>
      <w:r w:rsidR="0032612B" w:rsidRPr="00C3642C">
        <w:rPr>
          <w:rFonts w:ascii="Times New Roman" w:hAnsi="Times New Roman"/>
          <w:sz w:val="24"/>
          <w:szCs w:val="24"/>
        </w:rPr>
        <w:t xml:space="preserve"> recursos suficientes para figurar entre os 200 maiores grupos do país</w:t>
      </w:r>
      <w:r w:rsidR="00761765" w:rsidRPr="00C3642C">
        <w:rPr>
          <w:rFonts w:ascii="Times New Roman" w:hAnsi="Times New Roman"/>
          <w:sz w:val="24"/>
          <w:szCs w:val="24"/>
        </w:rPr>
        <w:t xml:space="preserve">. </w:t>
      </w:r>
      <w:r w:rsidR="007D767D" w:rsidRPr="00C3642C">
        <w:rPr>
          <w:rFonts w:ascii="Times New Roman" w:hAnsi="Times New Roman"/>
          <w:sz w:val="24"/>
          <w:szCs w:val="24"/>
        </w:rPr>
        <w:t xml:space="preserve">Quanto ao último é intrigante como o grupo se destacava, durante os anos 2000, como a terceira maior exportadora de suco de laranja do mundo e não figurava em nenuhum dos rankings da revista. Aliás, a pesquisa  verificou grandes dificuldades em colher dados sobre a Cutrale. </w:t>
      </w:r>
    </w:p>
    <w:p w:rsidR="00FD610C" w:rsidRDefault="00FD610C" w:rsidP="007D767D">
      <w:pPr>
        <w:spacing w:after="0" w:line="360" w:lineRule="auto"/>
        <w:ind w:firstLine="708"/>
        <w:jc w:val="both"/>
        <w:rPr>
          <w:rFonts w:ascii="Times New Roman" w:hAnsi="Times New Roman"/>
          <w:sz w:val="24"/>
          <w:szCs w:val="24"/>
        </w:rPr>
      </w:pPr>
      <w:r w:rsidRPr="008B536D">
        <w:rPr>
          <w:rFonts w:ascii="Times New Roman" w:hAnsi="Times New Roman"/>
          <w:sz w:val="24"/>
          <w:szCs w:val="24"/>
        </w:rPr>
        <w:t xml:space="preserve">Em outros casos, encontramos </w:t>
      </w:r>
      <w:r w:rsidR="007D767D">
        <w:rPr>
          <w:rFonts w:ascii="Times New Roman" w:hAnsi="Times New Roman"/>
          <w:sz w:val="24"/>
          <w:szCs w:val="24"/>
        </w:rPr>
        <w:t>alguns grupos n</w:t>
      </w:r>
      <w:r w:rsidRPr="008B536D">
        <w:rPr>
          <w:rFonts w:ascii="Times New Roman" w:hAnsi="Times New Roman"/>
          <w:sz w:val="24"/>
          <w:szCs w:val="24"/>
        </w:rPr>
        <w:t>o ranking apenas em 2007: Rodobens Grupo Verdi (RB:</w:t>
      </w:r>
      <w:r>
        <w:rPr>
          <w:rFonts w:ascii="Times New Roman" w:hAnsi="Times New Roman"/>
          <w:sz w:val="24"/>
          <w:szCs w:val="24"/>
        </w:rPr>
        <w:t xml:space="preserve"> R$ 2161,4 milhões) eGrupo </w:t>
      </w:r>
      <w:r w:rsidRPr="008B536D">
        <w:rPr>
          <w:rFonts w:ascii="Times New Roman" w:hAnsi="Times New Roman"/>
          <w:sz w:val="24"/>
          <w:szCs w:val="24"/>
        </w:rPr>
        <w:t>Alusa (RB: R$ 707,2 milhões). Somente em 2008 o Grupo J. Macêdo apareceu no ranking do Valor com RB de R$ 1262,8 milhões</w:t>
      </w:r>
      <w:r>
        <w:rPr>
          <w:rFonts w:ascii="Times New Roman" w:hAnsi="Times New Roman"/>
          <w:sz w:val="24"/>
          <w:szCs w:val="24"/>
        </w:rPr>
        <w:t xml:space="preserve">. Nestas situações decidimos não incorporar tais grupos no ranking </w:t>
      </w:r>
      <w:r w:rsidR="007D767D">
        <w:rPr>
          <w:rFonts w:ascii="Times New Roman" w:hAnsi="Times New Roman"/>
          <w:sz w:val="24"/>
          <w:szCs w:val="24"/>
        </w:rPr>
        <w:t>acima (</w:t>
      </w:r>
      <w:r>
        <w:rPr>
          <w:rFonts w:ascii="Times New Roman" w:hAnsi="Times New Roman"/>
          <w:sz w:val="24"/>
          <w:szCs w:val="24"/>
        </w:rPr>
        <w:t>de 2004</w:t>
      </w:r>
      <w:r w:rsidR="007D767D">
        <w:rPr>
          <w:rFonts w:ascii="Times New Roman" w:hAnsi="Times New Roman"/>
          <w:sz w:val="24"/>
          <w:szCs w:val="24"/>
        </w:rPr>
        <w:t>)</w:t>
      </w:r>
      <w:r>
        <w:rPr>
          <w:rFonts w:ascii="Times New Roman" w:hAnsi="Times New Roman"/>
          <w:sz w:val="24"/>
          <w:szCs w:val="24"/>
        </w:rPr>
        <w:t xml:space="preserve">, pois </w:t>
      </w:r>
      <w:r w:rsidR="007D767D">
        <w:rPr>
          <w:rFonts w:ascii="Times New Roman" w:hAnsi="Times New Roman"/>
          <w:sz w:val="24"/>
          <w:szCs w:val="24"/>
        </w:rPr>
        <w:t>o valor da</w:t>
      </w:r>
      <w:r>
        <w:rPr>
          <w:rFonts w:ascii="Times New Roman" w:hAnsi="Times New Roman"/>
          <w:sz w:val="24"/>
          <w:szCs w:val="24"/>
        </w:rPr>
        <w:t xml:space="preserve"> Receita Bruta (RB) </w:t>
      </w:r>
      <w:r w:rsidR="007D767D">
        <w:rPr>
          <w:rFonts w:ascii="Times New Roman" w:hAnsi="Times New Roman"/>
          <w:sz w:val="24"/>
          <w:szCs w:val="24"/>
        </w:rPr>
        <w:t xml:space="preserve">em 2007 e 2008 já não mais correspondia, obviamente, </w:t>
      </w:r>
      <w:r>
        <w:rPr>
          <w:rFonts w:ascii="Times New Roman" w:hAnsi="Times New Roman"/>
          <w:sz w:val="24"/>
          <w:szCs w:val="24"/>
        </w:rPr>
        <w:t xml:space="preserve">à </w:t>
      </w:r>
      <w:r w:rsidR="007D767D">
        <w:rPr>
          <w:rFonts w:ascii="Times New Roman" w:hAnsi="Times New Roman"/>
          <w:sz w:val="24"/>
          <w:szCs w:val="24"/>
        </w:rPr>
        <w:t>posição</w:t>
      </w:r>
      <w:r>
        <w:rPr>
          <w:rFonts w:ascii="Times New Roman" w:hAnsi="Times New Roman"/>
          <w:sz w:val="24"/>
          <w:szCs w:val="24"/>
        </w:rPr>
        <w:t xml:space="preserve"> 2004. Outra observação é necessária: alguns grandes grupos (Odebrecht, Fiat, Nestlé e Martins) não compunham o CDES em 2003 mas, mesmo assim, decidimos trazê-los a fim de integrar a tabela acima pois, nestes casos, eles participavam do ranking da revista Valor em 2004. O propósito foi o de observar o peso dos grupos e firmas </w:t>
      </w:r>
      <w:r w:rsidR="00FA22D6">
        <w:rPr>
          <w:rFonts w:ascii="Times New Roman" w:hAnsi="Times New Roman"/>
          <w:sz w:val="24"/>
          <w:szCs w:val="24"/>
        </w:rPr>
        <w:t>representados</w:t>
      </w:r>
      <w:r>
        <w:rPr>
          <w:rFonts w:ascii="Times New Roman" w:hAnsi="Times New Roman"/>
          <w:sz w:val="24"/>
          <w:szCs w:val="24"/>
        </w:rPr>
        <w:t xml:space="preserve"> no CDES na economia brasileira no período 2003-2010, </w:t>
      </w:r>
      <w:r>
        <w:rPr>
          <w:rFonts w:ascii="Times New Roman" w:hAnsi="Times New Roman"/>
          <w:i/>
          <w:sz w:val="24"/>
          <w:szCs w:val="24"/>
        </w:rPr>
        <w:t xml:space="preserve">malgrado </w:t>
      </w:r>
      <w:r w:rsidRPr="002D26B8">
        <w:rPr>
          <w:rFonts w:ascii="Times New Roman" w:hAnsi="Times New Roman"/>
          <w:i/>
          <w:sz w:val="24"/>
          <w:szCs w:val="24"/>
        </w:rPr>
        <w:t>as inclusões antecipadas</w:t>
      </w:r>
      <w:r w:rsidR="007D767D">
        <w:rPr>
          <w:rFonts w:ascii="Times New Roman" w:hAnsi="Times New Roman"/>
          <w:sz w:val="24"/>
          <w:szCs w:val="24"/>
        </w:rPr>
        <w:t>(no caso dos grupos Odebrecht, Fiat, Nestlé e Martins)</w:t>
      </w:r>
      <w:r w:rsidRPr="002D26B8">
        <w:rPr>
          <w:rFonts w:ascii="Times New Roman" w:hAnsi="Times New Roman"/>
          <w:i/>
          <w:sz w:val="24"/>
          <w:szCs w:val="24"/>
        </w:rPr>
        <w:t>e</w:t>
      </w:r>
      <w:r w:rsidR="007D767D">
        <w:rPr>
          <w:rFonts w:ascii="Times New Roman" w:hAnsi="Times New Roman"/>
          <w:i/>
          <w:sz w:val="24"/>
          <w:szCs w:val="24"/>
        </w:rPr>
        <w:t>d</w:t>
      </w:r>
      <w:r w:rsidRPr="00590086">
        <w:rPr>
          <w:rFonts w:ascii="Times New Roman" w:hAnsi="Times New Roman"/>
          <w:i/>
          <w:sz w:val="24"/>
          <w:szCs w:val="24"/>
        </w:rPr>
        <w:t xml:space="preserve">as ausências </w:t>
      </w:r>
      <w:r w:rsidRPr="002D26B8">
        <w:rPr>
          <w:rFonts w:ascii="Times New Roman" w:hAnsi="Times New Roman"/>
          <w:i/>
          <w:sz w:val="24"/>
          <w:szCs w:val="24"/>
        </w:rPr>
        <w:t>referidas</w:t>
      </w:r>
      <w:r w:rsidR="00FA22D6">
        <w:rPr>
          <w:rFonts w:ascii="Times New Roman" w:hAnsi="Times New Roman"/>
          <w:sz w:val="24"/>
          <w:szCs w:val="24"/>
        </w:rPr>
        <w:t>(Grupo Rosset,</w:t>
      </w:r>
      <w:r w:rsidR="00FA22D6" w:rsidRPr="008B536D">
        <w:rPr>
          <w:rFonts w:ascii="Times New Roman" w:hAnsi="Times New Roman"/>
          <w:sz w:val="24"/>
          <w:szCs w:val="24"/>
        </w:rPr>
        <w:t xml:space="preserve"> Grupo Springer, Grupo Dudalina, CBMM</w:t>
      </w:r>
      <w:r w:rsidR="00FA22D6">
        <w:rPr>
          <w:rFonts w:ascii="Times New Roman" w:hAnsi="Times New Roman"/>
          <w:sz w:val="24"/>
          <w:szCs w:val="24"/>
        </w:rPr>
        <w:t xml:space="preserve">, </w:t>
      </w:r>
      <w:r w:rsidR="00FA22D6" w:rsidRPr="008B536D">
        <w:rPr>
          <w:rFonts w:ascii="Times New Roman" w:hAnsi="Times New Roman"/>
          <w:sz w:val="24"/>
          <w:szCs w:val="24"/>
        </w:rPr>
        <w:t>Sucocítrico Cutrale</w:t>
      </w:r>
      <w:r w:rsidR="00FA22D6">
        <w:rPr>
          <w:rFonts w:ascii="Times New Roman" w:hAnsi="Times New Roman"/>
          <w:sz w:val="24"/>
          <w:szCs w:val="24"/>
        </w:rPr>
        <w:t xml:space="preserve">, </w:t>
      </w:r>
      <w:r w:rsidR="00FA22D6" w:rsidRPr="008B536D">
        <w:rPr>
          <w:rFonts w:ascii="Times New Roman" w:hAnsi="Times New Roman"/>
          <w:sz w:val="24"/>
          <w:szCs w:val="24"/>
        </w:rPr>
        <w:t>Rodobens Grupo Verdi</w:t>
      </w:r>
      <w:r w:rsidR="00FA22D6">
        <w:rPr>
          <w:rFonts w:ascii="Times New Roman" w:hAnsi="Times New Roman"/>
          <w:sz w:val="24"/>
          <w:szCs w:val="24"/>
        </w:rPr>
        <w:t xml:space="preserve">, Grupo </w:t>
      </w:r>
      <w:r w:rsidR="00FA22D6" w:rsidRPr="008B536D">
        <w:rPr>
          <w:rFonts w:ascii="Times New Roman" w:hAnsi="Times New Roman"/>
          <w:sz w:val="24"/>
          <w:szCs w:val="24"/>
        </w:rPr>
        <w:t>Alusa</w:t>
      </w:r>
      <w:r w:rsidR="00FA22D6">
        <w:rPr>
          <w:rFonts w:ascii="Times New Roman" w:hAnsi="Times New Roman"/>
          <w:sz w:val="24"/>
          <w:szCs w:val="24"/>
        </w:rPr>
        <w:t>,</w:t>
      </w:r>
      <w:r w:rsidR="00FA22D6" w:rsidRPr="008B536D">
        <w:rPr>
          <w:rFonts w:ascii="Times New Roman" w:hAnsi="Times New Roman"/>
          <w:sz w:val="24"/>
          <w:szCs w:val="24"/>
        </w:rPr>
        <w:t>Grupo J. Macêdo</w:t>
      </w:r>
      <w:r w:rsidR="00FA22D6">
        <w:rPr>
          <w:rFonts w:ascii="Times New Roman" w:hAnsi="Times New Roman"/>
          <w:sz w:val="24"/>
          <w:szCs w:val="24"/>
        </w:rPr>
        <w:t xml:space="preserve">)  </w:t>
      </w:r>
      <w:r>
        <w:rPr>
          <w:rFonts w:ascii="Times New Roman" w:hAnsi="Times New Roman"/>
          <w:sz w:val="24"/>
          <w:szCs w:val="24"/>
        </w:rPr>
        <w:t xml:space="preserve">e </w:t>
      </w:r>
      <w:r w:rsidRPr="00C163F3">
        <w:rPr>
          <w:rFonts w:ascii="Times New Roman" w:hAnsi="Times New Roman"/>
          <w:sz w:val="24"/>
          <w:szCs w:val="24"/>
        </w:rPr>
        <w:t>d</w:t>
      </w:r>
      <w:r>
        <w:rPr>
          <w:rFonts w:ascii="Times New Roman" w:hAnsi="Times New Roman"/>
          <w:sz w:val="24"/>
          <w:szCs w:val="24"/>
        </w:rPr>
        <w:t>e outras cujos proprietários, notadamente, ingressavam no CDES não pelo crivo econômico, mas muito em virtude de sua posição de organizadores de entidades da sociedade civil e, em alguns casos, coligado à proximidade amistosa com o então Presidente Lula da Silva.</w:t>
      </w:r>
      <w:r>
        <w:rPr>
          <w:rStyle w:val="Refdenotaderodap"/>
          <w:rFonts w:ascii="Times New Roman" w:hAnsi="Times New Roman"/>
          <w:sz w:val="24"/>
          <w:szCs w:val="24"/>
        </w:rPr>
        <w:footnoteReference w:id="316"/>
      </w:r>
    </w:p>
    <w:p w:rsidR="00FD610C" w:rsidRDefault="00FD610C" w:rsidP="00FD610C">
      <w:pPr>
        <w:spacing w:after="0" w:line="360" w:lineRule="auto"/>
        <w:ind w:firstLine="708"/>
        <w:jc w:val="both"/>
        <w:rPr>
          <w:rFonts w:ascii="Times New Roman" w:hAnsi="Times New Roman"/>
          <w:sz w:val="24"/>
          <w:szCs w:val="24"/>
        </w:rPr>
      </w:pPr>
      <w:r>
        <w:rPr>
          <w:rFonts w:ascii="Times New Roman" w:hAnsi="Times New Roman"/>
          <w:sz w:val="24"/>
          <w:szCs w:val="24"/>
        </w:rPr>
        <w:t>O valor da receita bruta total auferida pelos grandes grupos ec</w:t>
      </w:r>
      <w:r w:rsidR="003044EA">
        <w:rPr>
          <w:rFonts w:ascii="Times New Roman" w:hAnsi="Times New Roman"/>
          <w:sz w:val="24"/>
          <w:szCs w:val="24"/>
        </w:rPr>
        <w:t>onômicos arrolados na tabela 2.3</w:t>
      </w:r>
      <w:r>
        <w:rPr>
          <w:rFonts w:ascii="Times New Roman" w:hAnsi="Times New Roman"/>
          <w:sz w:val="24"/>
          <w:szCs w:val="24"/>
        </w:rPr>
        <w:t xml:space="preserve"> gira algo em torno de R$ 316.865,7 bilhões, o que equivale 20,36% do PIB em 2003, cujo montante foi de R$ 1.556 trilhão.</w:t>
      </w:r>
      <w:r>
        <w:rPr>
          <w:rStyle w:val="Refdenotaderodap"/>
          <w:rFonts w:ascii="Times New Roman" w:hAnsi="Times New Roman"/>
          <w:sz w:val="24"/>
          <w:szCs w:val="24"/>
        </w:rPr>
        <w:footnoteReference w:id="317"/>
      </w:r>
      <w:r>
        <w:rPr>
          <w:rFonts w:ascii="Times New Roman" w:hAnsi="Times New Roman"/>
          <w:sz w:val="24"/>
          <w:szCs w:val="24"/>
        </w:rPr>
        <w:t xml:space="preserve"> Ou seja, um quinto do total das riquezas geradas no país em 2003 se encontrava nas mãos de apenas 28 grupos empresariais cujos proprietários, </w:t>
      </w:r>
      <w:r w:rsidR="00D1400E">
        <w:rPr>
          <w:rFonts w:ascii="Times New Roman" w:hAnsi="Times New Roman"/>
          <w:sz w:val="24"/>
          <w:szCs w:val="24"/>
        </w:rPr>
        <w:t>s</w:t>
      </w:r>
      <w:r w:rsidR="00CA0999">
        <w:rPr>
          <w:rFonts w:ascii="Times New Roman" w:hAnsi="Times New Roman"/>
          <w:sz w:val="24"/>
          <w:szCs w:val="24"/>
        </w:rPr>
        <w:t>o</w:t>
      </w:r>
      <w:r w:rsidR="00D1400E">
        <w:rPr>
          <w:rFonts w:ascii="Times New Roman" w:hAnsi="Times New Roman"/>
          <w:sz w:val="24"/>
          <w:szCs w:val="24"/>
        </w:rPr>
        <w:t>ciopresidentes</w:t>
      </w:r>
      <w:r>
        <w:rPr>
          <w:rFonts w:ascii="Times New Roman" w:hAnsi="Times New Roman"/>
          <w:sz w:val="24"/>
          <w:szCs w:val="24"/>
        </w:rPr>
        <w:t xml:space="preserve"> e CEOs foram </w:t>
      </w:r>
      <w:r>
        <w:rPr>
          <w:rFonts w:ascii="Times New Roman" w:hAnsi="Times New Roman"/>
          <w:i/>
          <w:sz w:val="24"/>
          <w:szCs w:val="24"/>
        </w:rPr>
        <w:t>nomeados pelo Presidente da República</w:t>
      </w:r>
      <w:r>
        <w:rPr>
          <w:rFonts w:ascii="Times New Roman" w:hAnsi="Times New Roman"/>
          <w:sz w:val="24"/>
          <w:szCs w:val="24"/>
        </w:rPr>
        <w:t xml:space="preserve"> a participarem de um projeto de “crescimento sustentado e fortalecimento da democracia”. Um olhar mais atento, contudo, mostra que a soma da receita bruta obtida por apenas 6 grandes grupos presentes no CDES (Bradesco, Itaúsa, Telefônica, Ipiranga, CVRD e Telemar) ultrapassava a totalidade das receitas brutas dos demais 22 grupos econômicos, evidenciando ainda mais</w:t>
      </w:r>
      <w:r w:rsidR="006E3865">
        <w:rPr>
          <w:rFonts w:ascii="Times New Roman" w:hAnsi="Times New Roman"/>
          <w:sz w:val="24"/>
          <w:szCs w:val="24"/>
        </w:rPr>
        <w:t xml:space="preserve"> a megaconcentração e a super</w:t>
      </w:r>
      <w:r>
        <w:rPr>
          <w:rFonts w:ascii="Times New Roman" w:hAnsi="Times New Roman"/>
          <w:sz w:val="24"/>
          <w:szCs w:val="24"/>
        </w:rPr>
        <w:t>centra</w:t>
      </w:r>
      <w:r w:rsidR="006E3865">
        <w:rPr>
          <w:rFonts w:ascii="Times New Roman" w:hAnsi="Times New Roman"/>
          <w:sz w:val="24"/>
          <w:szCs w:val="24"/>
        </w:rPr>
        <w:t>liza</w:t>
      </w:r>
      <w:r>
        <w:rPr>
          <w:rFonts w:ascii="Times New Roman" w:hAnsi="Times New Roman"/>
          <w:sz w:val="24"/>
          <w:szCs w:val="24"/>
        </w:rPr>
        <w:t xml:space="preserve">ção de capitais acolhida no Conselho. </w:t>
      </w:r>
    </w:p>
    <w:p w:rsidR="00FD610C" w:rsidRDefault="00FD610C" w:rsidP="00FD610C">
      <w:pPr>
        <w:spacing w:after="0" w:line="360" w:lineRule="auto"/>
        <w:ind w:firstLine="708"/>
        <w:jc w:val="both"/>
        <w:rPr>
          <w:rFonts w:ascii="Times New Roman" w:hAnsi="Times New Roman"/>
          <w:sz w:val="24"/>
          <w:szCs w:val="24"/>
        </w:rPr>
      </w:pPr>
      <w:r>
        <w:rPr>
          <w:rFonts w:ascii="Times New Roman" w:hAnsi="Times New Roman"/>
          <w:sz w:val="24"/>
          <w:szCs w:val="24"/>
        </w:rPr>
        <w:t>Não há dúvidas de que a concentração de capitais dos grupos econômicos presentes no Conselho em 2003 deveu-se ao fato de constituírem a ponta-de-lança do capitalismo brasileiro, já bastante oligopolizado no início do século XXI, tendência esta aprofundada nos governos Lula da Silva.  Segundo Luiz Filgueiras,</w:t>
      </w:r>
    </w:p>
    <w:p w:rsidR="00FD610C" w:rsidRDefault="00FD610C" w:rsidP="00FD610C">
      <w:pPr>
        <w:spacing w:line="240" w:lineRule="auto"/>
        <w:ind w:left="2268"/>
        <w:jc w:val="both"/>
        <w:rPr>
          <w:rFonts w:ascii="Times New Roman" w:hAnsi="Times New Roman"/>
          <w:sz w:val="20"/>
          <w:szCs w:val="20"/>
        </w:rPr>
      </w:pPr>
      <w:r>
        <w:rPr>
          <w:rFonts w:ascii="Times New Roman" w:hAnsi="Times New Roman"/>
          <w:sz w:val="20"/>
          <w:szCs w:val="20"/>
        </w:rPr>
        <w:t>Na esfera das relações intercapitalistas, o governo Lula, através do Estado (empresas estatais e bancos oficiais), vem promovendo o impulsionando um processo de concentração e centralização de capitais no âmbito dos grandes grupos nacionais, tanto na esfera produtiva quanto na financeira, bem como na relação entre ambas. Com isso, vem fortalecendo e intensificando o processo de internacionalização desses grupos, tornando-os mais competitivos em escala global. Em particular, observa-se uma articulação desses grandes grupos no interior do Estado, através da sua imbricação com as instituições financeiras estatais, os fundos públicos e os fundos de pensão.</w:t>
      </w:r>
      <w:r>
        <w:rPr>
          <w:rStyle w:val="Refdenotaderodap"/>
          <w:rFonts w:ascii="Times New Roman" w:hAnsi="Times New Roman"/>
          <w:sz w:val="20"/>
          <w:szCs w:val="20"/>
        </w:rPr>
        <w:footnoteReference w:id="318"/>
      </w:r>
    </w:p>
    <w:p w:rsidR="00FD610C" w:rsidRDefault="00FD610C" w:rsidP="00FD610C">
      <w:pPr>
        <w:spacing w:after="0" w:line="360" w:lineRule="auto"/>
        <w:jc w:val="both"/>
        <w:rPr>
          <w:rFonts w:ascii="Times New Roman" w:hAnsi="Times New Roman"/>
          <w:sz w:val="24"/>
          <w:szCs w:val="24"/>
        </w:rPr>
      </w:pPr>
      <w:r>
        <w:rPr>
          <w:rFonts w:ascii="Times New Roman" w:hAnsi="Times New Roman"/>
          <w:sz w:val="24"/>
          <w:szCs w:val="24"/>
        </w:rPr>
        <w:tab/>
        <w:t xml:space="preserve">Dados analisados por Gonçalves, por meio da exposição do total de vendas do conjunto das 500 maiores empresas do país contidos na </w:t>
      </w:r>
      <w:r>
        <w:rPr>
          <w:rFonts w:ascii="Times New Roman" w:hAnsi="Times New Roman"/>
          <w:i/>
          <w:sz w:val="24"/>
          <w:szCs w:val="24"/>
        </w:rPr>
        <w:t>Revista Exame. Melhores e Maiores</w:t>
      </w:r>
      <w:r>
        <w:rPr>
          <w:rFonts w:ascii="Times New Roman" w:hAnsi="Times New Roman"/>
          <w:sz w:val="24"/>
          <w:szCs w:val="24"/>
        </w:rPr>
        <w:t>,são reveladores da escalada concentracionista da economia brasileira no período 2002-2010. Coube ao que o autor identifica como sendo o “núcleo central” do capitalismo no Brasil - um restrito grupo composto pelas 50 maiores empresas – o controle, em 2002, de 44% do total das vendas das 500 maiores empresas</w:t>
      </w:r>
      <w:r w:rsidR="006D1F0A">
        <w:rPr>
          <w:rFonts w:ascii="Times New Roman" w:hAnsi="Times New Roman"/>
          <w:sz w:val="24"/>
          <w:szCs w:val="24"/>
        </w:rPr>
        <w:t>. Em 2010, esse</w:t>
      </w:r>
      <w:r>
        <w:rPr>
          <w:rFonts w:ascii="Times New Roman" w:hAnsi="Times New Roman"/>
          <w:sz w:val="24"/>
          <w:szCs w:val="24"/>
        </w:rPr>
        <w:t xml:space="preserve"> percentual havia alcançado 48,6%. Assinala ainda o autor que, além de ocorrer concentração de capital, houve também desnacionalização, principalmente no referido “núcleo central”, já que “o aumento da concentração foi decorrência, em grande medida, da elevação da participação relativa das empresas estrangeiras nas vendas totais das 500 maiores empresas”. As empresas estrangeiras aumentaram sua participação no “núcleo central” de 17,6% em 2002 para 19,6% em 2010, acarretando, simultaneamente, concentração e desnacionalização.</w:t>
      </w:r>
      <w:r>
        <w:rPr>
          <w:rStyle w:val="Refdenotaderodap"/>
          <w:rFonts w:ascii="Times New Roman" w:hAnsi="Times New Roman"/>
          <w:sz w:val="24"/>
          <w:szCs w:val="24"/>
        </w:rPr>
        <w:footnoteReference w:id="319"/>
      </w:r>
    </w:p>
    <w:p w:rsidR="00FD610C" w:rsidRDefault="00FD610C" w:rsidP="00FD610C">
      <w:pPr>
        <w:spacing w:line="360" w:lineRule="auto"/>
        <w:ind w:firstLine="708"/>
        <w:jc w:val="both"/>
        <w:rPr>
          <w:rFonts w:ascii="Times New Roman" w:eastAsia="Times New Roman" w:hAnsi="Times New Roman"/>
          <w:b/>
          <w:color w:val="000000"/>
          <w:sz w:val="24"/>
          <w:szCs w:val="24"/>
          <w:lang w:eastAsia="pt-BR"/>
        </w:rPr>
      </w:pPr>
      <w:r>
        <w:rPr>
          <w:rFonts w:ascii="Times New Roman" w:hAnsi="Times New Roman"/>
          <w:sz w:val="24"/>
          <w:szCs w:val="24"/>
        </w:rPr>
        <w:t xml:space="preserve">Vale ainda ressaltar que, tomando por base os ativos totais e excetuando três grandes bancos públicos federais (Banco do Brasil, Caixa Econômica federal e BNDES), o processo de concentração no sistema financeiro foi ainda mais forte: os ativos subiram de 29,5% em 2002 para 47,8% em 2010 dentre as cinco maiores empresas do setor. O valor dos ativos totais dos 50 maiores bancos – que em 2002 era igual – passou a ser, em 2010, 74% maior em relação ao das 500 maiores empresas (idem: 108). </w:t>
      </w:r>
      <w:r w:rsidR="006D1F0A">
        <w:rPr>
          <w:rFonts w:ascii="Times New Roman" w:hAnsi="Times New Roman"/>
          <w:sz w:val="24"/>
          <w:szCs w:val="24"/>
        </w:rPr>
        <w:t xml:space="preserve">A </w:t>
      </w:r>
      <w:r>
        <w:rPr>
          <w:rFonts w:ascii="Times New Roman" w:hAnsi="Times New Roman"/>
          <w:sz w:val="24"/>
          <w:szCs w:val="24"/>
        </w:rPr>
        <w:t>taxa média de rentabilidade (lucro/patrimônio líquido) dos 50 maiores bancos no período 2003-2010 foi de 17,5% enquanto que a das 500 maiores empresas foi de 11%.</w:t>
      </w:r>
      <w:r>
        <w:rPr>
          <w:rStyle w:val="Refdenotaderodap"/>
          <w:rFonts w:ascii="Times New Roman" w:hAnsi="Times New Roman"/>
          <w:sz w:val="24"/>
          <w:szCs w:val="24"/>
        </w:rPr>
        <w:footnoteReference w:id="320"/>
      </w:r>
    </w:p>
    <w:p w:rsidR="00FD610C" w:rsidRPr="00C3642C" w:rsidRDefault="00FD610C" w:rsidP="00FD610C">
      <w:pPr>
        <w:spacing w:line="240" w:lineRule="auto"/>
        <w:jc w:val="both"/>
        <w:rPr>
          <w:rFonts w:ascii="Times New Roman" w:eastAsia="Times New Roman" w:hAnsi="Times New Roman"/>
          <w:b/>
          <w:sz w:val="24"/>
          <w:szCs w:val="24"/>
          <w:lang w:eastAsia="pt-BR"/>
        </w:rPr>
      </w:pPr>
      <w:r w:rsidRPr="00C3642C">
        <w:rPr>
          <w:rFonts w:ascii="Times New Roman" w:eastAsia="Times New Roman" w:hAnsi="Times New Roman"/>
          <w:b/>
          <w:sz w:val="24"/>
          <w:szCs w:val="24"/>
          <w:lang w:eastAsia="pt-BR"/>
        </w:rPr>
        <w:t xml:space="preserve">2.5 - </w:t>
      </w:r>
      <w:r w:rsidR="00933DDA" w:rsidRPr="00C3642C">
        <w:rPr>
          <w:rFonts w:ascii="Times New Roman" w:eastAsia="Times New Roman" w:hAnsi="Times New Roman"/>
          <w:b/>
          <w:sz w:val="24"/>
          <w:szCs w:val="24"/>
          <w:lang w:eastAsia="pt-BR"/>
        </w:rPr>
        <w:t>Os</w:t>
      </w:r>
      <w:r w:rsidRPr="00C3642C">
        <w:rPr>
          <w:rFonts w:ascii="Times New Roman" w:eastAsia="Times New Roman" w:hAnsi="Times New Roman"/>
          <w:b/>
          <w:sz w:val="24"/>
          <w:szCs w:val="24"/>
          <w:lang w:eastAsia="pt-BR"/>
        </w:rPr>
        <w:t xml:space="preserve"> grupos e firmas</w:t>
      </w:r>
      <w:r w:rsidR="00FA22D6" w:rsidRPr="00C3642C">
        <w:rPr>
          <w:rFonts w:ascii="Times New Roman" w:eastAsia="Times New Roman" w:hAnsi="Times New Roman"/>
          <w:b/>
          <w:sz w:val="24"/>
          <w:szCs w:val="24"/>
          <w:lang w:eastAsia="pt-BR"/>
        </w:rPr>
        <w:t xml:space="preserve"> representados</w:t>
      </w:r>
      <w:r w:rsidRPr="00C3642C">
        <w:rPr>
          <w:rFonts w:ascii="Times New Roman" w:eastAsia="Times New Roman" w:hAnsi="Times New Roman"/>
          <w:b/>
          <w:sz w:val="24"/>
          <w:szCs w:val="24"/>
          <w:lang w:eastAsia="pt-BR"/>
        </w:rPr>
        <w:t xml:space="preserve"> no CDES </w:t>
      </w:r>
      <w:r w:rsidR="00933DDA" w:rsidRPr="00C3642C">
        <w:rPr>
          <w:rFonts w:ascii="Times New Roman" w:eastAsia="Times New Roman" w:hAnsi="Times New Roman"/>
          <w:b/>
          <w:sz w:val="24"/>
          <w:szCs w:val="24"/>
          <w:lang w:eastAsia="pt-BR"/>
        </w:rPr>
        <w:t xml:space="preserve">segundo origem de suas sedes </w:t>
      </w:r>
    </w:p>
    <w:p w:rsidR="00FD610C" w:rsidRPr="00C3642C" w:rsidRDefault="006E3865" w:rsidP="00FD610C">
      <w:pPr>
        <w:spacing w:after="0" w:line="360" w:lineRule="auto"/>
        <w:ind w:firstLine="708"/>
        <w:jc w:val="both"/>
        <w:rPr>
          <w:rFonts w:ascii="Times New Roman" w:hAnsi="Times New Roman"/>
          <w:sz w:val="24"/>
          <w:szCs w:val="24"/>
        </w:rPr>
      </w:pPr>
      <w:r>
        <w:rPr>
          <w:rFonts w:ascii="Times New Roman" w:hAnsi="Times New Roman"/>
          <w:sz w:val="24"/>
          <w:szCs w:val="24"/>
        </w:rPr>
        <w:t>I</w:t>
      </w:r>
      <w:r w:rsidR="00FD610C" w:rsidRPr="00C3642C">
        <w:rPr>
          <w:rFonts w:ascii="Times New Roman" w:hAnsi="Times New Roman"/>
          <w:sz w:val="24"/>
          <w:szCs w:val="24"/>
        </w:rPr>
        <w:t>nvestiga</w:t>
      </w:r>
      <w:r>
        <w:rPr>
          <w:rFonts w:ascii="Times New Roman" w:hAnsi="Times New Roman"/>
          <w:sz w:val="24"/>
          <w:szCs w:val="24"/>
        </w:rPr>
        <w:t>mos igualmentea origemdos grupos econômicos representados no CDESem face</w:t>
      </w:r>
      <w:r w:rsidR="00933DDA" w:rsidRPr="00C3642C">
        <w:rPr>
          <w:rFonts w:ascii="Times New Roman" w:hAnsi="Times New Roman"/>
          <w:sz w:val="24"/>
          <w:szCs w:val="24"/>
        </w:rPr>
        <w:t>das sedes ou matrizes onde estão instalad</w:t>
      </w:r>
      <w:r>
        <w:rPr>
          <w:rFonts w:ascii="Times New Roman" w:hAnsi="Times New Roman"/>
          <w:sz w:val="24"/>
          <w:szCs w:val="24"/>
        </w:rPr>
        <w:t>o</w:t>
      </w:r>
      <w:r w:rsidR="00933DDA" w:rsidRPr="00C3642C">
        <w:rPr>
          <w:rFonts w:ascii="Times New Roman" w:hAnsi="Times New Roman"/>
          <w:sz w:val="24"/>
          <w:szCs w:val="24"/>
        </w:rPr>
        <w:t>s</w:t>
      </w:r>
      <w:r w:rsidR="00FD610C" w:rsidRPr="00C3642C">
        <w:rPr>
          <w:rFonts w:ascii="Times New Roman" w:hAnsi="Times New Roman"/>
          <w:sz w:val="24"/>
          <w:szCs w:val="24"/>
        </w:rPr>
        <w:t xml:space="preserve">. Foram realizadas pesquisas nos </w:t>
      </w:r>
      <w:r w:rsidR="00FD610C" w:rsidRPr="00C3642C">
        <w:rPr>
          <w:rFonts w:ascii="Times New Roman" w:hAnsi="Times New Roman"/>
          <w:i/>
          <w:sz w:val="24"/>
          <w:szCs w:val="24"/>
        </w:rPr>
        <w:t xml:space="preserve">sites </w:t>
      </w:r>
      <w:r w:rsidR="00FD610C" w:rsidRPr="00C3642C">
        <w:rPr>
          <w:rFonts w:ascii="Times New Roman" w:hAnsi="Times New Roman"/>
          <w:sz w:val="24"/>
          <w:szCs w:val="24"/>
        </w:rPr>
        <w:t>da Econoinfo, do Instituto Mais Democracia ou dos próprios grupos econômicos, além de publicações como as revistas Exame, Valor Grandes Grupos e Balanço Anual da Gazeta Mercantil.</w:t>
      </w:r>
    </w:p>
    <w:p w:rsidR="00E33B53" w:rsidRPr="00C3642C" w:rsidRDefault="00933DDA" w:rsidP="0010021B">
      <w:pPr>
        <w:spacing w:after="0" w:line="360" w:lineRule="auto"/>
        <w:ind w:firstLine="708"/>
        <w:jc w:val="both"/>
        <w:rPr>
          <w:rFonts w:ascii="Times New Roman" w:hAnsi="Times New Roman"/>
          <w:sz w:val="24"/>
          <w:szCs w:val="24"/>
        </w:rPr>
      </w:pPr>
      <w:r w:rsidRPr="00C3642C">
        <w:rPr>
          <w:rFonts w:ascii="Times New Roman" w:hAnsi="Times New Roman"/>
          <w:sz w:val="24"/>
          <w:szCs w:val="24"/>
        </w:rPr>
        <w:t>A Emenda Constitucional n</w:t>
      </w:r>
      <w:r w:rsidR="0010021B" w:rsidRPr="00C3642C">
        <w:rPr>
          <w:rFonts w:ascii="Times New Roman" w:hAnsi="Times New Roman"/>
          <w:sz w:val="24"/>
          <w:szCs w:val="24"/>
        </w:rPr>
        <w:t>º 06, de 1995, revogou</w:t>
      </w:r>
      <w:r w:rsidRPr="00C3642C">
        <w:rPr>
          <w:rFonts w:ascii="Times New Roman" w:hAnsi="Times New Roman"/>
          <w:sz w:val="24"/>
          <w:szCs w:val="24"/>
        </w:rPr>
        <w:t xml:space="preserve"> o artigo 171 da Constituiç</w:t>
      </w:r>
      <w:r w:rsidR="0010021B" w:rsidRPr="00C3642C">
        <w:rPr>
          <w:rFonts w:ascii="Times New Roman" w:hAnsi="Times New Roman"/>
          <w:sz w:val="24"/>
          <w:szCs w:val="24"/>
        </w:rPr>
        <w:t xml:space="preserve">ão Federal de </w:t>
      </w:r>
      <w:r w:rsidR="006E3865">
        <w:rPr>
          <w:rFonts w:ascii="Times New Roman" w:hAnsi="Times New Roman"/>
          <w:sz w:val="24"/>
          <w:szCs w:val="24"/>
        </w:rPr>
        <w:t>8</w:t>
      </w:r>
      <w:r w:rsidR="0010021B" w:rsidRPr="00C3642C">
        <w:rPr>
          <w:rFonts w:ascii="Times New Roman" w:hAnsi="Times New Roman"/>
          <w:sz w:val="24"/>
          <w:szCs w:val="24"/>
        </w:rPr>
        <w:t>8 o qual</w:t>
      </w:r>
      <w:r w:rsidRPr="00C3642C">
        <w:rPr>
          <w:rFonts w:ascii="Times New Roman" w:hAnsi="Times New Roman"/>
          <w:sz w:val="24"/>
          <w:szCs w:val="24"/>
        </w:rPr>
        <w:t xml:space="preserve"> definia, no inciso I, a empresa brasileira como “A constituída sob a legislação brasileira e que tenha sede e administração em seu país”.  </w:t>
      </w:r>
      <w:r w:rsidR="00E33B53" w:rsidRPr="00C3642C">
        <w:rPr>
          <w:rFonts w:ascii="Times New Roman" w:hAnsi="Times New Roman"/>
          <w:sz w:val="24"/>
          <w:szCs w:val="24"/>
        </w:rPr>
        <w:t>Este artigo, em seus incisos e parágrafos, elencava preferências das empresas brasileiras de capital nacional frente às de capital estrangeiro, ou seja, em raz</w:t>
      </w:r>
      <w:r w:rsidR="0010021B" w:rsidRPr="00C3642C">
        <w:rPr>
          <w:rFonts w:ascii="Times New Roman" w:hAnsi="Times New Roman"/>
          <w:sz w:val="24"/>
          <w:szCs w:val="24"/>
        </w:rPr>
        <w:t xml:space="preserve">ão da origem do seu capital, principalmente no que tange ao desenvolvimento tecnológico </w:t>
      </w:r>
      <w:r w:rsidR="00592C93" w:rsidRPr="00C3642C">
        <w:rPr>
          <w:rFonts w:ascii="Times New Roman" w:hAnsi="Times New Roman"/>
          <w:sz w:val="24"/>
          <w:szCs w:val="24"/>
        </w:rPr>
        <w:t>e na aquisição de bens e serviços públicos pelas</w:t>
      </w:r>
      <w:r w:rsidR="0010021B" w:rsidRPr="00C3642C">
        <w:rPr>
          <w:rFonts w:ascii="Times New Roman" w:hAnsi="Times New Roman"/>
          <w:sz w:val="24"/>
          <w:szCs w:val="24"/>
        </w:rPr>
        <w:t xml:space="preserve"> empresas </w:t>
      </w:r>
      <w:r w:rsidR="00592C93" w:rsidRPr="00C3642C">
        <w:rPr>
          <w:rFonts w:ascii="Times New Roman" w:hAnsi="Times New Roman"/>
          <w:sz w:val="24"/>
          <w:szCs w:val="24"/>
        </w:rPr>
        <w:t>designadas</w:t>
      </w:r>
      <w:r w:rsidR="0010021B" w:rsidRPr="00C3642C">
        <w:rPr>
          <w:rFonts w:ascii="Times New Roman" w:hAnsi="Times New Roman"/>
          <w:sz w:val="24"/>
          <w:szCs w:val="24"/>
        </w:rPr>
        <w:t xml:space="preserve"> pelo texto constitucional de “nacionais”</w:t>
      </w:r>
      <w:r w:rsidR="00C568CB" w:rsidRPr="00C3642C">
        <w:rPr>
          <w:rFonts w:ascii="Times New Roman" w:hAnsi="Times New Roman"/>
          <w:sz w:val="24"/>
          <w:szCs w:val="24"/>
        </w:rPr>
        <w:t>:</w:t>
      </w:r>
    </w:p>
    <w:p w:rsidR="00E33B53" w:rsidRPr="00C3642C" w:rsidRDefault="00E33B53" w:rsidP="00FD610C">
      <w:pPr>
        <w:spacing w:after="0" w:line="360" w:lineRule="auto"/>
        <w:ind w:firstLine="708"/>
        <w:jc w:val="both"/>
        <w:rPr>
          <w:rFonts w:ascii="Arial" w:hAnsi="Arial" w:cs="Arial"/>
          <w:sz w:val="20"/>
          <w:szCs w:val="20"/>
          <w:shd w:val="clear" w:color="auto" w:fill="FFFFFF"/>
        </w:rPr>
      </w:pPr>
    </w:p>
    <w:p w:rsidR="0010021B" w:rsidRPr="00C3642C" w:rsidRDefault="0010021B" w:rsidP="0010021B">
      <w:pPr>
        <w:spacing w:after="0" w:line="240" w:lineRule="auto"/>
        <w:ind w:left="2268"/>
        <w:rPr>
          <w:rFonts w:ascii="Times New Roman" w:hAnsi="Times New Roman"/>
          <w:sz w:val="20"/>
          <w:szCs w:val="20"/>
          <w:shd w:val="clear" w:color="auto" w:fill="FFFFFF"/>
        </w:rPr>
      </w:pPr>
      <w:r w:rsidRPr="00C3642C">
        <w:rPr>
          <w:rFonts w:ascii="Times New Roman" w:hAnsi="Times New Roman"/>
          <w:sz w:val="20"/>
          <w:szCs w:val="20"/>
          <w:shd w:val="clear" w:color="auto" w:fill="FFFFFF"/>
        </w:rPr>
        <w:t>Art. 171. São consideradas:</w:t>
      </w:r>
    </w:p>
    <w:p w:rsidR="0010021B" w:rsidRPr="00C3642C" w:rsidRDefault="0010021B" w:rsidP="0010021B">
      <w:pPr>
        <w:spacing w:after="0" w:line="240" w:lineRule="auto"/>
        <w:ind w:left="2268"/>
        <w:rPr>
          <w:rFonts w:ascii="Times New Roman" w:hAnsi="Times New Roman"/>
          <w:sz w:val="20"/>
          <w:szCs w:val="20"/>
        </w:rPr>
      </w:pPr>
      <w:r w:rsidRPr="00C3642C">
        <w:rPr>
          <w:rFonts w:ascii="Times New Roman" w:hAnsi="Times New Roman"/>
          <w:sz w:val="20"/>
          <w:szCs w:val="20"/>
          <w:shd w:val="clear" w:color="auto" w:fill="FFFFFF"/>
        </w:rPr>
        <w:t>I – empresa brasileira a constituída sob as leis brasileiras e que tenha sua sede e administração no País;</w:t>
      </w:r>
      <w:r w:rsidRPr="00C3642C">
        <w:rPr>
          <w:rFonts w:ascii="Times New Roman" w:hAnsi="Times New Roman"/>
          <w:sz w:val="20"/>
          <w:szCs w:val="20"/>
        </w:rPr>
        <w:br/>
      </w:r>
    </w:p>
    <w:p w:rsidR="00E33B53" w:rsidRPr="00C3642C" w:rsidRDefault="0010021B" w:rsidP="00E33B53">
      <w:pPr>
        <w:spacing w:after="0" w:line="240" w:lineRule="auto"/>
        <w:ind w:left="2268"/>
        <w:jc w:val="both"/>
        <w:rPr>
          <w:rFonts w:ascii="Times New Roman" w:hAnsi="Times New Roman"/>
          <w:sz w:val="24"/>
          <w:szCs w:val="24"/>
        </w:rPr>
      </w:pPr>
      <w:r w:rsidRPr="00C3642C">
        <w:rPr>
          <w:rFonts w:ascii="Times New Roman" w:hAnsi="Times New Roman"/>
          <w:sz w:val="20"/>
          <w:szCs w:val="20"/>
        </w:rPr>
        <w:t xml:space="preserve">II - </w:t>
      </w:r>
      <w:r w:rsidR="00E33B53" w:rsidRPr="00C3642C">
        <w:rPr>
          <w:rFonts w:ascii="Times New Roman" w:hAnsi="Times New Roman"/>
          <w:sz w:val="20"/>
          <w:szCs w:val="20"/>
        </w:rPr>
        <w:t>Empresa brasileira de capital nacional aquela cujo controle efetivo esteja em caráter permanente sob a titularidade direta ou indireta de pessoas físicas domiciliadas e residentes no País ou de entidades de direito público interno, entendendo-se por controle efetivo da empresa a titularidade da maioria de seu capital votante e o exercício, de fato e de direito, do poder decisório para gerir suas atividades</w:t>
      </w:r>
      <w:r w:rsidR="00E33B53" w:rsidRPr="00C3642C">
        <w:rPr>
          <w:rFonts w:ascii="Times New Roman" w:hAnsi="Times New Roman"/>
          <w:sz w:val="24"/>
          <w:szCs w:val="24"/>
        </w:rPr>
        <w:t>.</w:t>
      </w:r>
      <w:r w:rsidR="006E3865">
        <w:rPr>
          <w:rStyle w:val="Refdenotaderodap"/>
          <w:rFonts w:ascii="Times New Roman" w:hAnsi="Times New Roman"/>
          <w:sz w:val="24"/>
          <w:szCs w:val="24"/>
        </w:rPr>
        <w:footnoteReference w:id="321"/>
      </w:r>
    </w:p>
    <w:p w:rsidR="00E33B53" w:rsidRPr="00C3642C" w:rsidRDefault="00E33B53" w:rsidP="00FD610C">
      <w:pPr>
        <w:spacing w:after="0" w:line="360" w:lineRule="auto"/>
        <w:ind w:firstLine="708"/>
        <w:jc w:val="both"/>
        <w:rPr>
          <w:rFonts w:ascii="Times New Roman" w:hAnsi="Times New Roman"/>
          <w:sz w:val="24"/>
          <w:szCs w:val="24"/>
        </w:rPr>
      </w:pPr>
    </w:p>
    <w:p w:rsidR="0010021B" w:rsidRPr="00C3642C" w:rsidRDefault="00592C93" w:rsidP="00D16402">
      <w:pPr>
        <w:spacing w:after="0" w:line="360" w:lineRule="auto"/>
        <w:jc w:val="both"/>
        <w:rPr>
          <w:rFonts w:ascii="Times New Roman" w:hAnsi="Times New Roman"/>
          <w:sz w:val="24"/>
          <w:szCs w:val="24"/>
          <w:shd w:val="clear" w:color="auto" w:fill="FFFFFF"/>
        </w:rPr>
      </w:pPr>
      <w:r w:rsidRPr="00C3642C">
        <w:rPr>
          <w:rFonts w:ascii="Times New Roman" w:hAnsi="Times New Roman"/>
          <w:sz w:val="20"/>
          <w:szCs w:val="20"/>
          <w:shd w:val="clear" w:color="auto" w:fill="FFFFFF"/>
        </w:rPr>
        <w:tab/>
      </w:r>
      <w:r w:rsidRPr="00C3642C">
        <w:rPr>
          <w:rFonts w:ascii="Times New Roman" w:hAnsi="Times New Roman"/>
          <w:sz w:val="24"/>
          <w:szCs w:val="24"/>
          <w:shd w:val="clear" w:color="auto" w:fill="FFFFFF"/>
        </w:rPr>
        <w:t xml:space="preserve">Esta e outras emendas constitucionais, medidas provisórias </w:t>
      </w:r>
      <w:r w:rsidR="006E3865">
        <w:rPr>
          <w:rFonts w:ascii="Times New Roman" w:hAnsi="Times New Roman"/>
          <w:sz w:val="24"/>
          <w:szCs w:val="24"/>
          <w:shd w:val="clear" w:color="auto" w:fill="FFFFFF"/>
        </w:rPr>
        <w:t>e</w:t>
      </w:r>
      <w:r w:rsidRPr="00C3642C">
        <w:rPr>
          <w:rFonts w:ascii="Times New Roman" w:hAnsi="Times New Roman"/>
          <w:sz w:val="24"/>
          <w:szCs w:val="24"/>
          <w:shd w:val="clear" w:color="auto" w:fill="FFFFFF"/>
        </w:rPr>
        <w:t xml:space="preserve"> leis complementares se encontravam no bojo do processo que, durante os anos 90, ficou conhecido pelos analistas como desregulamentação, liberalização e privatizaç</w:t>
      </w:r>
      <w:r w:rsidR="00D16402" w:rsidRPr="00C3642C">
        <w:rPr>
          <w:rFonts w:ascii="Times New Roman" w:hAnsi="Times New Roman"/>
          <w:sz w:val="24"/>
          <w:szCs w:val="24"/>
          <w:shd w:val="clear" w:color="auto" w:fill="FFFFFF"/>
        </w:rPr>
        <w:t>ão da economia brasileira, constituindo um dos pilares de implantação do modelo de acumulação capitalista neoliberal, em substituição ao modelo de acumulação calcado na industrialização por substituição de importações inaugurado no período varguista desde os anos 30.</w:t>
      </w:r>
    </w:p>
    <w:p w:rsidR="00D16402" w:rsidRPr="00C3642C" w:rsidRDefault="00D16402" w:rsidP="001724A5">
      <w:pPr>
        <w:spacing w:after="0" w:line="360" w:lineRule="auto"/>
        <w:jc w:val="both"/>
        <w:rPr>
          <w:rFonts w:ascii="Times New Roman" w:hAnsi="Times New Roman"/>
          <w:sz w:val="24"/>
          <w:szCs w:val="24"/>
          <w:shd w:val="clear" w:color="auto" w:fill="FFFFFF"/>
        </w:rPr>
      </w:pPr>
      <w:r w:rsidRPr="00C3642C">
        <w:rPr>
          <w:rFonts w:ascii="Times New Roman" w:hAnsi="Times New Roman"/>
          <w:sz w:val="24"/>
          <w:szCs w:val="24"/>
          <w:shd w:val="clear" w:color="auto" w:fill="FFFFFF"/>
        </w:rPr>
        <w:tab/>
        <w:t>Interessamo-nos mais de perto apresentar e analisar a composição dos grupos e firmas representadas no CDES a partir da definição legal de “empresa brasileira”</w:t>
      </w:r>
      <w:r w:rsidR="00C568CB" w:rsidRPr="00C3642C">
        <w:rPr>
          <w:rFonts w:ascii="Times New Roman" w:hAnsi="Times New Roman"/>
          <w:sz w:val="24"/>
          <w:szCs w:val="24"/>
          <w:shd w:val="clear" w:color="auto" w:fill="FFFFFF"/>
        </w:rPr>
        <w:t xml:space="preserve">. Antes, porém, é preciso fazer duas observações: a) como vimos, a CF/88 elimina qualquer distinção entre </w:t>
      </w:r>
      <w:r w:rsidR="00144CAC" w:rsidRPr="00C3642C">
        <w:rPr>
          <w:rFonts w:ascii="Times New Roman" w:hAnsi="Times New Roman"/>
          <w:sz w:val="24"/>
          <w:szCs w:val="24"/>
          <w:shd w:val="clear" w:color="auto" w:fill="FFFFFF"/>
        </w:rPr>
        <w:t xml:space="preserve">empresas de </w:t>
      </w:r>
      <w:r w:rsidR="00C568CB" w:rsidRPr="00C3642C">
        <w:rPr>
          <w:rFonts w:ascii="Times New Roman" w:hAnsi="Times New Roman"/>
          <w:i/>
          <w:sz w:val="24"/>
          <w:szCs w:val="24"/>
          <w:shd w:val="clear" w:color="auto" w:fill="FFFFFF"/>
        </w:rPr>
        <w:t>capital de origem</w:t>
      </w:r>
      <w:r w:rsidR="00A67363" w:rsidRPr="00C3642C">
        <w:rPr>
          <w:rFonts w:ascii="Times New Roman" w:hAnsi="Times New Roman"/>
          <w:sz w:val="24"/>
          <w:szCs w:val="24"/>
          <w:shd w:val="clear" w:color="auto" w:fill="FFFFFF"/>
        </w:rPr>
        <w:t xml:space="preserve"> nacional e empresas de </w:t>
      </w:r>
      <w:r w:rsidR="00A67363" w:rsidRPr="00C3642C">
        <w:rPr>
          <w:rFonts w:ascii="Times New Roman" w:hAnsi="Times New Roman"/>
          <w:i/>
          <w:sz w:val="24"/>
          <w:szCs w:val="24"/>
          <w:shd w:val="clear" w:color="auto" w:fill="FFFFFF"/>
        </w:rPr>
        <w:t>capital de origem</w:t>
      </w:r>
      <w:r w:rsidR="00C568CB" w:rsidRPr="00C3642C">
        <w:rPr>
          <w:rFonts w:ascii="Times New Roman" w:hAnsi="Times New Roman"/>
          <w:sz w:val="24"/>
          <w:szCs w:val="24"/>
          <w:shd w:val="clear" w:color="auto" w:fill="FFFFFF"/>
        </w:rPr>
        <w:t xml:space="preserve"> estrangeiro </w:t>
      </w:r>
      <w:r w:rsidR="00144CAC" w:rsidRPr="00C3642C">
        <w:rPr>
          <w:rFonts w:ascii="Times New Roman" w:hAnsi="Times New Roman"/>
          <w:sz w:val="24"/>
          <w:szCs w:val="24"/>
          <w:shd w:val="clear" w:color="auto" w:fill="FFFFFF"/>
        </w:rPr>
        <w:t xml:space="preserve">(subsidiárias) </w:t>
      </w:r>
      <w:r w:rsidR="00C568CB" w:rsidRPr="00C3642C">
        <w:rPr>
          <w:rFonts w:ascii="Times New Roman" w:hAnsi="Times New Roman"/>
          <w:sz w:val="24"/>
          <w:szCs w:val="24"/>
          <w:shd w:val="clear" w:color="auto" w:fill="FFFFFF"/>
        </w:rPr>
        <w:t xml:space="preserve">para a definição de “empresa brasileira”, bastando que elas </w:t>
      </w:r>
      <w:r w:rsidR="00CF4A41" w:rsidRPr="00C3642C">
        <w:rPr>
          <w:rFonts w:ascii="Times New Roman" w:hAnsi="Times New Roman"/>
          <w:sz w:val="24"/>
          <w:szCs w:val="24"/>
          <w:shd w:val="clear" w:color="auto" w:fill="FFFFFF"/>
        </w:rPr>
        <w:t>estejam organizadas sob as leis do país e com sede e administração no país</w:t>
      </w:r>
      <w:r w:rsidR="00144CAC" w:rsidRPr="00C3642C">
        <w:rPr>
          <w:rFonts w:ascii="Times New Roman" w:hAnsi="Times New Roman"/>
          <w:sz w:val="24"/>
          <w:szCs w:val="24"/>
          <w:shd w:val="clear" w:color="auto" w:fill="FFFFFF"/>
        </w:rPr>
        <w:t>.</w:t>
      </w:r>
      <w:r w:rsidR="00A67363" w:rsidRPr="00C3642C">
        <w:rPr>
          <w:rStyle w:val="Refdenotaderodap"/>
          <w:rFonts w:ascii="Times New Roman" w:hAnsi="Times New Roman"/>
          <w:sz w:val="24"/>
          <w:szCs w:val="24"/>
          <w:shd w:val="clear" w:color="auto" w:fill="FFFFFF"/>
        </w:rPr>
        <w:footnoteReference w:id="322"/>
      </w:r>
      <w:r w:rsidR="00E36F63" w:rsidRPr="00C3642C">
        <w:rPr>
          <w:rFonts w:ascii="Times New Roman" w:hAnsi="Times New Roman"/>
          <w:sz w:val="24"/>
          <w:szCs w:val="24"/>
        </w:rPr>
        <w:t xml:space="preserve">A nacionalidade ou o domicílio dos acionistas não influi na nacionalidade da sociedade. Ainda que todos os acionistas </w:t>
      </w:r>
      <w:r w:rsidR="00662F09">
        <w:rPr>
          <w:rFonts w:ascii="Times New Roman" w:hAnsi="Times New Roman"/>
          <w:sz w:val="24"/>
          <w:szCs w:val="24"/>
        </w:rPr>
        <w:t>estejam</w:t>
      </w:r>
      <w:r w:rsidR="00E36F63" w:rsidRPr="00C3642C">
        <w:rPr>
          <w:rFonts w:ascii="Times New Roman" w:hAnsi="Times New Roman"/>
          <w:sz w:val="24"/>
          <w:szCs w:val="24"/>
        </w:rPr>
        <w:t xml:space="preserve"> domiciliados no exterior, a sociedade será brasileira, contanto que se constitua de acordo com a legislação nacional, aqui mantendo sua sede.</w:t>
      </w:r>
      <w:r w:rsidR="00175286" w:rsidRPr="00C3642C">
        <w:rPr>
          <w:rFonts w:ascii="Times New Roman" w:hAnsi="Times New Roman"/>
          <w:sz w:val="24"/>
          <w:szCs w:val="24"/>
          <w:shd w:val="clear" w:color="auto" w:fill="FFFFFF"/>
        </w:rPr>
        <w:t>“</w:t>
      </w:r>
      <w:r w:rsidR="00144CAC" w:rsidRPr="00C3642C">
        <w:rPr>
          <w:rFonts w:ascii="Times New Roman" w:hAnsi="Times New Roman"/>
          <w:sz w:val="24"/>
          <w:szCs w:val="24"/>
          <w:shd w:val="clear" w:color="auto" w:fill="FFFFFF"/>
        </w:rPr>
        <w:t>E</w:t>
      </w:r>
      <w:r w:rsidR="00CF4A41" w:rsidRPr="00C3642C">
        <w:rPr>
          <w:rFonts w:ascii="Times New Roman" w:hAnsi="Times New Roman"/>
          <w:sz w:val="24"/>
          <w:szCs w:val="24"/>
          <w:shd w:val="clear" w:color="auto" w:fill="FFFFFF"/>
        </w:rPr>
        <w:t>mpresas estrangeiras</w:t>
      </w:r>
      <w:r w:rsidR="00175286" w:rsidRPr="00C3642C">
        <w:rPr>
          <w:rFonts w:ascii="Times New Roman" w:hAnsi="Times New Roman"/>
          <w:sz w:val="24"/>
          <w:szCs w:val="24"/>
          <w:shd w:val="clear" w:color="auto" w:fill="FFFFFF"/>
        </w:rPr>
        <w:t>”</w:t>
      </w:r>
      <w:r w:rsidR="00E36F63" w:rsidRPr="00C3642C">
        <w:rPr>
          <w:rFonts w:ascii="Times New Roman" w:hAnsi="Times New Roman"/>
          <w:sz w:val="24"/>
          <w:szCs w:val="24"/>
        </w:rPr>
        <w:t>são as sociedades constituídas e organizadas em conformidade com a legislação do país de origem, onde também mantém sua sede administrativa. Estas empresas estão sujeitas a autorização do Governo Federal</w:t>
      </w:r>
      <w:r w:rsidR="00DB3842" w:rsidRPr="00C3642C">
        <w:rPr>
          <w:rFonts w:ascii="Times New Roman" w:hAnsi="Times New Roman"/>
          <w:sz w:val="24"/>
          <w:szCs w:val="24"/>
        </w:rPr>
        <w:t xml:space="preserve"> para operar no Brasil e devem cumprir uma série de requisitos especiais</w:t>
      </w:r>
      <w:r w:rsidR="00E36F63" w:rsidRPr="00C3642C">
        <w:rPr>
          <w:rFonts w:ascii="Times New Roman" w:hAnsi="Times New Roman"/>
          <w:sz w:val="24"/>
          <w:szCs w:val="24"/>
        </w:rPr>
        <w:t>;</w:t>
      </w:r>
      <w:r w:rsidR="00DB3842" w:rsidRPr="00C3642C">
        <w:rPr>
          <w:rStyle w:val="Refdenotaderodap"/>
          <w:rFonts w:ascii="Times New Roman" w:hAnsi="Times New Roman"/>
          <w:sz w:val="24"/>
          <w:szCs w:val="24"/>
        </w:rPr>
        <w:footnoteReference w:id="323"/>
      </w:r>
      <w:r w:rsidR="00C568CB" w:rsidRPr="00C3642C">
        <w:rPr>
          <w:rFonts w:ascii="Times New Roman" w:hAnsi="Times New Roman"/>
          <w:sz w:val="24"/>
          <w:szCs w:val="24"/>
          <w:shd w:val="clear" w:color="auto" w:fill="FFFFFF"/>
        </w:rPr>
        <w:t xml:space="preserve"> b) </w:t>
      </w:r>
      <w:r w:rsidR="00CF4A41" w:rsidRPr="00C3642C">
        <w:rPr>
          <w:rFonts w:ascii="Times New Roman" w:hAnsi="Times New Roman"/>
          <w:sz w:val="24"/>
          <w:szCs w:val="24"/>
          <w:shd w:val="clear" w:color="auto" w:fill="FFFFFF"/>
        </w:rPr>
        <w:t xml:space="preserve">certamente foge do </w:t>
      </w:r>
      <w:r w:rsidR="00144CAC" w:rsidRPr="00C3642C">
        <w:rPr>
          <w:rFonts w:ascii="Times New Roman" w:hAnsi="Times New Roman"/>
          <w:sz w:val="24"/>
          <w:szCs w:val="24"/>
          <w:shd w:val="clear" w:color="auto" w:fill="FFFFFF"/>
        </w:rPr>
        <w:t>âmbito desta pesquisa</w:t>
      </w:r>
      <w:r w:rsidR="00CF4A41" w:rsidRPr="00C3642C">
        <w:rPr>
          <w:rFonts w:ascii="Times New Roman" w:hAnsi="Times New Roman"/>
          <w:sz w:val="24"/>
          <w:szCs w:val="24"/>
          <w:shd w:val="clear" w:color="auto" w:fill="FFFFFF"/>
        </w:rPr>
        <w:t xml:space="preserve"> classificar os 80 grupos e firmas presentes no CDES a partir da </w:t>
      </w:r>
      <w:r w:rsidR="00CF4A41" w:rsidRPr="00C3642C">
        <w:rPr>
          <w:rFonts w:ascii="Times New Roman" w:hAnsi="Times New Roman"/>
          <w:i/>
          <w:sz w:val="24"/>
          <w:szCs w:val="24"/>
          <w:shd w:val="clear" w:color="auto" w:fill="FFFFFF"/>
        </w:rPr>
        <w:t>composição acionária de seu capital</w:t>
      </w:r>
      <w:r w:rsidR="00CF4A41" w:rsidRPr="00C3642C">
        <w:rPr>
          <w:rFonts w:ascii="Times New Roman" w:hAnsi="Times New Roman"/>
          <w:sz w:val="24"/>
          <w:szCs w:val="24"/>
          <w:shd w:val="clear" w:color="auto" w:fill="FFFFFF"/>
        </w:rPr>
        <w:t xml:space="preserve">, isto é, perscrutar, grupo a grupo, se há ou não participação, direta ou indireta, </w:t>
      </w:r>
      <w:r w:rsidR="00DB3842" w:rsidRPr="00C3642C">
        <w:rPr>
          <w:rFonts w:ascii="Times New Roman" w:hAnsi="Times New Roman"/>
          <w:sz w:val="24"/>
          <w:szCs w:val="24"/>
          <w:shd w:val="clear" w:color="auto" w:fill="FFFFFF"/>
        </w:rPr>
        <w:t xml:space="preserve">minoritária ou majoritária, </w:t>
      </w:r>
      <w:r w:rsidR="00CF4A41" w:rsidRPr="00C3642C">
        <w:rPr>
          <w:rFonts w:ascii="Times New Roman" w:hAnsi="Times New Roman"/>
          <w:sz w:val="24"/>
          <w:szCs w:val="24"/>
          <w:shd w:val="clear" w:color="auto" w:fill="FFFFFF"/>
        </w:rPr>
        <w:t>de capitais estrangeiros.</w:t>
      </w:r>
    </w:p>
    <w:p w:rsidR="001724A5" w:rsidRPr="00C3642C" w:rsidRDefault="001724A5" w:rsidP="00164AD6">
      <w:pPr>
        <w:spacing w:after="0" w:line="360" w:lineRule="auto"/>
        <w:jc w:val="both"/>
        <w:rPr>
          <w:rFonts w:ascii="Times New Roman" w:hAnsi="Times New Roman"/>
          <w:sz w:val="24"/>
          <w:szCs w:val="24"/>
        </w:rPr>
      </w:pPr>
      <w:r w:rsidRPr="00C3642C">
        <w:rPr>
          <w:rFonts w:ascii="Times New Roman" w:hAnsi="Times New Roman"/>
          <w:sz w:val="24"/>
          <w:szCs w:val="24"/>
          <w:shd w:val="clear" w:color="auto" w:fill="FFFFFF"/>
        </w:rPr>
        <w:tab/>
        <w:t xml:space="preserve">Feitas estas observações, </w:t>
      </w:r>
      <w:r w:rsidR="00144CAC" w:rsidRPr="00C3642C">
        <w:rPr>
          <w:rFonts w:ascii="Times New Roman" w:hAnsi="Times New Roman"/>
          <w:sz w:val="24"/>
          <w:szCs w:val="24"/>
          <w:shd w:val="clear" w:color="auto" w:fill="FFFFFF"/>
        </w:rPr>
        <w:t>classificamos o</w:t>
      </w:r>
      <w:r w:rsidRPr="00C3642C">
        <w:rPr>
          <w:rFonts w:ascii="Times New Roman" w:hAnsi="Times New Roman"/>
          <w:sz w:val="24"/>
          <w:szCs w:val="24"/>
          <w:shd w:val="clear" w:color="auto" w:fill="FFFFFF"/>
        </w:rPr>
        <w:t xml:space="preserve">s grupos </w:t>
      </w:r>
      <w:r w:rsidR="00144CAC" w:rsidRPr="00C3642C">
        <w:rPr>
          <w:rFonts w:ascii="Times New Roman" w:hAnsi="Times New Roman"/>
          <w:sz w:val="24"/>
          <w:szCs w:val="24"/>
          <w:shd w:val="clear" w:color="auto" w:fill="FFFFFF"/>
        </w:rPr>
        <w:t xml:space="preserve">econômicos </w:t>
      </w:r>
      <w:r w:rsidRPr="00C3642C">
        <w:rPr>
          <w:rFonts w:ascii="Times New Roman" w:hAnsi="Times New Roman"/>
          <w:sz w:val="24"/>
          <w:szCs w:val="24"/>
          <w:shd w:val="clear" w:color="auto" w:fill="FFFFFF"/>
        </w:rPr>
        <w:t xml:space="preserve">e firmas representadas no CDES </w:t>
      </w:r>
      <w:r w:rsidR="00144CAC" w:rsidRPr="00C3642C">
        <w:rPr>
          <w:rFonts w:ascii="Times New Roman" w:hAnsi="Times New Roman"/>
          <w:sz w:val="24"/>
          <w:szCs w:val="24"/>
          <w:shd w:val="clear" w:color="auto" w:fill="FFFFFF"/>
        </w:rPr>
        <w:t>em três tipos: a) como “empresas brasileiras”</w:t>
      </w:r>
      <w:r w:rsidR="004D629A" w:rsidRPr="00C3642C">
        <w:rPr>
          <w:rStyle w:val="Refdenotaderodap"/>
          <w:rFonts w:ascii="Times New Roman" w:hAnsi="Times New Roman"/>
          <w:sz w:val="24"/>
          <w:szCs w:val="24"/>
          <w:shd w:val="clear" w:color="auto" w:fill="FFFFFF"/>
        </w:rPr>
        <w:footnoteReference w:id="324"/>
      </w:r>
      <w:r w:rsidR="00144CAC" w:rsidRPr="00C3642C">
        <w:rPr>
          <w:rFonts w:ascii="Times New Roman" w:hAnsi="Times New Roman"/>
          <w:sz w:val="24"/>
          <w:szCs w:val="24"/>
          <w:shd w:val="clear" w:color="auto" w:fill="FFFFFF"/>
        </w:rPr>
        <w:t xml:space="preserve"> aquelas que, de novo, independem da origem </w:t>
      </w:r>
      <w:r w:rsidR="00662F09">
        <w:rPr>
          <w:rFonts w:ascii="Times New Roman" w:hAnsi="Times New Roman"/>
          <w:sz w:val="24"/>
          <w:szCs w:val="24"/>
          <w:shd w:val="clear" w:color="auto" w:fill="FFFFFF"/>
        </w:rPr>
        <w:t xml:space="preserve">da composição </w:t>
      </w:r>
      <w:r w:rsidR="00144CAC" w:rsidRPr="00C3642C">
        <w:rPr>
          <w:rFonts w:ascii="Times New Roman" w:hAnsi="Times New Roman"/>
          <w:sz w:val="24"/>
          <w:szCs w:val="24"/>
          <w:shd w:val="clear" w:color="auto" w:fill="FFFFFF"/>
        </w:rPr>
        <w:t xml:space="preserve">do capital (nacional, estrangeiro ou associado), bastando serem regidas pelas leis </w:t>
      </w:r>
      <w:r w:rsidR="00C413E5" w:rsidRPr="00C3642C">
        <w:rPr>
          <w:rFonts w:ascii="Times New Roman" w:hAnsi="Times New Roman"/>
          <w:sz w:val="24"/>
          <w:szCs w:val="24"/>
          <w:shd w:val="clear" w:color="auto" w:fill="FFFFFF"/>
        </w:rPr>
        <w:t xml:space="preserve">nacionais </w:t>
      </w:r>
      <w:r w:rsidR="00144CAC" w:rsidRPr="00C3642C">
        <w:rPr>
          <w:rFonts w:ascii="Times New Roman" w:hAnsi="Times New Roman"/>
          <w:sz w:val="24"/>
          <w:szCs w:val="24"/>
          <w:shd w:val="clear" w:color="auto" w:fill="FFFFFF"/>
        </w:rPr>
        <w:t>e apresentar</w:t>
      </w:r>
      <w:r w:rsidR="00662F09">
        <w:rPr>
          <w:rFonts w:ascii="Times New Roman" w:hAnsi="Times New Roman"/>
          <w:sz w:val="24"/>
          <w:szCs w:val="24"/>
          <w:shd w:val="clear" w:color="auto" w:fill="FFFFFF"/>
        </w:rPr>
        <w:t>em</w:t>
      </w:r>
      <w:r w:rsidR="00144CAC" w:rsidRPr="00C3642C">
        <w:rPr>
          <w:rFonts w:ascii="Times New Roman" w:hAnsi="Times New Roman"/>
          <w:sz w:val="24"/>
          <w:szCs w:val="24"/>
          <w:shd w:val="clear" w:color="auto" w:fill="FFFFFF"/>
        </w:rPr>
        <w:t xml:space="preserve"> matriz no país; b) como “empresa</w:t>
      </w:r>
      <w:r w:rsidR="00C413E5" w:rsidRPr="00C3642C">
        <w:rPr>
          <w:rFonts w:ascii="Times New Roman" w:hAnsi="Times New Roman"/>
          <w:sz w:val="24"/>
          <w:szCs w:val="24"/>
          <w:shd w:val="clear" w:color="auto" w:fill="FFFFFF"/>
        </w:rPr>
        <w:t>s</w:t>
      </w:r>
      <w:r w:rsidR="00144CAC" w:rsidRPr="00C3642C">
        <w:rPr>
          <w:rFonts w:ascii="Times New Roman" w:hAnsi="Times New Roman"/>
          <w:sz w:val="24"/>
          <w:szCs w:val="24"/>
          <w:shd w:val="clear" w:color="auto" w:fill="FFFFFF"/>
        </w:rPr>
        <w:t xml:space="preserve"> brasileira</w:t>
      </w:r>
      <w:r w:rsidR="00C413E5" w:rsidRPr="00C3642C">
        <w:rPr>
          <w:rFonts w:ascii="Times New Roman" w:hAnsi="Times New Roman"/>
          <w:sz w:val="24"/>
          <w:szCs w:val="24"/>
          <w:shd w:val="clear" w:color="auto" w:fill="FFFFFF"/>
        </w:rPr>
        <w:t>s</w:t>
      </w:r>
      <w:r w:rsidR="00144CAC" w:rsidRPr="00C3642C">
        <w:rPr>
          <w:rFonts w:ascii="Times New Roman" w:hAnsi="Times New Roman"/>
          <w:sz w:val="24"/>
          <w:szCs w:val="24"/>
          <w:shd w:val="clear" w:color="auto" w:fill="FFFFFF"/>
        </w:rPr>
        <w:t xml:space="preserve"> transnacionalizada</w:t>
      </w:r>
      <w:r w:rsidR="00C413E5" w:rsidRPr="00C3642C">
        <w:rPr>
          <w:rFonts w:ascii="Times New Roman" w:hAnsi="Times New Roman"/>
          <w:sz w:val="24"/>
          <w:szCs w:val="24"/>
          <w:shd w:val="clear" w:color="auto" w:fill="FFFFFF"/>
        </w:rPr>
        <w:t>s</w:t>
      </w:r>
      <w:r w:rsidR="00144CAC" w:rsidRPr="00C3642C">
        <w:rPr>
          <w:rFonts w:ascii="Times New Roman" w:hAnsi="Times New Roman"/>
          <w:sz w:val="24"/>
          <w:szCs w:val="24"/>
          <w:shd w:val="clear" w:color="auto" w:fill="FFFFFF"/>
        </w:rPr>
        <w:t>” aquela</w:t>
      </w:r>
      <w:r w:rsidR="00C413E5" w:rsidRPr="00C3642C">
        <w:rPr>
          <w:rFonts w:ascii="Times New Roman" w:hAnsi="Times New Roman"/>
          <w:sz w:val="24"/>
          <w:szCs w:val="24"/>
          <w:shd w:val="clear" w:color="auto" w:fill="FFFFFF"/>
        </w:rPr>
        <w:t>s</w:t>
      </w:r>
      <w:r w:rsidR="00144CAC" w:rsidRPr="00C3642C">
        <w:rPr>
          <w:rFonts w:ascii="Times New Roman" w:hAnsi="Times New Roman"/>
          <w:sz w:val="24"/>
          <w:szCs w:val="24"/>
          <w:shd w:val="clear" w:color="auto" w:fill="FFFFFF"/>
        </w:rPr>
        <w:t xml:space="preserve"> compõe</w:t>
      </w:r>
      <w:r w:rsidR="00C413E5" w:rsidRPr="00C3642C">
        <w:rPr>
          <w:rFonts w:ascii="Times New Roman" w:hAnsi="Times New Roman"/>
          <w:sz w:val="24"/>
          <w:szCs w:val="24"/>
          <w:shd w:val="clear" w:color="auto" w:fill="FFFFFF"/>
        </w:rPr>
        <w:t>m</w:t>
      </w:r>
      <w:r w:rsidR="00144CAC" w:rsidRPr="00C3642C">
        <w:rPr>
          <w:rFonts w:ascii="Times New Roman" w:hAnsi="Times New Roman"/>
          <w:sz w:val="24"/>
          <w:szCs w:val="24"/>
          <w:shd w:val="clear" w:color="auto" w:fill="FFFFFF"/>
        </w:rPr>
        <w:t xml:space="preserve"> o primeiro grupo, mas </w:t>
      </w:r>
      <w:r w:rsidR="00C413E5" w:rsidRPr="00C3642C">
        <w:rPr>
          <w:rFonts w:ascii="Times New Roman" w:hAnsi="Times New Roman"/>
          <w:sz w:val="24"/>
          <w:szCs w:val="24"/>
          <w:shd w:val="clear" w:color="auto" w:fill="FFFFFF"/>
        </w:rPr>
        <w:t xml:space="preserve">que </w:t>
      </w:r>
      <w:r w:rsidR="00144CAC" w:rsidRPr="00C3642C">
        <w:rPr>
          <w:rFonts w:ascii="Times New Roman" w:hAnsi="Times New Roman"/>
          <w:sz w:val="24"/>
          <w:szCs w:val="24"/>
          <w:shd w:val="clear" w:color="auto" w:fill="FFFFFF"/>
        </w:rPr>
        <w:t>se diferencia</w:t>
      </w:r>
      <w:r w:rsidR="00C413E5" w:rsidRPr="00C3642C">
        <w:rPr>
          <w:rFonts w:ascii="Times New Roman" w:hAnsi="Times New Roman"/>
          <w:sz w:val="24"/>
          <w:szCs w:val="24"/>
          <w:shd w:val="clear" w:color="auto" w:fill="FFFFFF"/>
        </w:rPr>
        <w:t>m</w:t>
      </w:r>
      <w:r w:rsidR="00144CAC" w:rsidRPr="00C3642C">
        <w:rPr>
          <w:rFonts w:ascii="Times New Roman" w:hAnsi="Times New Roman"/>
          <w:sz w:val="24"/>
          <w:szCs w:val="24"/>
          <w:shd w:val="clear" w:color="auto" w:fill="FFFFFF"/>
        </w:rPr>
        <w:t xml:space="preserve"> por </w:t>
      </w:r>
      <w:r w:rsidR="00C413E5" w:rsidRPr="00C3642C">
        <w:rPr>
          <w:rFonts w:ascii="Times New Roman" w:hAnsi="Times New Roman"/>
          <w:sz w:val="24"/>
          <w:szCs w:val="24"/>
          <w:shd w:val="clear" w:color="auto" w:fill="FFFFFF"/>
        </w:rPr>
        <w:t>estabelecerem filiais ou sucursais em outro país; c) como “empresas estrangeiras”, aquelas que preferem operar nos países de destino</w:t>
      </w:r>
      <w:r w:rsidR="00DB3842" w:rsidRPr="00C3642C">
        <w:rPr>
          <w:rFonts w:ascii="Times New Roman" w:hAnsi="Times New Roman"/>
          <w:sz w:val="24"/>
          <w:szCs w:val="24"/>
          <w:shd w:val="clear" w:color="auto" w:fill="FFFFFF"/>
        </w:rPr>
        <w:t xml:space="preserve"> sem estabelecer sede e são organizadas e se constituem segundo legislação do país de origem. P</w:t>
      </w:r>
      <w:r w:rsidR="00DB3842" w:rsidRPr="00C3642C">
        <w:rPr>
          <w:rFonts w:ascii="Times New Roman" w:hAnsi="Times New Roman"/>
          <w:sz w:val="24"/>
          <w:szCs w:val="24"/>
        </w:rPr>
        <w:t>oderão ser acrescido ao nome da sociedade a expressã</w:t>
      </w:r>
      <w:r w:rsidR="00164AD6" w:rsidRPr="00C3642C">
        <w:rPr>
          <w:rFonts w:ascii="Times New Roman" w:hAnsi="Times New Roman"/>
          <w:sz w:val="24"/>
          <w:szCs w:val="24"/>
        </w:rPr>
        <w:t>o “do Brasil” ou “para o Brasil”</w:t>
      </w:r>
      <w:r w:rsidR="00DB3842" w:rsidRPr="00C3642C">
        <w:rPr>
          <w:rFonts w:ascii="Times New Roman" w:hAnsi="Times New Roman"/>
          <w:sz w:val="24"/>
          <w:szCs w:val="24"/>
        </w:rPr>
        <w:t>.</w:t>
      </w:r>
      <w:r w:rsidR="00DD4598" w:rsidRPr="00C3642C">
        <w:rPr>
          <w:rStyle w:val="Refdenotaderodap"/>
          <w:rFonts w:ascii="Times New Roman" w:hAnsi="Times New Roman"/>
          <w:sz w:val="24"/>
          <w:szCs w:val="24"/>
        </w:rPr>
        <w:footnoteReference w:id="325"/>
      </w:r>
    </w:p>
    <w:p w:rsidR="00164AD6" w:rsidRPr="00C3642C" w:rsidRDefault="002E074D" w:rsidP="00FD610C">
      <w:pPr>
        <w:spacing w:line="360" w:lineRule="auto"/>
        <w:ind w:firstLine="708"/>
        <w:jc w:val="both"/>
        <w:rPr>
          <w:rFonts w:ascii="Times New Roman" w:hAnsi="Times New Roman"/>
          <w:sz w:val="24"/>
          <w:szCs w:val="24"/>
        </w:rPr>
      </w:pPr>
      <w:r w:rsidRPr="00C3642C">
        <w:rPr>
          <w:rFonts w:ascii="Times New Roman" w:hAnsi="Times New Roman"/>
          <w:sz w:val="24"/>
          <w:szCs w:val="24"/>
        </w:rPr>
        <w:t>Ao pesquisar os grupos e firmas representados no CDES entre 2003 e 2010, c</w:t>
      </w:r>
      <w:r w:rsidR="00164AD6" w:rsidRPr="00C3642C">
        <w:rPr>
          <w:rFonts w:ascii="Times New Roman" w:hAnsi="Times New Roman"/>
          <w:sz w:val="24"/>
          <w:szCs w:val="24"/>
        </w:rPr>
        <w:t>om base nes</w:t>
      </w:r>
      <w:r w:rsidRPr="00C3642C">
        <w:rPr>
          <w:rFonts w:ascii="Times New Roman" w:hAnsi="Times New Roman"/>
          <w:sz w:val="24"/>
          <w:szCs w:val="24"/>
        </w:rPr>
        <w:t>ses</w:t>
      </w:r>
      <w:r w:rsidR="00164AD6" w:rsidRPr="00C3642C">
        <w:rPr>
          <w:rFonts w:ascii="Times New Roman" w:hAnsi="Times New Roman"/>
          <w:sz w:val="24"/>
          <w:szCs w:val="24"/>
        </w:rPr>
        <w:t xml:space="preserve"> critérios classificat</w:t>
      </w:r>
      <w:r w:rsidRPr="00C3642C">
        <w:rPr>
          <w:rFonts w:ascii="Times New Roman" w:hAnsi="Times New Roman"/>
          <w:sz w:val="24"/>
          <w:szCs w:val="24"/>
        </w:rPr>
        <w:t>órios, verificamos que 86% eram</w:t>
      </w:r>
      <w:r w:rsidR="00164AD6" w:rsidRPr="00C3642C">
        <w:rPr>
          <w:rFonts w:ascii="Times New Roman" w:hAnsi="Times New Roman"/>
          <w:sz w:val="24"/>
          <w:szCs w:val="24"/>
        </w:rPr>
        <w:t xml:space="preserve"> “empresas brasileiras” segundo as exigências acima resumid</w:t>
      </w:r>
      <w:r w:rsidRPr="00C3642C">
        <w:rPr>
          <w:rFonts w:ascii="Times New Roman" w:hAnsi="Times New Roman"/>
          <w:sz w:val="24"/>
          <w:szCs w:val="24"/>
        </w:rPr>
        <w:t>as e 14</w:t>
      </w:r>
      <w:r w:rsidR="00164AD6" w:rsidRPr="00C3642C">
        <w:rPr>
          <w:rFonts w:ascii="Times New Roman" w:hAnsi="Times New Roman"/>
          <w:sz w:val="24"/>
          <w:szCs w:val="24"/>
        </w:rPr>
        <w:t>%</w:t>
      </w:r>
      <w:r w:rsidRPr="00C3642C">
        <w:rPr>
          <w:rFonts w:ascii="Times New Roman" w:hAnsi="Times New Roman"/>
          <w:sz w:val="24"/>
          <w:szCs w:val="24"/>
        </w:rPr>
        <w:t xml:space="preserve"> eram “empresas estrangeiras”. Dentre as “empresas brasileiras”, </w:t>
      </w:r>
      <w:r w:rsidR="00662F09">
        <w:rPr>
          <w:rFonts w:ascii="Times New Roman" w:hAnsi="Times New Roman"/>
          <w:sz w:val="24"/>
          <w:szCs w:val="24"/>
        </w:rPr>
        <w:t>33%</w:t>
      </w:r>
      <w:r w:rsidRPr="00C3642C">
        <w:rPr>
          <w:rFonts w:ascii="Times New Roman" w:hAnsi="Times New Roman"/>
          <w:sz w:val="24"/>
          <w:szCs w:val="24"/>
        </w:rPr>
        <w:t xml:space="preserve"> operacionalizavam suas atividades para além das fronteiras nacionais, instaurando-se em várias outros países, principalmente na América do Sul (ver item 2.7), isto é, eram empresas brasileiras em processo de transnacionalização.   </w:t>
      </w:r>
    </w:p>
    <w:p w:rsidR="00FD610C" w:rsidRPr="00FB31A2" w:rsidRDefault="0064036B" w:rsidP="00FD610C">
      <w:pPr>
        <w:spacing w:after="0" w:line="360" w:lineRule="auto"/>
        <w:jc w:val="center"/>
        <w:rPr>
          <w:rFonts w:ascii="Times New Roman" w:hAnsi="Times New Roman"/>
          <w:color w:val="FF0000"/>
          <w:sz w:val="24"/>
          <w:szCs w:val="24"/>
        </w:rPr>
      </w:pPr>
      <w:r w:rsidRPr="00FB31A2">
        <w:rPr>
          <w:rFonts w:ascii="Times New Roman" w:hAnsi="Times New Roman"/>
          <w:noProof/>
          <w:color w:val="FF0000"/>
          <w:sz w:val="24"/>
          <w:szCs w:val="24"/>
          <w:lang w:eastAsia="pt-BR"/>
        </w:rPr>
        <w:drawing>
          <wp:inline distT="0" distB="0" distL="0" distR="0">
            <wp:extent cx="5402599" cy="2258704"/>
            <wp:effectExtent l="19050" t="0" r="26651" b="8246"/>
            <wp:docPr id="1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1400E" w:rsidRPr="009A3111" w:rsidRDefault="00D1400E" w:rsidP="00D1400E">
      <w:pPr>
        <w:pStyle w:val="NormalWeb"/>
        <w:spacing w:before="0" w:beforeAutospacing="0" w:after="0" w:afterAutospacing="0" w:line="360" w:lineRule="auto"/>
        <w:jc w:val="both"/>
      </w:pPr>
      <w:r>
        <w:rPr>
          <w:b/>
          <w:sz w:val="18"/>
          <w:szCs w:val="18"/>
        </w:rPr>
        <w:t>Elaboração própria</w:t>
      </w:r>
      <w:r w:rsidR="009A3111">
        <w:rPr>
          <w:b/>
          <w:sz w:val="18"/>
          <w:szCs w:val="18"/>
        </w:rPr>
        <w:t xml:space="preserve">. Fontes: </w:t>
      </w:r>
      <w:r w:rsidR="009A3111">
        <w:rPr>
          <w:sz w:val="18"/>
          <w:szCs w:val="18"/>
        </w:rPr>
        <w:t>Revista Valor Grandes Grupos e pesquisas nos sites dos grupos e firmas.</w:t>
      </w:r>
    </w:p>
    <w:p w:rsidR="00FD610C" w:rsidRPr="00C3642C" w:rsidRDefault="00FD610C" w:rsidP="002E074D">
      <w:pPr>
        <w:pStyle w:val="NormalWeb"/>
        <w:spacing w:before="240" w:beforeAutospacing="0" w:after="0" w:afterAutospacing="0" w:line="360" w:lineRule="auto"/>
        <w:ind w:firstLine="708"/>
        <w:jc w:val="both"/>
      </w:pPr>
      <w:r w:rsidRPr="00C3642C">
        <w:t>De 2003, por ocasião da primeira composição da plenária do CDES, às alterações sofridas pela significativa recomposição ocorrida em 2007</w:t>
      </w:r>
      <w:r w:rsidR="000C5BE4" w:rsidRPr="00C3642C">
        <w:t xml:space="preserve">, </w:t>
      </w:r>
      <w:r w:rsidRPr="00C3642C">
        <w:t xml:space="preserve">o </w:t>
      </w:r>
      <w:r w:rsidRPr="00C3642C">
        <w:rPr>
          <w:i/>
        </w:rPr>
        <w:t xml:space="preserve">quantum </w:t>
      </w:r>
      <w:r w:rsidRPr="00C3642C">
        <w:t xml:space="preserve">de grupos econômicos e firmas </w:t>
      </w:r>
      <w:r w:rsidR="000C5BE4" w:rsidRPr="00C3642C">
        <w:t xml:space="preserve">representado </w:t>
      </w:r>
      <w:r w:rsidRPr="00C3642C">
        <w:t>revelou muito pouca variação</w:t>
      </w:r>
      <w:r w:rsidR="000C5BE4" w:rsidRPr="00C3642C">
        <w:t>, para as três categorias de empresas</w:t>
      </w:r>
      <w:r w:rsidRPr="00C3642C">
        <w:t xml:space="preserve">. Mantiveram-se, no essencial, uma média de </w:t>
      </w:r>
      <w:r w:rsidR="000C5BE4" w:rsidRPr="00C3642C">
        <w:t>2</w:t>
      </w:r>
      <w:r w:rsidR="003E3C54">
        <w:t>1</w:t>
      </w:r>
      <w:r w:rsidRPr="00C3642C">
        <w:t xml:space="preserve"> grupos/firmas </w:t>
      </w:r>
      <w:r w:rsidR="000C5BE4" w:rsidRPr="00C3642C">
        <w:t>brasileiros, 1</w:t>
      </w:r>
      <w:r w:rsidR="003E3C54">
        <w:t>3</w:t>
      </w:r>
      <w:r w:rsidR="000C5BE4" w:rsidRPr="00C3642C">
        <w:t>grupos/firmas brasileiros transnacionalizados, e</w:t>
      </w:r>
      <w:r w:rsidR="003E3C54">
        <w:t xml:space="preserve"> 5</w:t>
      </w:r>
      <w:r w:rsidRPr="00C3642C">
        <w:t xml:space="preserve"> de </w:t>
      </w:r>
      <w:r w:rsidR="000C5BE4" w:rsidRPr="00C3642C">
        <w:t>grupos</w:t>
      </w:r>
      <w:r w:rsidRPr="00C3642C">
        <w:t xml:space="preserve"> estrangeiro</w:t>
      </w:r>
      <w:r w:rsidR="000C5BE4" w:rsidRPr="00C3642C">
        <w:t xml:space="preserve">s. </w:t>
      </w:r>
    </w:p>
    <w:p w:rsidR="00C3642C" w:rsidRDefault="00FD610C" w:rsidP="00C3642C">
      <w:pPr>
        <w:pStyle w:val="NormalWeb"/>
        <w:spacing w:before="0" w:beforeAutospacing="0" w:after="240" w:afterAutospacing="0" w:line="360" w:lineRule="auto"/>
        <w:ind w:firstLine="708"/>
        <w:jc w:val="both"/>
      </w:pPr>
      <w:r w:rsidRPr="00C3642C">
        <w:t xml:space="preserve">O período 2007-2010, através das renovações plenárias </w:t>
      </w:r>
      <w:r w:rsidR="000C5BE4" w:rsidRPr="00C3642C">
        <w:t>bi</w:t>
      </w:r>
      <w:r w:rsidRPr="00C3642C">
        <w:t xml:space="preserve">anuais, revelou o </w:t>
      </w:r>
      <w:r w:rsidRPr="00C3642C">
        <w:rPr>
          <w:i/>
        </w:rPr>
        <w:t xml:space="preserve">aprofundamento </w:t>
      </w:r>
      <w:r w:rsidRPr="00C3642C">
        <w:t>de tendências do período anterior</w:t>
      </w:r>
      <w:r w:rsidR="000C5BE4" w:rsidRPr="00C3642C">
        <w:t>. Nessa renovação empresarial houve o</w:t>
      </w:r>
      <w:r w:rsidR="009D59DB" w:rsidRPr="00C3642C">
        <w:t xml:space="preserve"> ingresso de 30</w:t>
      </w:r>
      <w:r w:rsidR="000C5BE4" w:rsidRPr="00C3642C">
        <w:t xml:space="preserve"> novos grupos</w:t>
      </w:r>
      <w:r w:rsidR="009D59DB" w:rsidRPr="00C3642C">
        <w:t>/firmas</w:t>
      </w:r>
      <w:r w:rsidR="003E3C54">
        <w:t>e</w:t>
      </w:r>
      <w:r w:rsidR="000C5BE4" w:rsidRPr="00C3642C">
        <w:t xml:space="preserve"> a sa</w:t>
      </w:r>
      <w:r w:rsidR="009D59DB" w:rsidRPr="00C3642C">
        <w:t>ída de 27</w:t>
      </w:r>
      <w:r w:rsidR="000C5BE4" w:rsidRPr="00C3642C">
        <w:t xml:space="preserve"> outros. </w:t>
      </w:r>
      <w:r w:rsidR="009D59DB" w:rsidRPr="00C3642C">
        <w:t>Quais alterações se verificaram nesse período?</w:t>
      </w:r>
    </w:p>
    <w:p w:rsidR="00C3642C" w:rsidRPr="00C3642C" w:rsidRDefault="00A758A4" w:rsidP="00FA1601">
      <w:pPr>
        <w:pStyle w:val="NormalWeb"/>
        <w:numPr>
          <w:ilvl w:val="0"/>
          <w:numId w:val="20"/>
        </w:numPr>
        <w:spacing w:before="0" w:beforeAutospacing="0" w:after="240" w:afterAutospacing="0" w:line="360" w:lineRule="auto"/>
        <w:ind w:left="710" w:hanging="141"/>
        <w:jc w:val="both"/>
      </w:pPr>
      <w:r w:rsidRPr="00C3642C">
        <w:t xml:space="preserve">Ocorreu uma branda ampliação dos </w:t>
      </w:r>
      <w:r w:rsidR="009D59DB" w:rsidRPr="00C3642C">
        <w:t xml:space="preserve">conselheiros que representavam “empresas brasileiras”: de 20 grupos/firmas </w:t>
      </w:r>
      <w:r w:rsidR="007613A8" w:rsidRPr="00C3642C">
        <w:t>em 2006, avançou-se para 24</w:t>
      </w:r>
      <w:r w:rsidR="009D59DB" w:rsidRPr="00C3642C">
        <w:t xml:space="preserve"> grupos/firmas </w:t>
      </w:r>
      <w:r w:rsidR="007613A8" w:rsidRPr="00C3642C">
        <w:t xml:space="preserve">em </w:t>
      </w:r>
      <w:r w:rsidRPr="00C3642C">
        <w:t>2010</w:t>
      </w:r>
      <w:r w:rsidR="007613A8" w:rsidRPr="00C3642C">
        <w:t>, um aumento de 20%</w:t>
      </w:r>
      <w:r w:rsidRPr="00C3642C">
        <w:t>. Porém, o perfil das atividades principais dessas empresas se alterou: a partir de 2007, verificamos o reforço de empresários diretamente ligados às atividades de serviços educacionais (donos de centros universitários) e da indústria de construção civil</w:t>
      </w:r>
      <w:r w:rsidR="00444F8A" w:rsidRPr="00C3642C">
        <w:t xml:space="preserve"> e infraestrutura, acompanhado da indústria de peças e equipamentos e de energia. O</w:t>
      </w:r>
      <w:r w:rsidR="004D629A" w:rsidRPr="00C3642C">
        <w:t xml:space="preserve"> perfil dos grupos que saíram</w:t>
      </w:r>
      <w:r w:rsidR="00444F8A" w:rsidRPr="00C3642C">
        <w:t xml:space="preserve"> foi muito heterogêneo: médios empresários donos de consultoria,</w:t>
      </w:r>
      <w:r w:rsidR="002C3FB3" w:rsidRPr="00C3642C">
        <w:t xml:space="preserve"> de serviços de segurança, de escola de idiomas e</w:t>
      </w:r>
      <w:r w:rsidR="00444F8A" w:rsidRPr="00C3642C">
        <w:t xml:space="preserve"> grandes empresários do setor telefonia e administração de shoppings (Grupo Jereissati) e a holding que administrava o Unibanco (E. Johnston Representação e Participaç</w:t>
      </w:r>
      <w:r w:rsidR="004D629A" w:rsidRPr="00C3642C">
        <w:t>ões S.A) que passou por</w:t>
      </w:r>
      <w:r w:rsidR="00C3642C" w:rsidRPr="00C3642C">
        <w:t xml:space="preserve"> fusão com o Itaú em 2007.</w:t>
      </w:r>
    </w:p>
    <w:p w:rsidR="00C3642C" w:rsidRPr="00C3642C" w:rsidRDefault="002C3FB3" w:rsidP="00FA1601">
      <w:pPr>
        <w:pStyle w:val="NormalWeb"/>
        <w:numPr>
          <w:ilvl w:val="0"/>
          <w:numId w:val="20"/>
        </w:numPr>
        <w:spacing w:before="0" w:beforeAutospacing="0" w:after="240" w:afterAutospacing="0" w:line="360" w:lineRule="auto"/>
        <w:ind w:left="710" w:hanging="141"/>
        <w:jc w:val="both"/>
      </w:pPr>
      <w:r w:rsidRPr="00C3642C">
        <w:t>Houve uma sub</w:t>
      </w:r>
      <w:r w:rsidR="006A2291" w:rsidRPr="00C3642C">
        <w:t>stantiva perda representativa das</w:t>
      </w:r>
      <w:r w:rsidRPr="00C3642C">
        <w:t xml:space="preserve"> “empresas brasileiras”</w:t>
      </w:r>
      <w:r w:rsidR="006A2291" w:rsidRPr="00C3642C">
        <w:t xml:space="preserve"> transnacionalizadas: de 17 grupos em 2007 desceram para 9 em 2010, uma perda de quase 50% de representação. </w:t>
      </w:r>
      <w:r w:rsidR="0046535E" w:rsidRPr="00C3642C">
        <w:t>Dentre as alterações</w:t>
      </w:r>
      <w:r w:rsidR="006A2291" w:rsidRPr="00C3642C">
        <w:t xml:space="preserve">, duas saltaram aos olhos: </w:t>
      </w:r>
      <w:r w:rsidR="0046535E" w:rsidRPr="00C3642C">
        <w:t xml:space="preserve">a saída de </w:t>
      </w:r>
      <w:r w:rsidR="0046535E" w:rsidRPr="00C3642C">
        <w:rPr>
          <w:i/>
        </w:rPr>
        <w:t>grandes grupos bancáriose financeiros não bancários</w:t>
      </w:r>
      <w:r w:rsidR="0046535E" w:rsidRPr="00C3642C">
        <w:t xml:space="preserve"> (Bradesco, Itaú – agora ali</w:t>
      </w:r>
      <w:r w:rsidR="00E05F7C" w:rsidRPr="00C3642C">
        <w:t xml:space="preserve">ado ao Unibanco -, BM&amp;FBOVESPA) e grandes grupos que, dentre suas atividades, envolviam </w:t>
      </w:r>
      <w:r w:rsidR="00E05F7C" w:rsidRPr="00C3642C">
        <w:rPr>
          <w:i/>
        </w:rPr>
        <w:t>produção e exportação de commodities</w:t>
      </w:r>
      <w:r w:rsidR="00E05F7C" w:rsidRPr="00C3642C">
        <w:t>: Usiminas, CSN, Cia. Brasileira de Metalurgia e Mineração, Cia Vale do Rio Doce, Grupo Rodobens, Empresas Petróleo Ipiranga, Sucocítrico Cutrale. Ocorreu um esvaziamento desses setores, permanecendo alguns de seus grandes representantes (Santander, Grupo Gerdau, Grupo Alu</w:t>
      </w:r>
      <w:r w:rsidR="009023FA" w:rsidRPr="00C3642C">
        <w:t>sa, Suzano Holding) e o ingresso, em 2010, do Grupo Odebrecht.</w:t>
      </w:r>
    </w:p>
    <w:p w:rsidR="009D59DB" w:rsidRPr="00C3642C" w:rsidRDefault="009023FA" w:rsidP="00FA1601">
      <w:pPr>
        <w:pStyle w:val="NormalWeb"/>
        <w:numPr>
          <w:ilvl w:val="0"/>
          <w:numId w:val="20"/>
        </w:numPr>
        <w:spacing w:before="0" w:beforeAutospacing="0" w:after="240" w:afterAutospacing="0" w:line="360" w:lineRule="auto"/>
        <w:ind w:left="710" w:hanging="141"/>
        <w:jc w:val="both"/>
      </w:pPr>
      <w:r w:rsidRPr="00C3642C">
        <w:t xml:space="preserve">Ocorreu substancial ingresso de conselheiros que representavam </w:t>
      </w:r>
      <w:r w:rsidRPr="00C3642C">
        <w:rPr>
          <w:i/>
        </w:rPr>
        <w:t>grandes grupos estrangeiros</w:t>
      </w:r>
      <w:r w:rsidRPr="00C3642C">
        <w:t xml:space="preserve">: de 4 grupos estrangeiros representados em 2006, alcançou-se 10 </w:t>
      </w:r>
      <w:r w:rsidR="000C5429" w:rsidRPr="00C3642C">
        <w:t xml:space="preserve">grupos </w:t>
      </w:r>
      <w:r w:rsidRPr="00C3642C">
        <w:t xml:space="preserve">em 2010, com crescimento de 150%. </w:t>
      </w:r>
      <w:r w:rsidR="000C5429" w:rsidRPr="00C3642C">
        <w:t>Eram todos grandes</w:t>
      </w:r>
      <w:r w:rsidRPr="00C3642C">
        <w:t xml:space="preserve"> grupos </w:t>
      </w:r>
      <w:r w:rsidR="000C5429" w:rsidRPr="00C3642C">
        <w:t xml:space="preserve">do capital </w:t>
      </w:r>
      <w:r w:rsidRPr="00C3642C">
        <w:t xml:space="preserve">monopolista: </w:t>
      </w:r>
      <w:r w:rsidR="000C5429" w:rsidRPr="00C3642C">
        <w:t>Dufry do Brasil, Nestlé do Brasil, Mercedes-Benz do Brasil, Ford Motors Company do Brasil, Grupo Telefônica, Siemens do Brasil, CPM Bráxis Capgemini, Fiat do Brasil, Price Watherhouse Coopers Brasil, BNP Paribas Asset Management Brasil. Dos grandes grupos estrangeiros saiu apenas o Citibank, em 2007, com os demais bancos, mas o Santander se manteve. A Nestlé saiu em 2009.</w:t>
      </w:r>
    </w:p>
    <w:p w:rsidR="00FD610C" w:rsidRPr="00FB31A2" w:rsidRDefault="00332E06" w:rsidP="00E50AA1">
      <w:pPr>
        <w:pStyle w:val="NormalWeb"/>
        <w:spacing w:before="0" w:beforeAutospacing="0" w:after="0" w:afterAutospacing="0" w:line="360" w:lineRule="auto"/>
        <w:jc w:val="center"/>
        <w:rPr>
          <w:color w:val="FF0000"/>
        </w:rPr>
      </w:pPr>
      <w:r w:rsidRPr="00FB31A2">
        <w:rPr>
          <w:noProof/>
          <w:color w:val="FF0000"/>
        </w:rPr>
        <w:drawing>
          <wp:inline distT="0" distB="0" distL="0" distR="0">
            <wp:extent cx="5402599" cy="2347415"/>
            <wp:effectExtent l="19050" t="0" r="26651" b="0"/>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0D7F" w:rsidRPr="00720548" w:rsidRDefault="00D1400E" w:rsidP="00E50AA1">
      <w:pPr>
        <w:pStyle w:val="NormalWeb"/>
        <w:spacing w:before="0" w:beforeAutospacing="0" w:after="240" w:afterAutospacing="0" w:line="360" w:lineRule="auto"/>
        <w:jc w:val="center"/>
        <w:rPr>
          <w:color w:val="FF0000"/>
        </w:rPr>
      </w:pPr>
      <w:r>
        <w:rPr>
          <w:b/>
          <w:sz w:val="18"/>
          <w:szCs w:val="18"/>
        </w:rPr>
        <w:t>Elaboração própria</w:t>
      </w:r>
      <w:r w:rsidR="00720548">
        <w:rPr>
          <w:b/>
          <w:sz w:val="18"/>
          <w:szCs w:val="18"/>
        </w:rPr>
        <w:t>. Fontes:</w:t>
      </w:r>
      <w:r w:rsidR="00720548">
        <w:rPr>
          <w:sz w:val="18"/>
          <w:szCs w:val="18"/>
        </w:rPr>
        <w:t xml:space="preserve"> site do Econoinfo, Revista Valor Grandes Grupos e Balanço Anual Gazeta Mercantil.</w:t>
      </w:r>
    </w:p>
    <w:p w:rsidR="00FD610C" w:rsidRPr="00C3642C" w:rsidRDefault="009A3111" w:rsidP="00FD610C">
      <w:pPr>
        <w:pStyle w:val="NormalWeb"/>
        <w:spacing w:before="0" w:beforeAutospacing="0" w:after="0" w:afterAutospacing="0" w:line="360" w:lineRule="auto"/>
        <w:ind w:firstLine="708"/>
        <w:jc w:val="both"/>
      </w:pPr>
      <w:r>
        <w:t>Tratou-se, d</w:t>
      </w:r>
      <w:r w:rsidR="00FD610C" w:rsidRPr="00C3642C">
        <w:t>es</w:t>
      </w:r>
      <w:r>
        <w:t>s</w:t>
      </w:r>
      <w:r w:rsidR="00FD610C" w:rsidRPr="00C3642C">
        <w:t xml:space="preserve">a forma, da entrada de dois grandes grupos internacionais (Siemens e Capgemini) com áreas de atuação bastante diversificadas (eletricidade, infraestrutura, telecomunicações, transporte, eletroeletrônicos, tecnologia da informação), com produção de serviços e produtos de </w:t>
      </w:r>
      <w:r w:rsidR="00FD610C" w:rsidRPr="00C3642C">
        <w:rPr>
          <w:i/>
        </w:rPr>
        <w:t>alto valor agregado</w:t>
      </w:r>
      <w:r w:rsidR="00FD610C" w:rsidRPr="00C3642C">
        <w:t>, uma prestigiada empresa de consultoria e auditoria no mercado global (PwC), um dos maiores bancos europeus (BNP Paribas), três gigantes na fabricação de automóveis</w:t>
      </w:r>
      <w:r w:rsidR="00D90D7F" w:rsidRPr="00C3642C">
        <w:t xml:space="preserve"> (Mercedes-Benz, Fiat e Ford)</w:t>
      </w:r>
      <w:r w:rsidR="00FD610C" w:rsidRPr="00C3642C">
        <w:t xml:space="preserve">, ramo industrial que jamais deixou de ter representatividade no CDES, seja através de diretores das grandes montadoras, seja através dos presidentes da ANFAVEA e, por último, o retorno da Telefônica após um ano de sua saída (2007). Por outro lado, verificamos a saída de 3 grandes siderúrgicas e metalúrgicas </w:t>
      </w:r>
      <w:r w:rsidR="00176CA6" w:rsidRPr="00C3642C">
        <w:t>“brasileiras”</w:t>
      </w:r>
      <w:r w:rsidR="00D90D7F" w:rsidRPr="00C3642C">
        <w:t xml:space="preserve"> (Usiminas, CSN e CBMM)</w:t>
      </w:r>
      <w:r w:rsidR="00FD610C" w:rsidRPr="00C3642C">
        <w:t xml:space="preserve">, uma das </w:t>
      </w:r>
      <w:r w:rsidR="007613A8" w:rsidRPr="00C3642C">
        <w:t>maiores</w:t>
      </w:r>
      <w:r w:rsidR="00FD610C" w:rsidRPr="00C3642C">
        <w:t xml:space="preserve"> mineradoras do mundo</w:t>
      </w:r>
      <w:r w:rsidR="00D90D7F" w:rsidRPr="00C3642C">
        <w:t xml:space="preserve"> (a Vale)</w:t>
      </w:r>
      <w:r w:rsidR="00FD610C" w:rsidRPr="00C3642C">
        <w:t xml:space="preserve">, dois dos maiores bancos </w:t>
      </w:r>
      <w:r w:rsidR="00176CA6" w:rsidRPr="00C3642C">
        <w:t>“brasileiros”</w:t>
      </w:r>
      <w:r w:rsidR="00D90D7F" w:rsidRPr="00C3642C">
        <w:t xml:space="preserve">(Bradesco e Itaú-Unibanco) </w:t>
      </w:r>
      <w:r w:rsidR="00FD610C" w:rsidRPr="00C3642C">
        <w:t xml:space="preserve">e a 2ª maior empresa exportadora de suco de laranja do mundo, a Cutrale. </w:t>
      </w:r>
    </w:p>
    <w:p w:rsidR="00FD610C" w:rsidRPr="00C3642C" w:rsidRDefault="00FD610C" w:rsidP="00C3642C">
      <w:pPr>
        <w:pStyle w:val="NormalWeb"/>
        <w:spacing w:before="0" w:beforeAutospacing="0" w:after="240" w:afterAutospacing="0" w:line="360" w:lineRule="auto"/>
        <w:ind w:firstLine="708"/>
        <w:jc w:val="both"/>
      </w:pPr>
      <w:r w:rsidRPr="00C3642C">
        <w:t>Como parênteses, vale mencionar que a Cutrale é acusada rotineiramente de exploração e ameaças a pequenos agricultores proprietários de pomares, de desrespeitar legislação trabalhista com demissão de funcionárias grávidas e descontos salariais indevidos, uso de agrotóxicos e grilagem de terras da União.</w:t>
      </w:r>
      <w:r w:rsidRPr="00C3642C">
        <w:rPr>
          <w:rStyle w:val="Refdenotaderodap"/>
        </w:rPr>
        <w:footnoteReference w:id="326"/>
      </w:r>
      <w:r w:rsidRPr="00C3642C">
        <w:t xml:space="preserve"> Altíssimos lucros e exacerbada truculência espelham o histórico padrão de atuação s</w:t>
      </w:r>
      <w:r w:rsidR="00CA0999">
        <w:t>o</w:t>
      </w:r>
      <w:r w:rsidRPr="00C3642C">
        <w:t xml:space="preserve">cioeconômico da burguesia brasileira, convocada a assumir, no CDES, compromisso com a “concertação ou pactuação nacional”. Não foi incomum, igualmente, encontrarmos notícias sobre relações mais estreitas entre alguns conselheiros-empresários e o então Presidente Lula. José Luis Cutrale Jr., conselheiro do CDES, relata muita proximidade com Lula </w:t>
      </w:r>
      <w:r w:rsidR="006D1F0A" w:rsidRPr="00C3642C">
        <w:t>(</w:t>
      </w:r>
      <w:r w:rsidRPr="00C3642C">
        <w:t>antes,</w:t>
      </w:r>
      <w:r w:rsidR="006D1F0A" w:rsidRPr="00C3642C">
        <w:t xml:space="preserve"> era próximo de </w:t>
      </w:r>
      <w:r w:rsidRPr="00C3642C">
        <w:t>Collor de Melo, sendo inclusive doador de sua campanha presidencial</w:t>
      </w:r>
      <w:r w:rsidR="006D1F0A" w:rsidRPr="00C3642C">
        <w:t>). Em 2003</w:t>
      </w:r>
      <w:r w:rsidRPr="00C3642C">
        <w:t xml:space="preserve">, </w:t>
      </w:r>
      <w:r w:rsidR="006D1F0A" w:rsidRPr="00C3642C">
        <w:t>Cutrale Jr. fez</w:t>
      </w:r>
      <w:r w:rsidRPr="00C3642C">
        <w:t xml:space="preserve"> generosa doação </w:t>
      </w:r>
      <w:r w:rsidR="006D1F0A" w:rsidRPr="00C3642C">
        <w:t xml:space="preserve">de 4 milhões de reais para a candidatura Lula </w:t>
      </w:r>
      <w:r w:rsidR="003044EA">
        <w:t>(ver tabela 2.3</w:t>
      </w:r>
      <w:r w:rsidRPr="00C3642C">
        <w:t>). A revista Veja, de 14 de maio de 2003, expõe a camaradagem entre os dois novos companheiros:</w:t>
      </w:r>
    </w:p>
    <w:p w:rsidR="00FD610C" w:rsidRPr="00C3642C" w:rsidRDefault="00FD610C" w:rsidP="00FD610C">
      <w:pPr>
        <w:pStyle w:val="NormalWeb"/>
        <w:spacing w:before="0" w:beforeAutospacing="0" w:after="240" w:afterAutospacing="0"/>
        <w:ind w:left="2268"/>
        <w:jc w:val="both"/>
        <w:rPr>
          <w:sz w:val="20"/>
          <w:szCs w:val="20"/>
        </w:rPr>
      </w:pPr>
      <w:r w:rsidRPr="00C3642C">
        <w:rPr>
          <w:sz w:val="20"/>
          <w:szCs w:val="20"/>
        </w:rPr>
        <w:t>No governo Lula, Cutrale conta que mantém boas relações com o presidente. Elas se tornaram amistosas depois que, durante a campanha, Lula o tranq</w:t>
      </w:r>
      <w:r w:rsidR="005913F9">
        <w:rPr>
          <w:sz w:val="20"/>
          <w:szCs w:val="20"/>
        </w:rPr>
        <w:t>u</w:t>
      </w:r>
      <w:r w:rsidRPr="00C3642C">
        <w:rPr>
          <w:sz w:val="20"/>
          <w:szCs w:val="20"/>
        </w:rPr>
        <w:t>ilizou a respeito do que faria com a economia em caso de vitória. "Ele me disse que não ia mexer com quem estava produzindo e que o que ia fazer era colocar o governo para ajudar os pobres. Acreditei." Num dos encontros com a reportagem de VEJA, José Luís sacou da pasta um punhado de charutos cubanos da marca Cohiba e Montecristo para dizer em seguida: "Esses eu estou levando para o Lula".</w:t>
      </w:r>
      <w:r w:rsidRPr="00C3642C">
        <w:rPr>
          <w:rStyle w:val="Refdenotaderodap"/>
          <w:sz w:val="20"/>
          <w:szCs w:val="20"/>
        </w:rPr>
        <w:footnoteReference w:id="327"/>
      </w:r>
    </w:p>
    <w:p w:rsidR="005631C1" w:rsidRPr="00C3642C" w:rsidRDefault="00FD610C" w:rsidP="00FD610C">
      <w:pPr>
        <w:pStyle w:val="NormalWeb"/>
        <w:spacing w:before="0" w:beforeAutospacing="0" w:after="240" w:afterAutospacing="0" w:line="360" w:lineRule="auto"/>
        <w:ind w:firstLine="708"/>
        <w:jc w:val="both"/>
      </w:pPr>
      <w:r w:rsidRPr="00C3642C">
        <w:t xml:space="preserve">As renovações plenárias </w:t>
      </w:r>
      <w:r w:rsidR="006D1F0A" w:rsidRPr="00C3642C">
        <w:t>ocorridas</w:t>
      </w:r>
      <w:r w:rsidRPr="00C3642C">
        <w:t xml:space="preserve"> entre 2007 e 2010 nos permitem,</w:t>
      </w:r>
      <w:r w:rsidR="00D90D7F" w:rsidRPr="00C3642C">
        <w:t xml:space="preserve"> a partir das características dos grandes grupos</w:t>
      </w:r>
      <w:r w:rsidRPr="00C3642C">
        <w:t xml:space="preserve">, dos setores de atividade e do porte econômico apresentados pelos grupos e firmas entrantes e retirados, sob pena de não cair em exageros, afirmar que: </w:t>
      </w:r>
    </w:p>
    <w:p w:rsidR="00307CA7" w:rsidRPr="00D93CBD" w:rsidRDefault="005631C1" w:rsidP="00FA1601">
      <w:pPr>
        <w:pStyle w:val="NormalWeb"/>
        <w:numPr>
          <w:ilvl w:val="0"/>
          <w:numId w:val="21"/>
        </w:numPr>
        <w:spacing w:before="0" w:beforeAutospacing="0" w:after="240" w:afterAutospacing="0" w:line="360" w:lineRule="auto"/>
        <w:ind w:left="851" w:hanging="284"/>
        <w:jc w:val="both"/>
      </w:pPr>
      <w:r w:rsidRPr="00D93CBD">
        <w:t>H</w:t>
      </w:r>
      <w:r w:rsidR="00FD610C" w:rsidRPr="00D93CBD">
        <w:t xml:space="preserve">ouve forte perda da representatividade numérica de grandes grupos econômicos </w:t>
      </w:r>
      <w:r w:rsidR="00D90D7F" w:rsidRPr="00D93CBD">
        <w:t>brasileiros</w:t>
      </w:r>
      <w:r w:rsidR="00FD610C" w:rsidRPr="00D93CBD">
        <w:t xml:space="preserve"> transnaciona</w:t>
      </w:r>
      <w:r w:rsidR="00D90D7F" w:rsidRPr="00D93CBD">
        <w:t>is</w:t>
      </w:r>
      <w:r w:rsidR="00FD610C" w:rsidRPr="00D93CBD">
        <w:t>, ainda que se mantivessem e/ou ingressassem alguns com este perfil</w:t>
      </w:r>
      <w:r w:rsidR="00D90D7F" w:rsidRPr="00D93CBD">
        <w:t xml:space="preserve"> (O</w:t>
      </w:r>
      <w:r w:rsidRPr="00D93CBD">
        <w:t>debrecht,</w:t>
      </w:r>
      <w:r w:rsidR="00D90D7F" w:rsidRPr="00D93CBD">
        <w:t xml:space="preserve"> Embraer, </w:t>
      </w:r>
      <w:r w:rsidRPr="00D93CBD">
        <w:t xml:space="preserve">DHB Automotivos, </w:t>
      </w:r>
      <w:r w:rsidR="00D90D7F" w:rsidRPr="00D93CBD">
        <w:t>por exemplo)</w:t>
      </w:r>
      <w:r w:rsidR="00307CA7" w:rsidRPr="00D93CBD">
        <w:t>, envolvidos com a produção e exportação de commodities.</w:t>
      </w:r>
    </w:p>
    <w:p w:rsidR="00D4769E" w:rsidRPr="00D93CBD" w:rsidRDefault="00D4769E" w:rsidP="00FA1601">
      <w:pPr>
        <w:pStyle w:val="NormalWeb"/>
        <w:numPr>
          <w:ilvl w:val="0"/>
          <w:numId w:val="21"/>
        </w:numPr>
        <w:spacing w:before="0" w:beforeAutospacing="0" w:after="240" w:afterAutospacing="0" w:line="360" w:lineRule="auto"/>
        <w:ind w:left="851" w:hanging="284"/>
        <w:jc w:val="both"/>
      </w:pPr>
      <w:r w:rsidRPr="00D93CBD">
        <w:t xml:space="preserve"> P</w:t>
      </w:r>
      <w:r w:rsidR="005631C1" w:rsidRPr="00D93CBD">
        <w:t>arece</w:t>
      </w:r>
      <w:r w:rsidRPr="00D93CBD">
        <w:t>-nos</w:t>
      </w:r>
      <w:r w:rsidR="005631C1" w:rsidRPr="00D93CBD">
        <w:t xml:space="preserve"> que ess</w:t>
      </w:r>
      <w:r w:rsidR="00FD610C" w:rsidRPr="00D93CBD">
        <w:t xml:space="preserve">a perda </w:t>
      </w:r>
      <w:r w:rsidR="005631C1" w:rsidRPr="00D93CBD">
        <w:t>foi ocupada pela</w:t>
      </w:r>
      <w:r w:rsidR="00C74C2B" w:rsidRPr="00D93CBD">
        <w:t xml:space="preserve"> ascensão de grupos e firmas brasileir</w:t>
      </w:r>
      <w:r w:rsidR="005631C1" w:rsidRPr="00D93CBD">
        <w:t>a</w:t>
      </w:r>
      <w:r w:rsidR="00C74C2B" w:rsidRPr="00D93CBD">
        <w:t>s</w:t>
      </w:r>
      <w:r w:rsidR="00FD610C" w:rsidRPr="00D93CBD">
        <w:t xml:space="preserve"> de médio</w:t>
      </w:r>
      <w:r w:rsidR="00C74C2B" w:rsidRPr="00D93CBD">
        <w:t>,</w:t>
      </w:r>
      <w:r w:rsidR="00FD610C" w:rsidRPr="00D93CBD">
        <w:t xml:space="preserve"> médio-grande</w:t>
      </w:r>
      <w:r w:rsidR="00C74C2B" w:rsidRPr="00D93CBD">
        <w:t xml:space="preserve"> e grande porte</w:t>
      </w:r>
      <w:r w:rsidR="00D90D7F" w:rsidRPr="00D93CBD">
        <w:t xml:space="preserve"> (</w:t>
      </w:r>
      <w:r w:rsidR="00C74C2B" w:rsidRPr="00D93CBD">
        <w:t xml:space="preserve">de atividades </w:t>
      </w:r>
      <w:r w:rsidR="00D90D7F" w:rsidRPr="00D93CBD">
        <w:t>educacionais, de produção de máquinas e equipamentos e comercia</w:t>
      </w:r>
      <w:r w:rsidR="00C74C2B" w:rsidRPr="00D93CBD">
        <w:t>is, a exemplo da Magazine Luiza,</w:t>
      </w:r>
      <w:r w:rsidR="00D90D7F" w:rsidRPr="00D93CBD">
        <w:t xml:space="preserve"> Dudalina</w:t>
      </w:r>
      <w:r w:rsidR="00C74C2B" w:rsidRPr="00D93CBD">
        <w:t xml:space="preserve"> e Martins Distribuidora</w:t>
      </w:r>
      <w:r w:rsidR="00D90D7F" w:rsidRPr="00D93CBD">
        <w:t xml:space="preserve">), mas, principalmente, </w:t>
      </w:r>
      <w:r w:rsidR="00D90D7F" w:rsidRPr="00D93CBD">
        <w:rPr>
          <w:i/>
        </w:rPr>
        <w:t xml:space="preserve">do ingresso do </w:t>
      </w:r>
      <w:r w:rsidR="00FD610C" w:rsidRPr="00D93CBD">
        <w:rPr>
          <w:i/>
        </w:rPr>
        <w:t>grande capita</w:t>
      </w:r>
      <w:r w:rsidR="005631C1" w:rsidRPr="00D93CBD">
        <w:rPr>
          <w:i/>
        </w:rPr>
        <w:t>l estrangeiro;</w:t>
      </w:r>
      <w:r w:rsidR="005631C1" w:rsidRPr="00D93CBD">
        <w:t xml:space="preserve"> b.1) ao primeiro </w:t>
      </w:r>
      <w:r w:rsidR="00FD610C" w:rsidRPr="00D93CBD">
        <w:t xml:space="preserve">segmento </w:t>
      </w:r>
      <w:r w:rsidR="005631C1" w:rsidRPr="00D93CBD">
        <w:t xml:space="preserve">(empresas brasileiras de médio e médio-grande porte) </w:t>
      </w:r>
      <w:r w:rsidR="00FD610C" w:rsidRPr="00D93CBD">
        <w:t>podemos destacar o incremento de empresas cujos conselheiros eram proprietários de construtoras mais voltadas à construção civil e incorporadoras do que a grandes obras de infraestrutura</w:t>
      </w:r>
      <w:r w:rsidR="00C74C2B" w:rsidRPr="00D93CBD">
        <w:t xml:space="preserve"> (com exceção da Odebrecht)</w:t>
      </w:r>
      <w:r w:rsidR="00FD610C" w:rsidRPr="00D93CBD">
        <w:t xml:space="preserve">, seguido de uma </w:t>
      </w:r>
      <w:r w:rsidR="00C74C2B" w:rsidRPr="00D93CBD">
        <w:t>variedade</w:t>
      </w:r>
      <w:r w:rsidR="00FD610C" w:rsidRPr="00D93CBD">
        <w:t xml:space="preserve"> de empresas de diferentes atividades econômicas, </w:t>
      </w:r>
      <w:r w:rsidR="00C74C2B" w:rsidRPr="00D93CBD">
        <w:rPr>
          <w:i/>
        </w:rPr>
        <w:t>sem abdicar d</w:t>
      </w:r>
      <w:r w:rsidRPr="00D93CBD">
        <w:rPr>
          <w:i/>
        </w:rPr>
        <w:t>o ingresso</w:t>
      </w:r>
      <w:r w:rsidR="00C74C2B" w:rsidRPr="00D93CBD">
        <w:rPr>
          <w:i/>
        </w:rPr>
        <w:t xml:space="preserve"> significativ</w:t>
      </w:r>
      <w:r w:rsidRPr="00D93CBD">
        <w:rPr>
          <w:i/>
        </w:rPr>
        <w:t>o</w:t>
      </w:r>
      <w:r w:rsidR="00C74C2B" w:rsidRPr="00D93CBD">
        <w:rPr>
          <w:i/>
        </w:rPr>
        <w:t xml:space="preserve"> de grandes grupos econômicos</w:t>
      </w:r>
      <w:r w:rsidRPr="00D93CBD">
        <w:t>;</w:t>
      </w:r>
      <w:r w:rsidR="00FD610C" w:rsidRPr="00D93CBD">
        <w:t xml:space="preserve"> b.2) ao segundo segmento</w:t>
      </w:r>
      <w:r w:rsidRPr="00D93CBD">
        <w:t xml:space="preserve"> (empresas estrangeiras)</w:t>
      </w:r>
      <w:r w:rsidR="00FD610C" w:rsidRPr="00D93CBD">
        <w:t xml:space="preserve">, além de banco, montadoras e comércio em aeroportos, nos parece que houve uma maior convocação de empresários que atuavam na prestação de serviços que exigem </w:t>
      </w:r>
      <w:r w:rsidRPr="00D93CBD">
        <w:t xml:space="preserve">produção e gestão em </w:t>
      </w:r>
      <w:r w:rsidR="00FD610C" w:rsidRPr="00D93CBD">
        <w:rPr>
          <w:i/>
        </w:rPr>
        <w:t>alta tecnologia</w:t>
      </w:r>
      <w:r w:rsidRPr="00D93CBD">
        <w:t xml:space="preserve">(Siemens, </w:t>
      </w:r>
      <w:r w:rsidR="007613A8" w:rsidRPr="00D93CBD">
        <w:t>CPM Bráxis Capgemini)</w:t>
      </w:r>
      <w:r w:rsidR="004D629A" w:rsidRPr="00D93CBD">
        <w:t>, mas sem dúvidas, com eles se aprofundou o grau de concentração de capitais representados no Conselho.</w:t>
      </w:r>
    </w:p>
    <w:p w:rsidR="00C3642C" w:rsidRPr="00D93CBD" w:rsidRDefault="00D4769E" w:rsidP="00FA1601">
      <w:pPr>
        <w:pStyle w:val="NormalWeb"/>
        <w:numPr>
          <w:ilvl w:val="0"/>
          <w:numId w:val="21"/>
        </w:numPr>
        <w:spacing w:before="0" w:beforeAutospacing="0" w:after="240" w:afterAutospacing="0" w:line="360" w:lineRule="auto"/>
        <w:ind w:left="851" w:hanging="284"/>
        <w:jc w:val="both"/>
      </w:pPr>
      <w:r w:rsidRPr="00D93CBD">
        <w:t>C</w:t>
      </w:r>
      <w:r w:rsidR="00FD610C" w:rsidRPr="00D93CBD">
        <w:t xml:space="preserve">omo observado, houve </w:t>
      </w:r>
      <w:r w:rsidRPr="00D93CBD">
        <w:t>significativo</w:t>
      </w:r>
      <w:r w:rsidR="00FD610C" w:rsidRPr="00D93CBD">
        <w:t xml:space="preserve"> incremento de grupos e firmas de </w:t>
      </w:r>
      <w:r w:rsidRPr="00D93CBD">
        <w:t xml:space="preserve">brasileiras </w:t>
      </w:r>
      <w:r w:rsidR="00FD610C" w:rsidRPr="00D93CBD">
        <w:t xml:space="preserve"> não transnacionaliza</w:t>
      </w:r>
      <w:r w:rsidRPr="00D93CBD">
        <w:t>das (quase 25%), e muito provavelmente com menor</w:t>
      </w:r>
      <w:r w:rsidR="00FD610C" w:rsidRPr="00D93CBD">
        <w:t xml:space="preserve"> de </w:t>
      </w:r>
      <w:r w:rsidRPr="00D93CBD">
        <w:t xml:space="preserve">concentração de </w:t>
      </w:r>
      <w:r w:rsidR="00FD610C" w:rsidRPr="00D93CBD">
        <w:t>capital se comparado aos seus antecessores</w:t>
      </w:r>
      <w:r w:rsidR="00C3642C" w:rsidRPr="00D93CBD">
        <w:t>.</w:t>
      </w:r>
    </w:p>
    <w:p w:rsidR="00D4769E" w:rsidRPr="00D93CBD" w:rsidRDefault="00307CA7" w:rsidP="00C3642C">
      <w:pPr>
        <w:pStyle w:val="NormalWeb"/>
        <w:spacing w:before="0" w:beforeAutospacing="0" w:after="240" w:afterAutospacing="0" w:line="360" w:lineRule="auto"/>
        <w:ind w:left="66" w:firstLine="642"/>
        <w:jc w:val="both"/>
      </w:pPr>
      <w:r w:rsidRPr="00D93CBD">
        <w:t xml:space="preserve">Estas considerações nos levam a </w:t>
      </w:r>
      <w:r w:rsidRPr="00D93CBD">
        <w:rPr>
          <w:i/>
        </w:rPr>
        <w:t>supor</w:t>
      </w:r>
      <w:r w:rsidRPr="00D93CBD">
        <w:t xml:space="preserve">, guiado pelas leituras das atas e da documentação do CDES no segundo governo Lula da Silva, que a SEDES/SRI/PR optou por realizar um rearranjo na estrutura da composição do CDES, </w:t>
      </w:r>
      <w:r w:rsidR="00E3474E" w:rsidRPr="00D93CBD">
        <w:t xml:space="preserve">em 2007, </w:t>
      </w:r>
      <w:r w:rsidRPr="00D93CBD">
        <w:t xml:space="preserve">mantendo seu caráter monopolista, mas convocando conselheiros representantes de grupos que se </w:t>
      </w:r>
      <w:r w:rsidR="00213967" w:rsidRPr="00D93CBD">
        <w:t>(des)</w:t>
      </w:r>
      <w:r w:rsidRPr="00D93CBD">
        <w:t>vinculassem: i) ao aprofundamento junto ao capital produtivo (produtor de valor), preterindo os setores diretamente voltados à fração bancária e financeira não bancária (capital monetário), sem contudo dispensá-la, mas dirimindo sua força representativa</w:t>
      </w:r>
      <w:r w:rsidR="00CC7F99" w:rsidRPr="00D93CBD">
        <w:t>, talvez devido às tensões e críticas surgidas</w:t>
      </w:r>
      <w:r w:rsidR="00943D69" w:rsidRPr="00D93CBD">
        <w:t>,</w:t>
      </w:r>
      <w:r w:rsidR="00CC7F99" w:rsidRPr="00D93CBD">
        <w:t xml:space="preserve"> no período anterior, aos bancos ou, talvez</w:t>
      </w:r>
      <w:r w:rsidR="00943D69" w:rsidRPr="00D93CBD">
        <w:t xml:space="preserve">, </w:t>
      </w:r>
      <w:r w:rsidR="00CC7F99" w:rsidRPr="00D93CBD">
        <w:t xml:space="preserve">aliado </w:t>
      </w:r>
      <w:r w:rsidR="00943D69" w:rsidRPr="00D93CBD">
        <w:t>a</w:t>
      </w:r>
      <w:r w:rsidR="00CC7F99" w:rsidRPr="00D93CBD">
        <w:t xml:space="preserve">o fato de que o CDES não se configurava como um canal </w:t>
      </w:r>
      <w:r w:rsidR="009D07F0" w:rsidRPr="00D93CBD">
        <w:t xml:space="preserve">muito </w:t>
      </w:r>
      <w:r w:rsidR="00CC7F99" w:rsidRPr="00D93CBD">
        <w:t xml:space="preserve">eficiente de representação das demandas destes empresários;  </w:t>
      </w:r>
      <w:r w:rsidRPr="00D93CBD">
        <w:t xml:space="preserve">ii) </w:t>
      </w:r>
      <w:r w:rsidR="00213967" w:rsidRPr="00D93CBD">
        <w:t xml:space="preserve">aos grupos diretamente envolvidos com a produção e exportação de commodities, objeto de discussão quanto a necessidade de mudança do padrão produtivo do país, reveladas nas plenárias e documentação do CDES no período pós-crise de 2008, por ocasição da produção da Agenda para o Novo Ciclo de Desenvolvimento (ANC). Também aqui não se tratava de retirá-los totalmente; iii) a grupos econômicos voltados à construção civil e à infraestrutura, também objeto de grande debate no CDES, por ocasião do projeto habitacional Minha Casa Minha Vida (MCMV) e dos preparativos para os grandes eventos esportivos da Copa do Mundo de 2014 e das Olimpíadas de 2016 e da exploração da camada pré-sal, recém-descoberta. Soma-se a isso a ininterrupta demanda empresarial pela melhoria da infraestrutura energética, de transportes e de logística com vistas ao rebaixamento dos custos de produção; iv) </w:t>
      </w:r>
      <w:r w:rsidR="00CC7F99" w:rsidRPr="00D93CBD">
        <w:t xml:space="preserve">a grandes grupos que se credenciavam pelo </w:t>
      </w:r>
      <w:r w:rsidR="00CC7F99" w:rsidRPr="00D93CBD">
        <w:rPr>
          <w:i/>
        </w:rPr>
        <w:t xml:space="preserve">know-how </w:t>
      </w:r>
      <w:r w:rsidR="00CC7F99" w:rsidRPr="00D93CBD">
        <w:t xml:space="preserve">adquirido mundialmente na prestação de serviços de </w:t>
      </w:r>
      <w:r w:rsidR="00CC7F99" w:rsidRPr="00D93CBD">
        <w:rPr>
          <w:i/>
        </w:rPr>
        <w:t>alta tecnologia</w:t>
      </w:r>
      <w:r w:rsidR="00CC7F99" w:rsidRPr="00D93CBD">
        <w:t xml:space="preserve">, de fato pouco representado no CDES, em áreas como infraestrutura, logística, transportes, telecomunicações, informática, </w:t>
      </w:r>
      <w:r w:rsidR="00943D69" w:rsidRPr="00D93CBD">
        <w:t xml:space="preserve">robótica e </w:t>
      </w:r>
      <w:r w:rsidR="00943D69" w:rsidRPr="00D93CBD">
        <w:rPr>
          <w:i/>
        </w:rPr>
        <w:t xml:space="preserve">outsourcings </w:t>
      </w:r>
      <w:r w:rsidR="00943D69" w:rsidRPr="00D93CBD">
        <w:t>(empresas de terceirização), necessárias aos novos empreendimentos esperados.</w:t>
      </w:r>
      <w:r w:rsidR="009D07F0" w:rsidRPr="00D93CBD">
        <w:t xml:space="preserve"> Se aliarmos as discussões havidas, no pós-crise, da necessidade de mudança do padrão produtivo (sem abdicar das atividades exportadoras, mas agregando valor a elas)</w:t>
      </w:r>
      <w:r w:rsidR="00FB31A2" w:rsidRPr="00D93CBD">
        <w:t xml:space="preserve"> e, por outro lado, dos incentivos rec</w:t>
      </w:r>
      <w:r w:rsidR="009A3111">
        <w:t>ebidos pelas montadoras (aludido</w:t>
      </w:r>
      <w:r w:rsidR="00FB31A2" w:rsidRPr="00D93CBD">
        <w:t xml:space="preserve">s pelo próprio Lula da Silva em discursos nas plenárias do CDES) como meio de incentivo da cadeia de produção automotiva e </w:t>
      </w:r>
      <w:r w:rsidR="005625C4">
        <w:t>do</w:t>
      </w:r>
      <w:r w:rsidR="00C3642C" w:rsidRPr="00D93CBD">
        <w:t xml:space="preserve"> vislumbre</w:t>
      </w:r>
      <w:r w:rsidR="00FB31A2" w:rsidRPr="00D93CBD">
        <w:t xml:space="preserve"> de mudanças na infraestrutura geral do país, talvez a convocação destes representantes de empresas estrangeiras (que agora já não tem mais nada a ver com “lideranças ilibadas da sociedade civil”), se possa ter o caminho para o entendimento do ingresso desses grupos no CDES.</w:t>
      </w:r>
    </w:p>
    <w:p w:rsidR="00FD610C" w:rsidRPr="00DB6D1A" w:rsidRDefault="00FD610C" w:rsidP="0001658A">
      <w:pPr>
        <w:pStyle w:val="Cabealho"/>
        <w:spacing w:before="240" w:after="240"/>
        <w:jc w:val="both"/>
        <w:rPr>
          <w:rFonts w:ascii="Times New Roman" w:hAnsi="Times New Roman"/>
          <w:b/>
          <w:sz w:val="24"/>
          <w:szCs w:val="24"/>
        </w:rPr>
      </w:pPr>
      <w:r>
        <w:rPr>
          <w:rFonts w:ascii="Times New Roman" w:eastAsia="Times New Roman" w:hAnsi="Times New Roman"/>
          <w:b/>
          <w:color w:val="000000"/>
          <w:sz w:val="24"/>
          <w:szCs w:val="24"/>
          <w:lang w:eastAsia="pt-BR"/>
        </w:rPr>
        <w:t>2</w:t>
      </w:r>
      <w:r w:rsidRPr="00DB6D1A">
        <w:rPr>
          <w:rFonts w:ascii="Times New Roman" w:eastAsia="Times New Roman" w:hAnsi="Times New Roman"/>
          <w:b/>
          <w:color w:val="000000"/>
          <w:sz w:val="24"/>
          <w:szCs w:val="24"/>
          <w:lang w:eastAsia="pt-BR"/>
        </w:rPr>
        <w:t xml:space="preserve">.6 - </w:t>
      </w:r>
      <w:r w:rsidRPr="00DB6D1A">
        <w:rPr>
          <w:rFonts w:ascii="Times New Roman" w:hAnsi="Times New Roman"/>
          <w:b/>
          <w:sz w:val="24"/>
          <w:szCs w:val="24"/>
        </w:rPr>
        <w:t xml:space="preserve">Vinculações dos </w:t>
      </w:r>
      <w:r w:rsidR="00A50908">
        <w:rPr>
          <w:rFonts w:ascii="Times New Roman" w:hAnsi="Times New Roman"/>
          <w:b/>
          <w:sz w:val="24"/>
          <w:szCs w:val="24"/>
        </w:rPr>
        <w:t>c</w:t>
      </w:r>
      <w:r w:rsidRPr="00DB6D1A">
        <w:rPr>
          <w:rFonts w:ascii="Times New Roman" w:hAnsi="Times New Roman"/>
          <w:b/>
          <w:sz w:val="24"/>
          <w:szCs w:val="24"/>
        </w:rPr>
        <w:t>onselheiros-</w:t>
      </w:r>
      <w:r w:rsidR="00A50908">
        <w:rPr>
          <w:rFonts w:ascii="Times New Roman" w:hAnsi="Times New Roman"/>
          <w:b/>
          <w:sz w:val="24"/>
          <w:szCs w:val="24"/>
        </w:rPr>
        <w:t>e</w:t>
      </w:r>
      <w:r w:rsidRPr="00DB6D1A">
        <w:rPr>
          <w:rFonts w:ascii="Times New Roman" w:hAnsi="Times New Roman"/>
          <w:b/>
          <w:sz w:val="24"/>
          <w:szCs w:val="24"/>
        </w:rPr>
        <w:t>mpresários com os demai</w:t>
      </w:r>
      <w:r>
        <w:rPr>
          <w:rFonts w:ascii="Times New Roman" w:hAnsi="Times New Roman"/>
          <w:b/>
          <w:sz w:val="24"/>
          <w:szCs w:val="24"/>
        </w:rPr>
        <w:t>s órgãos da Sociedade Política</w:t>
      </w:r>
    </w:p>
    <w:p w:rsidR="00822FAC" w:rsidRPr="00D93CBD" w:rsidRDefault="00893947" w:rsidP="0001658A">
      <w:pPr>
        <w:pStyle w:val="Cabealho"/>
        <w:tabs>
          <w:tab w:val="clear" w:pos="4252"/>
          <w:tab w:val="clear" w:pos="8504"/>
          <w:tab w:val="right" w:pos="0"/>
        </w:tabs>
        <w:spacing w:before="240" w:line="360" w:lineRule="auto"/>
        <w:jc w:val="both"/>
        <w:rPr>
          <w:rFonts w:ascii="Times New Roman" w:hAnsi="Times New Roman"/>
          <w:sz w:val="24"/>
          <w:szCs w:val="24"/>
        </w:rPr>
      </w:pPr>
      <w:r>
        <w:rPr>
          <w:rFonts w:ascii="Times New Roman" w:hAnsi="Times New Roman"/>
          <w:sz w:val="24"/>
          <w:szCs w:val="24"/>
        </w:rPr>
        <w:tab/>
      </w:r>
      <w:r w:rsidRPr="00D93CBD">
        <w:rPr>
          <w:rFonts w:ascii="Times New Roman" w:hAnsi="Times New Roman"/>
          <w:sz w:val="24"/>
          <w:szCs w:val="24"/>
        </w:rPr>
        <w:t xml:space="preserve">Além de ser um fórum de convergência entre aparelhos privados de hegemonia empresariais e Estado restrito, o CDES também se credenciou como uma importante  plataforma de </w:t>
      </w:r>
      <w:r w:rsidR="00822FAC" w:rsidRPr="00D93CBD">
        <w:rPr>
          <w:rFonts w:ascii="Times New Roman" w:hAnsi="Times New Roman"/>
          <w:i/>
          <w:sz w:val="24"/>
          <w:szCs w:val="24"/>
        </w:rPr>
        <w:t xml:space="preserve">facilitação de </w:t>
      </w:r>
      <w:r w:rsidRPr="00D93CBD">
        <w:rPr>
          <w:rFonts w:ascii="Times New Roman" w:hAnsi="Times New Roman"/>
          <w:i/>
          <w:sz w:val="24"/>
          <w:szCs w:val="24"/>
        </w:rPr>
        <w:t>abertura</w:t>
      </w:r>
      <w:r w:rsidRPr="00D93CBD">
        <w:rPr>
          <w:rFonts w:ascii="Times New Roman" w:hAnsi="Times New Roman"/>
          <w:sz w:val="24"/>
          <w:szCs w:val="24"/>
        </w:rPr>
        <w:t xml:space="preserve"> de novos canais </w:t>
      </w:r>
      <w:r w:rsidR="00822FAC" w:rsidRPr="00D93CBD">
        <w:rPr>
          <w:rFonts w:ascii="Times New Roman" w:hAnsi="Times New Roman"/>
          <w:sz w:val="24"/>
          <w:szCs w:val="24"/>
        </w:rPr>
        <w:t>para a ampliação do ingresso</w:t>
      </w:r>
      <w:r w:rsidRPr="00D93CBD">
        <w:rPr>
          <w:rFonts w:ascii="Times New Roman" w:hAnsi="Times New Roman"/>
          <w:sz w:val="24"/>
          <w:szCs w:val="24"/>
        </w:rPr>
        <w:t xml:space="preserve"> do empresariado. As entidades empresariais</w:t>
      </w:r>
      <w:r w:rsidR="00DD124B" w:rsidRPr="00D93CBD">
        <w:rPr>
          <w:rFonts w:ascii="Times New Roman" w:hAnsi="Times New Roman"/>
          <w:sz w:val="24"/>
          <w:szCs w:val="24"/>
        </w:rPr>
        <w:t>, sabemos, já</w:t>
      </w:r>
      <w:r w:rsidRPr="00D93CBD">
        <w:rPr>
          <w:rFonts w:ascii="Times New Roman" w:hAnsi="Times New Roman"/>
          <w:sz w:val="24"/>
          <w:szCs w:val="24"/>
        </w:rPr>
        <w:t xml:space="preserve"> compareciam </w:t>
      </w:r>
      <w:r w:rsidR="00DD124B" w:rsidRPr="00D93CBD">
        <w:rPr>
          <w:rFonts w:ascii="Times New Roman" w:hAnsi="Times New Roman"/>
          <w:sz w:val="24"/>
          <w:szCs w:val="24"/>
        </w:rPr>
        <w:t>junto a órgãos, aparelhos e agências da sociedade política</w:t>
      </w:r>
      <w:r w:rsidRPr="00D93CBD">
        <w:rPr>
          <w:rFonts w:ascii="Times New Roman" w:hAnsi="Times New Roman"/>
          <w:sz w:val="24"/>
          <w:szCs w:val="24"/>
        </w:rPr>
        <w:t xml:space="preserve">, mas a pesquisa </w:t>
      </w:r>
      <w:r w:rsidR="00DD124B" w:rsidRPr="00D93CBD">
        <w:rPr>
          <w:rFonts w:ascii="Times New Roman" w:hAnsi="Times New Roman"/>
          <w:sz w:val="24"/>
          <w:szCs w:val="24"/>
        </w:rPr>
        <w:t xml:space="preserve">revelou </w:t>
      </w:r>
      <w:r w:rsidRPr="00D93CBD">
        <w:rPr>
          <w:rFonts w:ascii="Times New Roman" w:hAnsi="Times New Roman"/>
          <w:sz w:val="24"/>
          <w:szCs w:val="24"/>
        </w:rPr>
        <w:t xml:space="preserve">que o CDES </w:t>
      </w:r>
      <w:r w:rsidRPr="00D93CBD">
        <w:rPr>
          <w:rFonts w:ascii="Times New Roman" w:hAnsi="Times New Roman"/>
          <w:i/>
          <w:sz w:val="24"/>
          <w:szCs w:val="24"/>
        </w:rPr>
        <w:t>contribuiu</w:t>
      </w:r>
      <w:r w:rsidRPr="00D93CBD">
        <w:rPr>
          <w:rFonts w:ascii="Times New Roman" w:hAnsi="Times New Roman"/>
          <w:sz w:val="24"/>
          <w:szCs w:val="24"/>
        </w:rPr>
        <w:t xml:space="preserve"> para que </w:t>
      </w:r>
      <w:r w:rsidR="008B7EE6" w:rsidRPr="00D93CBD">
        <w:rPr>
          <w:rFonts w:ascii="Times New Roman" w:hAnsi="Times New Roman"/>
          <w:sz w:val="24"/>
          <w:szCs w:val="24"/>
        </w:rPr>
        <w:t xml:space="preserve">elas não apenas mantivessem, mas também </w:t>
      </w:r>
      <w:r w:rsidR="00CC7720" w:rsidRPr="00D93CBD">
        <w:rPr>
          <w:rFonts w:ascii="Times New Roman" w:hAnsi="Times New Roman"/>
          <w:sz w:val="24"/>
          <w:szCs w:val="24"/>
        </w:rPr>
        <w:t>adentrassem em</w:t>
      </w:r>
      <w:r w:rsidR="00DD124B" w:rsidRPr="00D93CBD">
        <w:rPr>
          <w:rFonts w:ascii="Times New Roman" w:hAnsi="Times New Roman"/>
          <w:sz w:val="24"/>
          <w:szCs w:val="24"/>
        </w:rPr>
        <w:t xml:space="preserve">outros órgãos do Estado para </w:t>
      </w:r>
      <w:r w:rsidR="008B7EE6" w:rsidRPr="00D93CBD">
        <w:rPr>
          <w:rFonts w:ascii="Times New Roman" w:hAnsi="Times New Roman"/>
          <w:sz w:val="24"/>
          <w:szCs w:val="24"/>
        </w:rPr>
        <w:t>a ampliação do seu escopo de intervenção e de</w:t>
      </w:r>
      <w:r w:rsidR="00DD124B" w:rsidRPr="00D93CBD">
        <w:rPr>
          <w:rFonts w:ascii="Times New Roman" w:hAnsi="Times New Roman"/>
          <w:sz w:val="24"/>
          <w:szCs w:val="24"/>
        </w:rPr>
        <w:t xml:space="preserve"> atendimento de suas demandas.</w:t>
      </w:r>
      <w:r w:rsidR="00AD0595" w:rsidRPr="00D93CBD">
        <w:rPr>
          <w:rFonts w:ascii="Times New Roman" w:hAnsi="Times New Roman"/>
          <w:sz w:val="24"/>
          <w:szCs w:val="24"/>
        </w:rPr>
        <w:t xml:space="preserve"> Os conselheiros-empresários pesquisados não apenas estavam entrelaçados no mundo dos negócios, nas variadas e distintas entidades da sociedade civil patronais e mercantil-filiantrópicas que criaram ou </w:t>
      </w:r>
      <w:r w:rsidR="00D93CBD" w:rsidRPr="00D93CBD">
        <w:rPr>
          <w:rFonts w:ascii="Times New Roman" w:hAnsi="Times New Roman"/>
          <w:sz w:val="24"/>
          <w:szCs w:val="24"/>
        </w:rPr>
        <w:t xml:space="preserve">às quais </w:t>
      </w:r>
      <w:r w:rsidR="00AD0595" w:rsidRPr="00D93CBD">
        <w:rPr>
          <w:rFonts w:ascii="Times New Roman" w:hAnsi="Times New Roman"/>
          <w:sz w:val="24"/>
          <w:szCs w:val="24"/>
        </w:rPr>
        <w:t>aderiram, mas também, na sociedade política (órgãos, agências, aparelhos do Estado restrito).</w:t>
      </w:r>
    </w:p>
    <w:p w:rsidR="00893947" w:rsidRPr="00D93CBD" w:rsidRDefault="00DD124B" w:rsidP="00893947">
      <w:pPr>
        <w:pStyle w:val="Cabealho"/>
        <w:tabs>
          <w:tab w:val="clear" w:pos="4252"/>
          <w:tab w:val="clear" w:pos="8504"/>
          <w:tab w:val="right" w:pos="0"/>
        </w:tabs>
        <w:spacing w:line="360" w:lineRule="auto"/>
        <w:jc w:val="both"/>
        <w:rPr>
          <w:rFonts w:ascii="Times New Roman" w:hAnsi="Times New Roman"/>
          <w:sz w:val="24"/>
          <w:szCs w:val="24"/>
        </w:rPr>
      </w:pPr>
      <w:r w:rsidRPr="0001658A">
        <w:rPr>
          <w:rFonts w:ascii="Times New Roman" w:hAnsi="Times New Roman"/>
          <w:color w:val="FF0000"/>
          <w:sz w:val="24"/>
          <w:szCs w:val="24"/>
        </w:rPr>
        <w:tab/>
      </w:r>
      <w:r w:rsidR="008B7EE6" w:rsidRPr="00D93CBD">
        <w:rPr>
          <w:rFonts w:ascii="Times New Roman" w:hAnsi="Times New Roman"/>
          <w:sz w:val="24"/>
          <w:szCs w:val="24"/>
        </w:rPr>
        <w:t xml:space="preserve">A ampliação empresarial do Estado, por </w:t>
      </w:r>
      <w:r w:rsidR="009F7B48" w:rsidRPr="00D93CBD">
        <w:rPr>
          <w:rFonts w:ascii="Times New Roman" w:hAnsi="Times New Roman"/>
          <w:i/>
          <w:sz w:val="24"/>
          <w:szCs w:val="24"/>
        </w:rPr>
        <w:t>influência</w:t>
      </w:r>
      <w:r w:rsidR="008B7EE6" w:rsidRPr="00D93CBD">
        <w:rPr>
          <w:rFonts w:ascii="Times New Roman" w:hAnsi="Times New Roman"/>
          <w:sz w:val="24"/>
          <w:szCs w:val="24"/>
        </w:rPr>
        <w:t xml:space="preserve"> do CDES, </w:t>
      </w:r>
      <w:r w:rsidR="00822FAC" w:rsidRPr="00D93CBD">
        <w:rPr>
          <w:rFonts w:ascii="Times New Roman" w:hAnsi="Times New Roman"/>
          <w:sz w:val="24"/>
          <w:szCs w:val="24"/>
        </w:rPr>
        <w:t>teve como carro-chefe a maior</w:t>
      </w:r>
      <w:r w:rsidR="008B7EE6" w:rsidRPr="00D93CBD">
        <w:rPr>
          <w:rFonts w:ascii="Times New Roman" w:hAnsi="Times New Roman"/>
          <w:sz w:val="24"/>
          <w:szCs w:val="24"/>
        </w:rPr>
        <w:t xml:space="preserve"> ocupação do </w:t>
      </w:r>
      <w:r w:rsidRPr="00D93CBD">
        <w:rPr>
          <w:rFonts w:ascii="Times New Roman" w:hAnsi="Times New Roman"/>
          <w:sz w:val="24"/>
          <w:szCs w:val="24"/>
        </w:rPr>
        <w:t>Ministério do Desenvolvimento da Indústria e Comércio (MDIC) e suas agências</w:t>
      </w:r>
      <w:r w:rsidR="008B7EE6" w:rsidRPr="00D93CBD">
        <w:rPr>
          <w:rFonts w:ascii="Times New Roman" w:hAnsi="Times New Roman"/>
          <w:sz w:val="24"/>
          <w:szCs w:val="24"/>
        </w:rPr>
        <w:t>. Este foi</w:t>
      </w:r>
      <w:r w:rsidRPr="00D93CBD">
        <w:rPr>
          <w:rFonts w:ascii="Times New Roman" w:hAnsi="Times New Roman"/>
          <w:sz w:val="24"/>
          <w:szCs w:val="24"/>
        </w:rPr>
        <w:t xml:space="preserve"> o aparelh</w:t>
      </w:r>
      <w:r w:rsidR="001C02C8">
        <w:rPr>
          <w:rFonts w:ascii="Times New Roman" w:hAnsi="Times New Roman"/>
          <w:sz w:val="24"/>
          <w:szCs w:val="24"/>
        </w:rPr>
        <w:t>o estatal onde mais se abrigava</w:t>
      </w:r>
      <w:r w:rsidRPr="00D93CBD">
        <w:rPr>
          <w:rFonts w:ascii="Times New Roman" w:hAnsi="Times New Roman"/>
          <w:sz w:val="24"/>
          <w:szCs w:val="24"/>
        </w:rPr>
        <w:t xml:space="preserve"> conselheiros-empresários do CDES. Basta lembrar que, nos dos governos Lula da Silva, </w:t>
      </w:r>
      <w:r w:rsidR="009A3111">
        <w:rPr>
          <w:rFonts w:ascii="Times New Roman" w:hAnsi="Times New Roman"/>
          <w:sz w:val="24"/>
          <w:szCs w:val="24"/>
        </w:rPr>
        <w:t xml:space="preserve">o ministro do MDIC, </w:t>
      </w:r>
      <w:r w:rsidRPr="00D93CBD">
        <w:rPr>
          <w:rFonts w:ascii="Times New Roman" w:hAnsi="Times New Roman"/>
          <w:sz w:val="24"/>
          <w:szCs w:val="24"/>
        </w:rPr>
        <w:t>Luiz Fernando Furlan, então presidente da Sadia, era um dos mais destacados empresários do capital produtor de valor</w:t>
      </w:r>
      <w:r w:rsidR="009A3111">
        <w:rPr>
          <w:rFonts w:ascii="Times New Roman" w:hAnsi="Times New Roman"/>
          <w:sz w:val="24"/>
          <w:szCs w:val="24"/>
        </w:rPr>
        <w:t>,</w:t>
      </w:r>
      <w:r w:rsidRPr="00D93CBD">
        <w:rPr>
          <w:rFonts w:ascii="Times New Roman" w:hAnsi="Times New Roman"/>
          <w:sz w:val="24"/>
          <w:szCs w:val="24"/>
        </w:rPr>
        <w:t xml:space="preserve"> com conexão em várias entidades patronais da sociedade civil e muito </w:t>
      </w:r>
      <w:r w:rsidR="006836F4" w:rsidRPr="00D93CBD">
        <w:rPr>
          <w:rFonts w:ascii="Times New Roman" w:hAnsi="Times New Roman"/>
          <w:sz w:val="24"/>
          <w:szCs w:val="24"/>
        </w:rPr>
        <w:t>reverenciado</w:t>
      </w:r>
      <w:r w:rsidRPr="00D93CBD">
        <w:rPr>
          <w:rFonts w:ascii="Times New Roman" w:hAnsi="Times New Roman"/>
          <w:sz w:val="24"/>
          <w:szCs w:val="24"/>
        </w:rPr>
        <w:t xml:space="preserve"> quando comparecia às plenárias do Conselho. Seu sucessor, Miguel João Jorge Filho, </w:t>
      </w:r>
      <w:r w:rsidR="008B7EE6" w:rsidRPr="00D93CBD">
        <w:rPr>
          <w:rFonts w:ascii="Times New Roman" w:hAnsi="Times New Roman"/>
          <w:sz w:val="24"/>
          <w:szCs w:val="24"/>
        </w:rPr>
        <w:t xml:space="preserve">também </w:t>
      </w:r>
      <w:r w:rsidRPr="00D93CBD">
        <w:rPr>
          <w:rFonts w:ascii="Times New Roman" w:hAnsi="Times New Roman"/>
          <w:sz w:val="24"/>
          <w:szCs w:val="24"/>
        </w:rPr>
        <w:t>destacado empresário que ocupara cargo de direção na Volkswagem (1988-2000) e no então Grupo</w:t>
      </w:r>
      <w:r w:rsidR="008B7EE6" w:rsidRPr="00D93CBD">
        <w:rPr>
          <w:rFonts w:ascii="Times New Roman" w:hAnsi="Times New Roman"/>
          <w:sz w:val="24"/>
          <w:szCs w:val="24"/>
        </w:rPr>
        <w:t xml:space="preserve"> Santander Banespa (2002-2007) – e entidades patronais destes setores -, </w:t>
      </w:r>
      <w:r w:rsidRPr="00D93CBD">
        <w:rPr>
          <w:rFonts w:ascii="Times New Roman" w:hAnsi="Times New Roman"/>
          <w:sz w:val="24"/>
          <w:szCs w:val="24"/>
        </w:rPr>
        <w:t>quando então alçou ao cargo de ministro do MDIC, foi conselheiro-empresá</w:t>
      </w:r>
      <w:r w:rsidR="00324589" w:rsidRPr="00D93CBD">
        <w:rPr>
          <w:rFonts w:ascii="Times New Roman" w:hAnsi="Times New Roman"/>
          <w:sz w:val="24"/>
          <w:szCs w:val="24"/>
        </w:rPr>
        <w:t xml:space="preserve">rio do CDES entre 2003 e 2007. </w:t>
      </w:r>
    </w:p>
    <w:p w:rsidR="00324589" w:rsidRPr="00D93CBD" w:rsidRDefault="00324589" w:rsidP="00893947">
      <w:pPr>
        <w:pStyle w:val="Cabealho"/>
        <w:tabs>
          <w:tab w:val="clear" w:pos="4252"/>
          <w:tab w:val="clear" w:pos="8504"/>
          <w:tab w:val="right" w:pos="0"/>
        </w:tabs>
        <w:spacing w:line="360" w:lineRule="auto"/>
        <w:jc w:val="both"/>
        <w:rPr>
          <w:rFonts w:ascii="Times New Roman" w:hAnsi="Times New Roman"/>
          <w:sz w:val="24"/>
          <w:szCs w:val="24"/>
        </w:rPr>
      </w:pPr>
      <w:r w:rsidRPr="00D93CBD">
        <w:rPr>
          <w:rFonts w:ascii="Times New Roman" w:hAnsi="Times New Roman"/>
          <w:sz w:val="24"/>
          <w:szCs w:val="24"/>
        </w:rPr>
        <w:tab/>
      </w:r>
      <w:r w:rsidR="00C96334" w:rsidRPr="00D93CBD">
        <w:rPr>
          <w:rFonts w:ascii="Times New Roman" w:hAnsi="Times New Roman"/>
          <w:sz w:val="24"/>
          <w:szCs w:val="24"/>
        </w:rPr>
        <w:t xml:space="preserve">Os conselheiros-empresários </w:t>
      </w:r>
      <w:r w:rsidRPr="00D93CBD">
        <w:rPr>
          <w:rFonts w:ascii="Times New Roman" w:hAnsi="Times New Roman"/>
          <w:sz w:val="24"/>
          <w:szCs w:val="24"/>
        </w:rPr>
        <w:t>t</w:t>
      </w:r>
      <w:r w:rsidR="00C96334" w:rsidRPr="00D93CBD">
        <w:rPr>
          <w:rFonts w:ascii="Times New Roman" w:hAnsi="Times New Roman"/>
          <w:sz w:val="24"/>
          <w:szCs w:val="24"/>
        </w:rPr>
        <w:t xml:space="preserve">iveramgrande </w:t>
      </w:r>
      <w:r w:rsidRPr="00D93CBD">
        <w:rPr>
          <w:rFonts w:ascii="Times New Roman" w:hAnsi="Times New Roman"/>
          <w:sz w:val="24"/>
          <w:szCs w:val="24"/>
        </w:rPr>
        <w:t>influência na criação de duas agências importantes de sustentação das demandas empresariais: o Conselho Nacional de Desenvolvimento Industrial (CNDI) e a Agência Brasileira de Desenvolvimento Industrial (ABDI)</w:t>
      </w:r>
      <w:r w:rsidR="004E4884" w:rsidRPr="00D93CBD">
        <w:rPr>
          <w:rFonts w:ascii="Times New Roman" w:hAnsi="Times New Roman"/>
          <w:sz w:val="24"/>
          <w:szCs w:val="24"/>
        </w:rPr>
        <w:t>,</w:t>
      </w:r>
      <w:r w:rsidR="004E4884" w:rsidRPr="00D93CBD">
        <w:rPr>
          <w:rStyle w:val="Refdenotaderodap"/>
          <w:rFonts w:ascii="Times New Roman" w:hAnsi="Times New Roman"/>
          <w:sz w:val="24"/>
          <w:szCs w:val="24"/>
        </w:rPr>
        <w:footnoteReference w:id="328"/>
      </w:r>
      <w:r w:rsidR="004E4884" w:rsidRPr="00D93CBD">
        <w:rPr>
          <w:rFonts w:ascii="Times New Roman" w:hAnsi="Times New Roman"/>
          <w:sz w:val="24"/>
          <w:szCs w:val="24"/>
        </w:rPr>
        <w:t xml:space="preserve"> ambas ligadas ao MDIC</w:t>
      </w:r>
      <w:r w:rsidRPr="00D93CBD">
        <w:rPr>
          <w:rFonts w:ascii="Times New Roman" w:hAnsi="Times New Roman"/>
          <w:sz w:val="24"/>
          <w:szCs w:val="24"/>
        </w:rPr>
        <w:t>.</w:t>
      </w:r>
      <w:r w:rsidR="009F7B48" w:rsidRPr="00D93CBD">
        <w:rPr>
          <w:rFonts w:ascii="Times New Roman" w:hAnsi="Times New Roman"/>
          <w:sz w:val="24"/>
          <w:szCs w:val="24"/>
        </w:rPr>
        <w:t xml:space="preserve"> Segundo Garcia, “</w:t>
      </w:r>
      <w:r w:rsidR="0029622E" w:rsidRPr="00D93CBD">
        <w:rPr>
          <w:rFonts w:ascii="Times New Roman" w:hAnsi="Times New Roman"/>
          <w:sz w:val="24"/>
          <w:szCs w:val="24"/>
        </w:rPr>
        <w:t xml:space="preserve">a </w:t>
      </w:r>
      <w:r w:rsidR="009F7B48" w:rsidRPr="00D93CBD">
        <w:rPr>
          <w:rFonts w:ascii="Times New Roman" w:hAnsi="Times New Roman"/>
          <w:sz w:val="24"/>
          <w:szCs w:val="24"/>
        </w:rPr>
        <w:t>criação do Conselho Nacional de Desenvolvimento Industrial, que tem se mostrado essencial para garantir legitimidade às ações da rec</w:t>
      </w:r>
      <w:r w:rsidR="005034FF" w:rsidRPr="00D93CBD">
        <w:rPr>
          <w:rFonts w:ascii="Times New Roman" w:hAnsi="Times New Roman"/>
          <w:sz w:val="24"/>
          <w:szCs w:val="24"/>
        </w:rPr>
        <w:t>ém-instalada Agê</w:t>
      </w:r>
      <w:r w:rsidR="00C61FBD" w:rsidRPr="00D93CBD">
        <w:rPr>
          <w:rFonts w:ascii="Times New Roman" w:hAnsi="Times New Roman"/>
          <w:sz w:val="24"/>
          <w:szCs w:val="24"/>
        </w:rPr>
        <w:t>ncia Brasileira de D</w:t>
      </w:r>
      <w:r w:rsidR="009F7B48" w:rsidRPr="00D93CBD">
        <w:rPr>
          <w:rFonts w:ascii="Times New Roman" w:hAnsi="Times New Roman"/>
          <w:sz w:val="24"/>
          <w:szCs w:val="24"/>
        </w:rPr>
        <w:t>esenvolvimento Industrial, resultou de uma demanda dos conselheiros”.</w:t>
      </w:r>
      <w:r w:rsidR="009F7B48" w:rsidRPr="00D93CBD">
        <w:rPr>
          <w:rStyle w:val="Refdenotaderodap"/>
          <w:rFonts w:ascii="Times New Roman" w:hAnsi="Times New Roman"/>
          <w:sz w:val="24"/>
          <w:szCs w:val="24"/>
        </w:rPr>
        <w:footnoteReference w:id="329"/>
      </w:r>
    </w:p>
    <w:p w:rsidR="00AA039C" w:rsidRPr="00D93CBD" w:rsidRDefault="005034FF" w:rsidP="0029622E">
      <w:pPr>
        <w:pStyle w:val="Cabealho"/>
        <w:tabs>
          <w:tab w:val="clear" w:pos="4252"/>
          <w:tab w:val="clear" w:pos="8504"/>
          <w:tab w:val="right" w:pos="0"/>
        </w:tabs>
        <w:spacing w:after="240" w:line="360" w:lineRule="auto"/>
        <w:jc w:val="both"/>
        <w:rPr>
          <w:rFonts w:ascii="Times New Roman" w:hAnsi="Times New Roman"/>
          <w:sz w:val="24"/>
          <w:szCs w:val="24"/>
        </w:rPr>
      </w:pPr>
      <w:r w:rsidRPr="00D93CBD">
        <w:rPr>
          <w:rFonts w:ascii="Times New Roman" w:hAnsi="Times New Roman"/>
          <w:sz w:val="24"/>
          <w:szCs w:val="24"/>
        </w:rPr>
        <w:tab/>
      </w:r>
      <w:r w:rsidR="00527F77" w:rsidRPr="00D93CBD">
        <w:rPr>
          <w:rFonts w:ascii="Times New Roman" w:hAnsi="Times New Roman"/>
          <w:sz w:val="24"/>
          <w:szCs w:val="24"/>
        </w:rPr>
        <w:t xml:space="preserve">A ligação mais orgânica do CDES com as </w:t>
      </w:r>
      <w:r w:rsidR="007676D0" w:rsidRPr="00D93CBD">
        <w:rPr>
          <w:rFonts w:ascii="Times New Roman" w:hAnsi="Times New Roman"/>
          <w:sz w:val="24"/>
          <w:szCs w:val="24"/>
        </w:rPr>
        <w:t xml:space="preserve">demais </w:t>
      </w:r>
      <w:r w:rsidR="00527F77" w:rsidRPr="00D93CBD">
        <w:rPr>
          <w:rFonts w:ascii="Times New Roman" w:hAnsi="Times New Roman"/>
          <w:sz w:val="24"/>
          <w:szCs w:val="24"/>
        </w:rPr>
        <w:t>agências da sociedade política foi com o CNDI. C</w:t>
      </w:r>
      <w:r w:rsidR="00AA039C" w:rsidRPr="00D93CBD">
        <w:rPr>
          <w:rFonts w:ascii="Times New Roman" w:hAnsi="Times New Roman"/>
          <w:sz w:val="24"/>
          <w:szCs w:val="24"/>
        </w:rPr>
        <w:t>riado em 2004,</w:t>
      </w:r>
      <w:r w:rsidRPr="00D93CBD">
        <w:rPr>
          <w:rFonts w:ascii="Times New Roman" w:hAnsi="Times New Roman"/>
          <w:sz w:val="24"/>
          <w:szCs w:val="24"/>
        </w:rPr>
        <w:t xml:space="preserve"> também era um órgão de caráter consultivo</w:t>
      </w:r>
      <w:r w:rsidR="00F619EB" w:rsidRPr="00D93CBD">
        <w:rPr>
          <w:rFonts w:ascii="Times New Roman" w:hAnsi="Times New Roman"/>
          <w:sz w:val="24"/>
          <w:szCs w:val="24"/>
        </w:rPr>
        <w:t xml:space="preserve">, com representantes de 13 ministros, 11 lideranças empresariais e de 3 representantes </w:t>
      </w:r>
      <w:r w:rsidR="00AA039C" w:rsidRPr="00D93CBD">
        <w:rPr>
          <w:rFonts w:ascii="Times New Roman" w:hAnsi="Times New Roman"/>
          <w:sz w:val="24"/>
          <w:szCs w:val="24"/>
        </w:rPr>
        <w:t>do setor laboral</w:t>
      </w:r>
      <w:r w:rsidR="00AA039C" w:rsidRPr="00D93CBD">
        <w:rPr>
          <w:rStyle w:val="Refdenotaderodap"/>
          <w:rFonts w:ascii="Times New Roman" w:hAnsi="Times New Roman"/>
          <w:sz w:val="24"/>
          <w:szCs w:val="24"/>
        </w:rPr>
        <w:footnoteReference w:id="330"/>
      </w:r>
      <w:r w:rsidR="00C508CB" w:rsidRPr="00D93CBD">
        <w:rPr>
          <w:rFonts w:ascii="Times New Roman" w:hAnsi="Times New Roman"/>
          <w:sz w:val="24"/>
          <w:szCs w:val="24"/>
        </w:rPr>
        <w:t xml:space="preserve">e figurava </w:t>
      </w:r>
      <w:r w:rsidR="00AA039C" w:rsidRPr="00D93CBD">
        <w:rPr>
          <w:rFonts w:ascii="Times New Roman" w:hAnsi="Times New Roman"/>
          <w:sz w:val="24"/>
          <w:szCs w:val="24"/>
        </w:rPr>
        <w:t>como presidente o Ministro do Desenvolvimento Ind</w:t>
      </w:r>
      <w:r w:rsidR="0029622E" w:rsidRPr="00D93CBD">
        <w:rPr>
          <w:rFonts w:ascii="Times New Roman" w:hAnsi="Times New Roman"/>
          <w:sz w:val="24"/>
          <w:szCs w:val="24"/>
        </w:rPr>
        <w:t>ú</w:t>
      </w:r>
      <w:r w:rsidR="00AA039C" w:rsidRPr="00D93CBD">
        <w:rPr>
          <w:rFonts w:ascii="Times New Roman" w:hAnsi="Times New Roman"/>
          <w:sz w:val="24"/>
          <w:szCs w:val="24"/>
        </w:rPr>
        <w:t>stria e Comércio</w:t>
      </w:r>
      <w:r w:rsidR="00C508CB" w:rsidRPr="00D93CBD">
        <w:rPr>
          <w:rFonts w:ascii="Times New Roman" w:hAnsi="Times New Roman"/>
          <w:sz w:val="24"/>
          <w:szCs w:val="24"/>
        </w:rPr>
        <w:t>. S</w:t>
      </w:r>
      <w:r w:rsidR="00AA039C" w:rsidRPr="00D93CBD">
        <w:rPr>
          <w:rFonts w:ascii="Times New Roman" w:hAnsi="Times New Roman"/>
          <w:sz w:val="24"/>
          <w:szCs w:val="24"/>
        </w:rPr>
        <w:t>egundo a lei 11.080/04</w:t>
      </w:r>
      <w:r w:rsidR="0029622E" w:rsidRPr="00D93CBD">
        <w:rPr>
          <w:rFonts w:ascii="Times New Roman" w:hAnsi="Times New Roman"/>
          <w:sz w:val="24"/>
          <w:szCs w:val="24"/>
        </w:rPr>
        <w:t xml:space="preserve"> (que também criou a ABDI)</w:t>
      </w:r>
      <w:r w:rsidR="00AA039C" w:rsidRPr="00D93CBD">
        <w:rPr>
          <w:rFonts w:ascii="Times New Roman" w:hAnsi="Times New Roman"/>
          <w:sz w:val="24"/>
          <w:szCs w:val="24"/>
        </w:rPr>
        <w:t>, tinha como “a atribuição de propor ao Presidente da República políticas nacionais e medidas específicas destinadas a promover o desenvolvimento industrial do País”.</w:t>
      </w:r>
      <w:r w:rsidR="00AA039C" w:rsidRPr="00D93CBD">
        <w:rPr>
          <w:rStyle w:val="Refdenotaderodap"/>
          <w:rFonts w:ascii="Times New Roman" w:hAnsi="Times New Roman"/>
          <w:sz w:val="24"/>
          <w:szCs w:val="24"/>
        </w:rPr>
        <w:footnoteReference w:id="331"/>
      </w:r>
      <w:r w:rsidR="0029622E" w:rsidRPr="00D93CBD">
        <w:rPr>
          <w:rFonts w:ascii="Times New Roman" w:hAnsi="Times New Roman"/>
          <w:sz w:val="24"/>
          <w:szCs w:val="24"/>
        </w:rPr>
        <w:t xml:space="preserve"> De Toni, </w:t>
      </w:r>
      <w:r w:rsidR="006836F4" w:rsidRPr="00D93CBD">
        <w:rPr>
          <w:rFonts w:ascii="Times New Roman" w:hAnsi="Times New Roman"/>
          <w:sz w:val="24"/>
          <w:szCs w:val="24"/>
        </w:rPr>
        <w:t>cujo objeto de pesquisa de seu d</w:t>
      </w:r>
      <w:r w:rsidR="0029622E" w:rsidRPr="00D93CBD">
        <w:rPr>
          <w:rFonts w:ascii="Times New Roman" w:hAnsi="Times New Roman"/>
          <w:sz w:val="24"/>
          <w:szCs w:val="24"/>
        </w:rPr>
        <w:t xml:space="preserve">outorado </w:t>
      </w:r>
      <w:r w:rsidR="006836F4" w:rsidRPr="00D93CBD">
        <w:rPr>
          <w:rFonts w:ascii="Times New Roman" w:hAnsi="Times New Roman"/>
          <w:sz w:val="24"/>
          <w:szCs w:val="24"/>
        </w:rPr>
        <w:t xml:space="preserve">foi </w:t>
      </w:r>
      <w:r w:rsidR="0029622E" w:rsidRPr="00D93CBD">
        <w:rPr>
          <w:rFonts w:ascii="Times New Roman" w:hAnsi="Times New Roman"/>
          <w:sz w:val="24"/>
          <w:szCs w:val="24"/>
        </w:rPr>
        <w:t>sobre o CNDI,</w:t>
      </w:r>
      <w:r w:rsidR="00527F77" w:rsidRPr="00D93CBD">
        <w:rPr>
          <w:rFonts w:ascii="Times New Roman" w:hAnsi="Times New Roman"/>
          <w:sz w:val="24"/>
          <w:szCs w:val="24"/>
        </w:rPr>
        <w:t xml:space="preserve"> observa que</w:t>
      </w:r>
    </w:p>
    <w:p w:rsidR="0029622E" w:rsidRPr="00D93CBD" w:rsidRDefault="0029622E" w:rsidP="0029622E">
      <w:pPr>
        <w:ind w:left="2268"/>
        <w:jc w:val="both"/>
        <w:rPr>
          <w:rFonts w:ascii="Times New Roman" w:hAnsi="Times New Roman"/>
          <w:sz w:val="20"/>
          <w:szCs w:val="20"/>
        </w:rPr>
      </w:pPr>
      <w:r w:rsidRPr="00D93CBD">
        <w:rPr>
          <w:rFonts w:ascii="Times New Roman" w:hAnsi="Times New Roman"/>
          <w:sz w:val="20"/>
          <w:szCs w:val="20"/>
          <w:lang w:eastAsia="pt-BR"/>
        </w:rPr>
        <w:t xml:space="preserve">O CNDI debateu ao longo deste período (2004-2010), dezenas de assuntos relacionados </w:t>
      </w:r>
      <w:r w:rsidR="005625C4">
        <w:rPr>
          <w:rFonts w:ascii="Times New Roman" w:hAnsi="Times New Roman"/>
          <w:sz w:val="20"/>
          <w:szCs w:val="20"/>
          <w:lang w:eastAsia="pt-BR"/>
        </w:rPr>
        <w:t>a</w:t>
      </w:r>
      <w:r w:rsidRPr="00D93CBD">
        <w:rPr>
          <w:rFonts w:ascii="Times New Roman" w:hAnsi="Times New Roman"/>
          <w:sz w:val="20"/>
          <w:szCs w:val="20"/>
          <w:lang w:eastAsia="pt-BR"/>
        </w:rPr>
        <w:t xml:space="preserve"> como viabilizar as propostas da PITCE e da PDP. A análise das reuniões evidencia que boa parte dos temas se concentraram em discussões sobre novas desonerações fiscais, setoriais ou transversais, diminuição ou suspensão de tributos em setores críticos para a indústria (bens de capital, por exemplo), ou naqueles temas relacionados à diminuição dos custos de produção, como a desoneração da “cesta básica”, por exemplo.</w:t>
      </w:r>
      <w:r w:rsidR="00C508CB" w:rsidRPr="00D93CBD">
        <w:rPr>
          <w:rStyle w:val="Refdenotaderodap"/>
          <w:rFonts w:ascii="Times New Roman" w:hAnsi="Times New Roman"/>
          <w:sz w:val="20"/>
          <w:szCs w:val="20"/>
          <w:lang w:eastAsia="pt-BR"/>
        </w:rPr>
        <w:footnoteReference w:id="332"/>
      </w:r>
    </w:p>
    <w:p w:rsidR="005034FF" w:rsidRPr="00D93CBD" w:rsidRDefault="00C508CB" w:rsidP="00C508CB">
      <w:pPr>
        <w:spacing w:line="360" w:lineRule="auto"/>
        <w:jc w:val="both"/>
        <w:rPr>
          <w:rFonts w:ascii="Times New Roman" w:hAnsi="Times New Roman"/>
          <w:sz w:val="24"/>
          <w:szCs w:val="24"/>
        </w:rPr>
      </w:pPr>
      <w:r w:rsidRPr="00D93CBD">
        <w:rPr>
          <w:rFonts w:ascii="Times New Roman" w:hAnsi="Times New Roman"/>
          <w:sz w:val="24"/>
          <w:szCs w:val="24"/>
        </w:rPr>
        <w:tab/>
        <w:t>A listagem d</w:t>
      </w:r>
      <w:r w:rsidR="00822FAC" w:rsidRPr="00D93CBD">
        <w:rPr>
          <w:rFonts w:ascii="Times New Roman" w:hAnsi="Times New Roman"/>
          <w:sz w:val="24"/>
          <w:szCs w:val="24"/>
        </w:rPr>
        <w:t>aspauta</w:t>
      </w:r>
      <w:r w:rsidR="006836F4" w:rsidRPr="00D93CBD">
        <w:rPr>
          <w:rFonts w:ascii="Times New Roman" w:hAnsi="Times New Roman"/>
          <w:sz w:val="24"/>
          <w:szCs w:val="24"/>
        </w:rPr>
        <w:t>s discutid</w:t>
      </w:r>
      <w:r w:rsidR="00822FAC" w:rsidRPr="00D93CBD">
        <w:rPr>
          <w:rFonts w:ascii="Times New Roman" w:hAnsi="Times New Roman"/>
          <w:sz w:val="24"/>
          <w:szCs w:val="24"/>
        </w:rPr>
        <w:t>a</w:t>
      </w:r>
      <w:r w:rsidR="005625C4">
        <w:rPr>
          <w:rFonts w:ascii="Times New Roman" w:hAnsi="Times New Roman"/>
          <w:sz w:val="24"/>
          <w:szCs w:val="24"/>
        </w:rPr>
        <w:t>s</w:t>
      </w:r>
      <w:r w:rsidRPr="00D93CBD">
        <w:rPr>
          <w:rFonts w:ascii="Times New Roman" w:hAnsi="Times New Roman"/>
          <w:sz w:val="24"/>
          <w:szCs w:val="24"/>
        </w:rPr>
        <w:t xml:space="preserve"> no CNDI era sem dúvida menor</w:t>
      </w:r>
      <w:r w:rsidR="00822FAC" w:rsidRPr="00D93CBD">
        <w:rPr>
          <w:rFonts w:ascii="Times New Roman" w:hAnsi="Times New Roman"/>
          <w:sz w:val="24"/>
          <w:szCs w:val="24"/>
        </w:rPr>
        <w:t xml:space="preserve"> e, em certa medida,</w:t>
      </w:r>
      <w:r w:rsidR="00527F77" w:rsidRPr="00D93CBD">
        <w:rPr>
          <w:rFonts w:ascii="Times New Roman" w:hAnsi="Times New Roman"/>
          <w:sz w:val="24"/>
          <w:szCs w:val="24"/>
        </w:rPr>
        <w:t>replicava com</w:t>
      </w:r>
      <w:r w:rsidRPr="00D93CBD">
        <w:rPr>
          <w:rFonts w:ascii="Times New Roman" w:hAnsi="Times New Roman"/>
          <w:sz w:val="24"/>
          <w:szCs w:val="24"/>
        </w:rPr>
        <w:t xml:space="preserve"> que os conselheiros-empresários do CDES debatiam, </w:t>
      </w:r>
      <w:r w:rsidR="00527F77" w:rsidRPr="00D93CBD">
        <w:rPr>
          <w:rFonts w:ascii="Times New Roman" w:hAnsi="Times New Roman"/>
          <w:sz w:val="24"/>
          <w:szCs w:val="24"/>
        </w:rPr>
        <w:t>o que</w:t>
      </w:r>
      <w:r w:rsidRPr="00D93CBD">
        <w:rPr>
          <w:rFonts w:ascii="Times New Roman" w:hAnsi="Times New Roman"/>
          <w:sz w:val="24"/>
          <w:szCs w:val="24"/>
        </w:rPr>
        <w:t xml:space="preserve">, </w:t>
      </w:r>
      <w:r w:rsidR="00527F77" w:rsidRPr="00D93CBD">
        <w:rPr>
          <w:rFonts w:ascii="Times New Roman" w:hAnsi="Times New Roman"/>
          <w:sz w:val="24"/>
          <w:szCs w:val="24"/>
        </w:rPr>
        <w:t>para tanto, contribuía o dúplice</w:t>
      </w:r>
      <w:r w:rsidRPr="00D93CBD">
        <w:rPr>
          <w:rFonts w:ascii="Times New Roman" w:hAnsi="Times New Roman"/>
          <w:sz w:val="24"/>
          <w:szCs w:val="24"/>
        </w:rPr>
        <w:t xml:space="preserve"> assento </w:t>
      </w:r>
      <w:r w:rsidR="00822FAC" w:rsidRPr="00D93CBD">
        <w:rPr>
          <w:rFonts w:ascii="Times New Roman" w:hAnsi="Times New Roman"/>
          <w:sz w:val="24"/>
          <w:szCs w:val="24"/>
        </w:rPr>
        <w:t>de alguns capitalistas</w:t>
      </w:r>
      <w:r w:rsidRPr="00D93CBD">
        <w:rPr>
          <w:rFonts w:ascii="Times New Roman" w:hAnsi="Times New Roman"/>
          <w:sz w:val="24"/>
          <w:szCs w:val="24"/>
        </w:rPr>
        <w:t xml:space="preserve">nas duas agências. </w:t>
      </w:r>
      <w:r w:rsidR="00527F77" w:rsidRPr="00D93CBD">
        <w:rPr>
          <w:rFonts w:ascii="Times New Roman" w:hAnsi="Times New Roman"/>
          <w:sz w:val="24"/>
          <w:szCs w:val="24"/>
        </w:rPr>
        <w:t>De fato, havia um entrelaçamento de pautas e de empres</w:t>
      </w:r>
      <w:r w:rsidR="007676D0" w:rsidRPr="00D93CBD">
        <w:rPr>
          <w:rFonts w:ascii="Times New Roman" w:hAnsi="Times New Roman"/>
          <w:sz w:val="24"/>
          <w:szCs w:val="24"/>
        </w:rPr>
        <w:t>ários. Na documentação do CDES havia menção aos trabalhos do CNDI, bem como nas reuniões plenárias. A</w:t>
      </w:r>
      <w:r w:rsidR="00527F77" w:rsidRPr="00D93CBD">
        <w:rPr>
          <w:rFonts w:ascii="Times New Roman" w:hAnsi="Times New Roman"/>
          <w:sz w:val="24"/>
          <w:szCs w:val="24"/>
        </w:rPr>
        <w:t xml:space="preserve">o que parece, o CDES absorveu e ampliou </w:t>
      </w:r>
      <w:r w:rsidR="007676D0" w:rsidRPr="00D93CBD">
        <w:rPr>
          <w:rFonts w:ascii="Times New Roman" w:hAnsi="Times New Roman"/>
          <w:sz w:val="24"/>
          <w:szCs w:val="24"/>
        </w:rPr>
        <w:t xml:space="preserve">as pautas do empresariado presentes no CNDI, tanto </w:t>
      </w:r>
      <w:r w:rsidR="00527F77" w:rsidRPr="00D93CBD">
        <w:rPr>
          <w:rFonts w:ascii="Times New Roman" w:hAnsi="Times New Roman"/>
          <w:sz w:val="24"/>
          <w:szCs w:val="24"/>
        </w:rPr>
        <w:t>que</w:t>
      </w:r>
      <w:r w:rsidR="007676D0" w:rsidRPr="00D93CBD">
        <w:rPr>
          <w:rFonts w:ascii="Times New Roman" w:hAnsi="Times New Roman"/>
          <w:sz w:val="24"/>
          <w:szCs w:val="24"/>
        </w:rPr>
        <w:t xml:space="preserve"> este último, a partir de 2007,</w:t>
      </w:r>
      <w:r w:rsidR="00527F77" w:rsidRPr="00D93CBD">
        <w:rPr>
          <w:rFonts w:ascii="Times New Roman" w:hAnsi="Times New Roman"/>
          <w:sz w:val="24"/>
          <w:szCs w:val="24"/>
        </w:rPr>
        <w:t xml:space="preserve"> segundo De Toni, “perdeu potência”</w:t>
      </w:r>
      <w:r w:rsidR="007676D0" w:rsidRPr="00D93CBD">
        <w:rPr>
          <w:rFonts w:ascii="Times New Roman" w:hAnsi="Times New Roman"/>
          <w:sz w:val="24"/>
          <w:szCs w:val="24"/>
        </w:rPr>
        <w:t>:</w:t>
      </w:r>
      <w:r w:rsidR="00527F77" w:rsidRPr="00D93CBD">
        <w:rPr>
          <w:rStyle w:val="Refdenotaderodap"/>
          <w:rFonts w:ascii="Times New Roman" w:hAnsi="Times New Roman"/>
          <w:sz w:val="24"/>
          <w:szCs w:val="24"/>
        </w:rPr>
        <w:footnoteReference w:id="333"/>
      </w:r>
    </w:p>
    <w:p w:rsidR="007676D0" w:rsidRPr="00D93CBD" w:rsidRDefault="007676D0" w:rsidP="007676D0">
      <w:pPr>
        <w:autoSpaceDE w:val="0"/>
        <w:autoSpaceDN w:val="0"/>
        <w:adjustRightInd w:val="0"/>
        <w:spacing w:after="0" w:line="240" w:lineRule="auto"/>
        <w:ind w:left="2268"/>
        <w:jc w:val="both"/>
        <w:rPr>
          <w:rFonts w:ascii="Times New Roman" w:hAnsi="Times New Roman"/>
          <w:sz w:val="20"/>
          <w:szCs w:val="20"/>
        </w:rPr>
      </w:pPr>
      <w:r w:rsidRPr="00D93CBD">
        <w:rPr>
          <w:rFonts w:ascii="Times New Roman" w:hAnsi="Times New Roman"/>
          <w:sz w:val="20"/>
          <w:szCs w:val="20"/>
          <w:lang w:eastAsia="pt-BR"/>
        </w:rPr>
        <w:t>Fato é que os dois conselhos sempre funcionaram com “pautas sintonizadas”. Podemos inferir também, que o “Conselhão” substituiu o CNDI, com espaço de “concertação”, no segundo mandato de Lula, na medida em que as políticas industriais propostas foram incorporadas nos temas da então chamada “Agenda Nacional de Desenvolvimento – AND” e o próprio CNDI perdeu significado político.</w:t>
      </w:r>
      <w:r w:rsidRPr="00D93CBD">
        <w:rPr>
          <w:rStyle w:val="Refdenotaderodap"/>
          <w:rFonts w:ascii="Times New Roman" w:hAnsi="Times New Roman"/>
          <w:sz w:val="20"/>
          <w:szCs w:val="20"/>
          <w:lang w:eastAsia="pt-BR"/>
        </w:rPr>
        <w:footnoteReference w:id="334"/>
      </w:r>
    </w:p>
    <w:p w:rsidR="00030CE0" w:rsidRPr="00D93CBD" w:rsidRDefault="00030CE0" w:rsidP="00893947">
      <w:pPr>
        <w:pStyle w:val="Cabealho"/>
        <w:tabs>
          <w:tab w:val="clear" w:pos="4252"/>
          <w:tab w:val="clear" w:pos="8504"/>
          <w:tab w:val="right" w:pos="0"/>
        </w:tabs>
        <w:spacing w:line="360" w:lineRule="auto"/>
        <w:jc w:val="both"/>
        <w:rPr>
          <w:rFonts w:ascii="Times New Roman" w:hAnsi="Times New Roman"/>
          <w:sz w:val="24"/>
          <w:szCs w:val="24"/>
        </w:rPr>
      </w:pPr>
    </w:p>
    <w:p w:rsidR="00C61FBD" w:rsidRPr="00D93CBD" w:rsidRDefault="00C61FBD" w:rsidP="00893947">
      <w:pPr>
        <w:pStyle w:val="Cabealho"/>
        <w:tabs>
          <w:tab w:val="clear" w:pos="4252"/>
          <w:tab w:val="clear" w:pos="8504"/>
          <w:tab w:val="right" w:pos="0"/>
        </w:tabs>
        <w:spacing w:line="360" w:lineRule="auto"/>
        <w:jc w:val="both"/>
        <w:rPr>
          <w:rFonts w:ascii="Times New Roman" w:hAnsi="Times New Roman"/>
          <w:sz w:val="24"/>
          <w:szCs w:val="24"/>
        </w:rPr>
      </w:pPr>
      <w:r w:rsidRPr="00D93CBD">
        <w:rPr>
          <w:rFonts w:ascii="Times New Roman" w:hAnsi="Times New Roman"/>
          <w:sz w:val="24"/>
          <w:szCs w:val="24"/>
        </w:rPr>
        <w:tab/>
      </w:r>
      <w:r w:rsidR="009C5093" w:rsidRPr="00D93CBD">
        <w:rPr>
          <w:rFonts w:ascii="Times New Roman" w:hAnsi="Times New Roman"/>
          <w:sz w:val="24"/>
          <w:szCs w:val="24"/>
        </w:rPr>
        <w:t xml:space="preserve">Deve-se estudar com mais profundidade as relações entre as duas arenas, mas nos parece que o peso econômico do conjunto do capital representado no CDES e seu papel propulsor e articulador </w:t>
      </w:r>
      <w:r w:rsidR="00AD0595" w:rsidRPr="00D93CBD">
        <w:rPr>
          <w:rFonts w:ascii="Times New Roman" w:hAnsi="Times New Roman"/>
          <w:sz w:val="24"/>
          <w:szCs w:val="24"/>
        </w:rPr>
        <w:t xml:space="preserve">de umaamalgamação intrasetores burgueses e de acionamento e obtenção tensionada do consentimento ativo dos grupos subalternos não alcançou paralelo no CNDI. </w:t>
      </w:r>
      <w:r w:rsidR="00E74E9C" w:rsidRPr="00D93CBD">
        <w:rPr>
          <w:rFonts w:ascii="Times New Roman" w:hAnsi="Times New Roman"/>
          <w:sz w:val="24"/>
          <w:szCs w:val="24"/>
        </w:rPr>
        <w:t xml:space="preserve">Enquanto nesse último houve conquistas estritamente corporativas para alguns setores do capital produtivo, </w:t>
      </w:r>
      <w:r w:rsidR="004C7D77" w:rsidRPr="00D93CBD">
        <w:rPr>
          <w:rFonts w:ascii="Times New Roman" w:hAnsi="Times New Roman"/>
          <w:sz w:val="24"/>
          <w:szCs w:val="24"/>
        </w:rPr>
        <w:t xml:space="preserve">especialmente no âmbito da política industrial com a PITCE, </w:t>
      </w:r>
      <w:r w:rsidR="00E74E9C" w:rsidRPr="00D93CBD">
        <w:rPr>
          <w:rFonts w:ascii="Times New Roman" w:hAnsi="Times New Roman"/>
          <w:sz w:val="24"/>
          <w:szCs w:val="24"/>
        </w:rPr>
        <w:t>no primeiro o propósito e o alcance exprimia</w:t>
      </w:r>
      <w:r w:rsidR="004C7D77" w:rsidRPr="00D93CBD">
        <w:rPr>
          <w:rFonts w:ascii="Times New Roman" w:hAnsi="Times New Roman"/>
          <w:sz w:val="24"/>
          <w:szCs w:val="24"/>
        </w:rPr>
        <w:t>m</w:t>
      </w:r>
      <w:r w:rsidR="00E74E9C" w:rsidRPr="00D93CBD">
        <w:rPr>
          <w:rFonts w:ascii="Times New Roman" w:hAnsi="Times New Roman"/>
          <w:sz w:val="24"/>
          <w:szCs w:val="24"/>
        </w:rPr>
        <w:t xml:space="preserve"> um projeto de sociabilidade muito mais amplo</w:t>
      </w:r>
      <w:r w:rsidR="004C7D77" w:rsidRPr="00D93CBD">
        <w:rPr>
          <w:rFonts w:ascii="Times New Roman" w:hAnsi="Times New Roman"/>
          <w:sz w:val="24"/>
          <w:szCs w:val="24"/>
        </w:rPr>
        <w:t>, isto é, ético-político.</w:t>
      </w:r>
    </w:p>
    <w:p w:rsidR="00151134" w:rsidRPr="00D93CBD" w:rsidRDefault="00E74E9C" w:rsidP="00324589">
      <w:pPr>
        <w:spacing w:after="0" w:line="360" w:lineRule="auto"/>
        <w:ind w:firstLine="708"/>
        <w:jc w:val="both"/>
        <w:rPr>
          <w:rFonts w:ascii="Times New Roman" w:hAnsi="Times New Roman"/>
          <w:sz w:val="24"/>
          <w:szCs w:val="24"/>
        </w:rPr>
      </w:pPr>
      <w:r w:rsidRPr="00D93CBD">
        <w:rPr>
          <w:rFonts w:ascii="Times New Roman" w:hAnsi="Times New Roman"/>
          <w:sz w:val="24"/>
          <w:szCs w:val="24"/>
        </w:rPr>
        <w:t xml:space="preserve">Além da ABDI e do CNDI, </w:t>
      </w:r>
      <w:r w:rsidR="00E403E8" w:rsidRPr="00D93CBD">
        <w:rPr>
          <w:rFonts w:ascii="Times New Roman" w:hAnsi="Times New Roman"/>
          <w:sz w:val="24"/>
          <w:szCs w:val="24"/>
        </w:rPr>
        <w:t>alguns</w:t>
      </w:r>
      <w:r w:rsidRPr="00D93CBD">
        <w:rPr>
          <w:rFonts w:ascii="Times New Roman" w:hAnsi="Times New Roman"/>
          <w:sz w:val="24"/>
          <w:szCs w:val="24"/>
        </w:rPr>
        <w:t xml:space="preserve"> conselheiros-empresários se faziam representar n</w:t>
      </w:r>
      <w:r w:rsidR="00324589" w:rsidRPr="00D93CBD">
        <w:rPr>
          <w:rFonts w:ascii="Times New Roman" w:hAnsi="Times New Roman"/>
          <w:sz w:val="24"/>
          <w:szCs w:val="24"/>
        </w:rPr>
        <w:t xml:space="preserve">o Conselho </w:t>
      </w:r>
      <w:r w:rsidR="009A69CE" w:rsidRPr="00D93CBD">
        <w:rPr>
          <w:rFonts w:ascii="Times New Roman" w:hAnsi="Times New Roman"/>
          <w:sz w:val="24"/>
          <w:szCs w:val="24"/>
        </w:rPr>
        <w:t xml:space="preserve">Consultivo </w:t>
      </w:r>
      <w:r w:rsidR="00324589" w:rsidRPr="00D93CBD">
        <w:rPr>
          <w:rFonts w:ascii="Times New Roman" w:hAnsi="Times New Roman"/>
          <w:sz w:val="24"/>
          <w:szCs w:val="24"/>
        </w:rPr>
        <w:t>do Setor Privadoda CAMEX (Câmara de Comércio Exterior)</w:t>
      </w:r>
      <w:r w:rsidR="00E04F9E" w:rsidRPr="00D93CBD">
        <w:rPr>
          <w:rFonts w:ascii="Times New Roman" w:hAnsi="Times New Roman"/>
          <w:sz w:val="24"/>
          <w:szCs w:val="24"/>
        </w:rPr>
        <w:t xml:space="preserve"> – o CONEX</w:t>
      </w:r>
      <w:r w:rsidR="004C7D77" w:rsidRPr="00D93CBD">
        <w:rPr>
          <w:rFonts w:ascii="Times New Roman" w:hAnsi="Times New Roman"/>
          <w:sz w:val="24"/>
          <w:szCs w:val="24"/>
        </w:rPr>
        <w:t xml:space="preserve">. </w:t>
      </w:r>
      <w:r w:rsidR="00E04F9E" w:rsidRPr="00D93CBD">
        <w:rPr>
          <w:rFonts w:ascii="Times New Roman" w:hAnsi="Times New Roman"/>
          <w:sz w:val="24"/>
          <w:szCs w:val="24"/>
        </w:rPr>
        <w:t>Este órgão ta</w:t>
      </w:r>
      <w:r w:rsidR="004C7D77" w:rsidRPr="00D93CBD">
        <w:rPr>
          <w:rFonts w:ascii="Times New Roman" w:hAnsi="Times New Roman"/>
          <w:sz w:val="24"/>
          <w:szCs w:val="24"/>
        </w:rPr>
        <w:t xml:space="preserve">mbém era presidido pelo ministro do MDIC e </w:t>
      </w:r>
      <w:r w:rsidR="009A69CE" w:rsidRPr="00D93CBD">
        <w:rPr>
          <w:rFonts w:ascii="Times New Roman" w:hAnsi="Times New Roman"/>
          <w:sz w:val="24"/>
          <w:szCs w:val="24"/>
        </w:rPr>
        <w:t>integrante do Conselho de Governo da Presidência da República</w:t>
      </w:r>
      <w:r w:rsidR="00324589" w:rsidRPr="00D93CBD">
        <w:rPr>
          <w:rFonts w:ascii="Times New Roman" w:hAnsi="Times New Roman"/>
          <w:sz w:val="24"/>
          <w:szCs w:val="24"/>
        </w:rPr>
        <w:t xml:space="preserve">. </w:t>
      </w:r>
      <w:r w:rsidR="004C7D77" w:rsidRPr="00D93CBD">
        <w:rPr>
          <w:rFonts w:ascii="Times New Roman" w:hAnsi="Times New Roman"/>
          <w:sz w:val="24"/>
          <w:szCs w:val="24"/>
        </w:rPr>
        <w:t>Foi</w:t>
      </w:r>
      <w:r w:rsidR="00C13269" w:rsidRPr="00D93CBD">
        <w:rPr>
          <w:rFonts w:ascii="Times New Roman" w:hAnsi="Times New Roman"/>
          <w:sz w:val="24"/>
          <w:szCs w:val="24"/>
        </w:rPr>
        <w:t xml:space="preserve"> a arena estatal em que encontramos maior número de conselheiros-empresários (total de 10 empresários entre 2005 e 2010),</w:t>
      </w:r>
      <w:r w:rsidR="00C13269" w:rsidRPr="00D93CBD">
        <w:rPr>
          <w:rStyle w:val="Refdenotaderodap"/>
          <w:rFonts w:ascii="Times New Roman" w:hAnsi="Times New Roman"/>
          <w:sz w:val="24"/>
          <w:szCs w:val="24"/>
        </w:rPr>
        <w:footnoteReference w:id="335"/>
      </w:r>
      <w:r w:rsidR="00C13269" w:rsidRPr="00D93CBD">
        <w:rPr>
          <w:rFonts w:ascii="Times New Roman" w:hAnsi="Times New Roman"/>
          <w:sz w:val="24"/>
          <w:szCs w:val="24"/>
        </w:rPr>
        <w:t xml:space="preserve"> com a presença permanente de Marcelo Odebrecht e Roger Agnelli.</w:t>
      </w:r>
      <w:r w:rsidR="00270917" w:rsidRPr="00D93CBD">
        <w:rPr>
          <w:rFonts w:ascii="Times New Roman" w:hAnsi="Times New Roman"/>
          <w:sz w:val="24"/>
          <w:szCs w:val="24"/>
        </w:rPr>
        <w:t xml:space="preserve"> De acordo com o site da CAMEX, compete ao CONEX “apresentar estudos e propostas de aperfeiçoamento da</w:t>
      </w:r>
      <w:r w:rsidR="00E04F9E" w:rsidRPr="00D93CBD">
        <w:rPr>
          <w:rFonts w:ascii="Times New Roman" w:hAnsi="Times New Roman"/>
          <w:sz w:val="24"/>
          <w:szCs w:val="24"/>
        </w:rPr>
        <w:t xml:space="preserve"> política de comércio exterior”</w:t>
      </w:r>
      <w:r w:rsidR="00151134" w:rsidRPr="00D93CBD">
        <w:rPr>
          <w:rFonts w:ascii="Times New Roman" w:hAnsi="Times New Roman"/>
          <w:sz w:val="24"/>
          <w:szCs w:val="24"/>
        </w:rPr>
        <w:t>. É composto por até 20 lideranças do setor privado e</w:t>
      </w:r>
      <w:r w:rsidR="00E04F9E" w:rsidRPr="00D93CBD">
        <w:rPr>
          <w:rFonts w:ascii="Times New Roman" w:hAnsi="Times New Roman"/>
          <w:sz w:val="24"/>
          <w:szCs w:val="24"/>
        </w:rPr>
        <w:t xml:space="preserve"> seus temas versavam acerca da ampliação e aprofundamento de estratégias de inserção das exportações brasileiras no comércio mundial,</w:t>
      </w:r>
      <w:r w:rsidR="006C5A96" w:rsidRPr="00D93CBD">
        <w:rPr>
          <w:rFonts w:ascii="Times New Roman" w:hAnsi="Times New Roman"/>
          <w:sz w:val="24"/>
          <w:szCs w:val="24"/>
        </w:rPr>
        <w:t xml:space="preserve"> com o foco no Mercosul</w:t>
      </w:r>
      <w:r w:rsidR="00E04F9E" w:rsidRPr="00D93CBD">
        <w:rPr>
          <w:rFonts w:ascii="Times New Roman" w:hAnsi="Times New Roman"/>
          <w:sz w:val="24"/>
          <w:szCs w:val="24"/>
        </w:rPr>
        <w:t>.</w:t>
      </w:r>
      <w:r w:rsidR="00151134" w:rsidRPr="00D93CBD">
        <w:rPr>
          <w:rFonts w:ascii="Times New Roman" w:hAnsi="Times New Roman"/>
          <w:sz w:val="24"/>
          <w:szCs w:val="24"/>
        </w:rPr>
        <w:t xml:space="preserve"> Averiguando apenas os conselhos do CDES que participa</w:t>
      </w:r>
      <w:r w:rsidR="005625C4">
        <w:rPr>
          <w:rFonts w:ascii="Times New Roman" w:hAnsi="Times New Roman"/>
          <w:sz w:val="24"/>
          <w:szCs w:val="24"/>
        </w:rPr>
        <w:t>va</w:t>
      </w:r>
      <w:r w:rsidR="00151134" w:rsidRPr="00D93CBD">
        <w:rPr>
          <w:rFonts w:ascii="Times New Roman" w:hAnsi="Times New Roman"/>
          <w:sz w:val="24"/>
          <w:szCs w:val="24"/>
        </w:rPr>
        <w:t xml:space="preserve">m do CONEX, nota-se que </w:t>
      </w:r>
      <w:r w:rsidR="005625C4">
        <w:rPr>
          <w:rFonts w:ascii="Times New Roman" w:hAnsi="Times New Roman"/>
          <w:sz w:val="24"/>
          <w:szCs w:val="24"/>
        </w:rPr>
        <w:t>era</w:t>
      </w:r>
      <w:r w:rsidR="00151134" w:rsidRPr="00D93CBD">
        <w:rPr>
          <w:rFonts w:ascii="Times New Roman" w:hAnsi="Times New Roman"/>
          <w:sz w:val="24"/>
          <w:szCs w:val="24"/>
        </w:rPr>
        <w:t xml:space="preserve"> mais uma agência predominantemente composta por destacados aparelhos privados de hegemonia empresariais e por representantes do grande capital monopolista.</w:t>
      </w:r>
    </w:p>
    <w:p w:rsidR="00324589" w:rsidRPr="00D93CBD" w:rsidRDefault="00324589" w:rsidP="00324589">
      <w:pPr>
        <w:spacing w:after="0" w:line="360" w:lineRule="auto"/>
        <w:ind w:firstLine="708"/>
        <w:jc w:val="both"/>
        <w:rPr>
          <w:rFonts w:ascii="Times New Roman" w:hAnsi="Times New Roman"/>
          <w:sz w:val="24"/>
          <w:szCs w:val="24"/>
        </w:rPr>
      </w:pPr>
      <w:r w:rsidRPr="00D93CBD">
        <w:rPr>
          <w:rFonts w:ascii="Times New Roman" w:hAnsi="Times New Roman"/>
          <w:sz w:val="24"/>
          <w:szCs w:val="24"/>
        </w:rPr>
        <w:t>No Ministério da Fazenda, principalmente por ocasião da crise econômica de 2008, foi criado o Grupo de Acompanhamento da Crise (GAC) com larga presença de empre</w:t>
      </w:r>
      <w:r w:rsidR="00E74E9C" w:rsidRPr="00D93CBD">
        <w:rPr>
          <w:rFonts w:ascii="Times New Roman" w:hAnsi="Times New Roman"/>
          <w:sz w:val="24"/>
          <w:szCs w:val="24"/>
        </w:rPr>
        <w:t>sários do CDES. Também localizamos</w:t>
      </w:r>
      <w:r w:rsidRPr="00D93CBD">
        <w:rPr>
          <w:rFonts w:ascii="Times New Roman" w:hAnsi="Times New Roman"/>
          <w:sz w:val="24"/>
          <w:szCs w:val="24"/>
        </w:rPr>
        <w:t xml:space="preserve"> conselheiros-empresários em agências reguladora</w:t>
      </w:r>
      <w:r w:rsidR="00E74E9C" w:rsidRPr="00D93CBD">
        <w:rPr>
          <w:rFonts w:ascii="Times New Roman" w:hAnsi="Times New Roman"/>
          <w:sz w:val="24"/>
          <w:szCs w:val="24"/>
        </w:rPr>
        <w:t>s (ANEEL e ANAC)</w:t>
      </w:r>
      <w:r w:rsidRPr="00D93CBD">
        <w:rPr>
          <w:rFonts w:ascii="Times New Roman" w:hAnsi="Times New Roman"/>
          <w:sz w:val="24"/>
          <w:szCs w:val="24"/>
        </w:rPr>
        <w:t>, no Ministério da Agricultura, Pecuária e Abastecimento (MAPA) e no Ministério da Ciência e Tecnologia (MCT)</w:t>
      </w:r>
      <w:r w:rsidR="00E74E9C" w:rsidRPr="00D93CBD">
        <w:rPr>
          <w:rFonts w:ascii="Times New Roman" w:hAnsi="Times New Roman"/>
          <w:sz w:val="24"/>
          <w:szCs w:val="24"/>
        </w:rPr>
        <w:t xml:space="preserve">. Constatamos </w:t>
      </w:r>
      <w:r w:rsidRPr="00D93CBD">
        <w:rPr>
          <w:rFonts w:ascii="Times New Roman" w:hAnsi="Times New Roman"/>
          <w:sz w:val="24"/>
          <w:szCs w:val="24"/>
        </w:rPr>
        <w:t xml:space="preserve">também </w:t>
      </w:r>
      <w:r w:rsidR="00E74E9C" w:rsidRPr="00D93CBD">
        <w:rPr>
          <w:rFonts w:ascii="Times New Roman" w:hAnsi="Times New Roman"/>
          <w:sz w:val="24"/>
          <w:szCs w:val="24"/>
        </w:rPr>
        <w:t>que alguns deles</w:t>
      </w:r>
      <w:r w:rsidR="00412ADF">
        <w:rPr>
          <w:rFonts w:ascii="Times New Roman" w:hAnsi="Times New Roman"/>
          <w:sz w:val="24"/>
          <w:szCs w:val="24"/>
        </w:rPr>
        <w:t xml:space="preserve">detinham </w:t>
      </w:r>
      <w:r w:rsidRPr="00D93CBD">
        <w:rPr>
          <w:rFonts w:ascii="Times New Roman" w:hAnsi="Times New Roman"/>
          <w:sz w:val="24"/>
          <w:szCs w:val="24"/>
        </w:rPr>
        <w:t xml:space="preserve">assentos nos conselhos de administração da Petrobrás e do BNDES. No âmbito estadual, </w:t>
      </w:r>
      <w:r w:rsidR="009A69CE" w:rsidRPr="00D93CBD">
        <w:rPr>
          <w:rFonts w:ascii="Times New Roman" w:hAnsi="Times New Roman"/>
          <w:sz w:val="24"/>
          <w:szCs w:val="24"/>
        </w:rPr>
        <w:t xml:space="preserve">havia empresários que </w:t>
      </w:r>
      <w:r w:rsidR="002F7E94">
        <w:rPr>
          <w:rFonts w:ascii="Times New Roman" w:hAnsi="Times New Roman"/>
          <w:sz w:val="24"/>
          <w:szCs w:val="24"/>
        </w:rPr>
        <w:t>atua</w:t>
      </w:r>
      <w:r w:rsidR="009A69CE" w:rsidRPr="00D93CBD">
        <w:rPr>
          <w:rFonts w:ascii="Times New Roman" w:hAnsi="Times New Roman"/>
          <w:sz w:val="24"/>
          <w:szCs w:val="24"/>
        </w:rPr>
        <w:t>va</w:t>
      </w:r>
      <w:r w:rsidR="00270917" w:rsidRPr="00D93CBD">
        <w:rPr>
          <w:rFonts w:ascii="Times New Roman" w:hAnsi="Times New Roman"/>
          <w:sz w:val="24"/>
          <w:szCs w:val="24"/>
        </w:rPr>
        <w:t>m</w:t>
      </w:r>
      <w:r w:rsidR="002F7E94">
        <w:rPr>
          <w:rFonts w:ascii="Times New Roman" w:hAnsi="Times New Roman"/>
          <w:sz w:val="24"/>
          <w:szCs w:val="24"/>
        </w:rPr>
        <w:t>(</w:t>
      </w:r>
      <w:r w:rsidR="009A69CE" w:rsidRPr="00D93CBD">
        <w:rPr>
          <w:rFonts w:ascii="Times New Roman" w:hAnsi="Times New Roman"/>
          <w:sz w:val="24"/>
          <w:szCs w:val="24"/>
        </w:rPr>
        <w:t xml:space="preserve">ou </w:t>
      </w:r>
      <w:r w:rsidR="002F7E94">
        <w:rPr>
          <w:rFonts w:ascii="Times New Roman" w:hAnsi="Times New Roman"/>
          <w:sz w:val="24"/>
          <w:szCs w:val="24"/>
        </w:rPr>
        <w:t xml:space="preserve">registravam trajetórias de atuações)em </w:t>
      </w:r>
      <w:r w:rsidR="009A69CE" w:rsidRPr="00D93CBD">
        <w:rPr>
          <w:rFonts w:ascii="Times New Roman" w:hAnsi="Times New Roman"/>
          <w:sz w:val="24"/>
          <w:szCs w:val="24"/>
        </w:rPr>
        <w:t>ór</w:t>
      </w:r>
      <w:r w:rsidRPr="00D93CBD">
        <w:rPr>
          <w:rFonts w:ascii="Times New Roman" w:hAnsi="Times New Roman"/>
          <w:sz w:val="24"/>
          <w:szCs w:val="24"/>
        </w:rPr>
        <w:t xml:space="preserve">gãos, empresas públicas e bancos estaduais de desenvolvimento. </w:t>
      </w:r>
    </w:p>
    <w:p w:rsidR="00324589" w:rsidRPr="007E2439" w:rsidRDefault="00324589" w:rsidP="007E2439">
      <w:pPr>
        <w:pStyle w:val="Cabealho"/>
        <w:jc w:val="both"/>
        <w:rPr>
          <w:rFonts w:ascii="Times New Roman" w:hAnsi="Times New Roman"/>
          <w:sz w:val="24"/>
          <w:szCs w:val="24"/>
        </w:rPr>
      </w:pPr>
    </w:p>
    <w:p w:rsidR="00FD610C" w:rsidRPr="00151134" w:rsidRDefault="00FD610C" w:rsidP="00FD610C">
      <w:pPr>
        <w:pStyle w:val="Cabealho"/>
        <w:jc w:val="center"/>
        <w:rPr>
          <w:rFonts w:ascii="Times New Roman" w:hAnsi="Times New Roman"/>
          <w:sz w:val="24"/>
          <w:szCs w:val="24"/>
        </w:rPr>
      </w:pPr>
      <w:r w:rsidRPr="00B379D9">
        <w:rPr>
          <w:rFonts w:ascii="Times New Roman" w:hAnsi="Times New Roman"/>
          <w:b/>
          <w:sz w:val="24"/>
          <w:szCs w:val="24"/>
        </w:rPr>
        <w:t xml:space="preserve">Quadro </w:t>
      </w:r>
      <w:r w:rsidR="009F7B48">
        <w:rPr>
          <w:rFonts w:ascii="Times New Roman" w:hAnsi="Times New Roman"/>
          <w:b/>
          <w:sz w:val="24"/>
          <w:szCs w:val="24"/>
        </w:rPr>
        <w:t>2.21</w:t>
      </w:r>
      <w:r w:rsidRPr="00B379D9">
        <w:rPr>
          <w:rFonts w:ascii="Times New Roman" w:hAnsi="Times New Roman"/>
          <w:b/>
          <w:sz w:val="24"/>
          <w:szCs w:val="24"/>
        </w:rPr>
        <w:t>- Vinculações dos Conselheiros-Empresários com os demais órgãos da Sociedade Política</w:t>
      </w:r>
      <w:r>
        <w:rPr>
          <w:rFonts w:ascii="Times New Roman" w:hAnsi="Times New Roman"/>
          <w:b/>
          <w:sz w:val="24"/>
          <w:szCs w:val="24"/>
        </w:rPr>
        <w:t xml:space="preserve"> (por sociedade política)</w:t>
      </w:r>
    </w:p>
    <w:p w:rsidR="00893947" w:rsidRDefault="00893947" w:rsidP="009F63D9">
      <w:pPr>
        <w:pStyle w:val="Cabealho"/>
        <w:jc w:val="both"/>
        <w:rPr>
          <w:rFonts w:ascii="Times New Roman" w:hAnsi="Times New Roman"/>
          <w:sz w:val="24"/>
          <w:szCs w:val="24"/>
        </w:rPr>
      </w:pPr>
      <w:r>
        <w:rPr>
          <w:rFonts w:ascii="Times New Roman" w:hAnsi="Times New Roman"/>
          <w:sz w:val="24"/>
          <w:szCs w:val="24"/>
        </w:rPr>
        <w:tab/>
      </w:r>
    </w:p>
    <w:p w:rsidR="00893947" w:rsidRPr="009F63D9" w:rsidRDefault="00893947" w:rsidP="009F63D9">
      <w:pPr>
        <w:pStyle w:val="Cabealho"/>
        <w:jc w:val="both"/>
        <w:rPr>
          <w:rFonts w:ascii="Times New Roman" w:hAnsi="Times New Roman"/>
          <w:sz w:val="24"/>
          <w:szCs w:val="24"/>
        </w:rPr>
      </w:pPr>
    </w:p>
    <w:tbl>
      <w:tblPr>
        <w:tblW w:w="4960" w:type="pct"/>
        <w:tblInd w:w="-3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3204"/>
        <w:gridCol w:w="5301"/>
        <w:gridCol w:w="708"/>
      </w:tblGrid>
      <w:tr w:rsidR="00FD610C" w:rsidRPr="008211FD" w:rsidTr="008211FD">
        <w:tc>
          <w:tcPr>
            <w:tcW w:w="1739" w:type="pct"/>
            <w:tcBorders>
              <w:top w:val="single" w:sz="8" w:space="0" w:color="4F81BD"/>
              <w:left w:val="single" w:sz="8" w:space="0" w:color="4F81BD"/>
              <w:bottom w:val="single" w:sz="18" w:space="0" w:color="4F81BD"/>
              <w:right w:val="single" w:sz="8" w:space="0" w:color="4F81BD"/>
            </w:tcBorders>
          </w:tcPr>
          <w:p w:rsidR="00FD610C" w:rsidRPr="008211FD" w:rsidRDefault="00FD610C"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Sociedade Política</w:t>
            </w:r>
          </w:p>
        </w:tc>
        <w:tc>
          <w:tcPr>
            <w:tcW w:w="2877" w:type="pct"/>
            <w:tcBorders>
              <w:top w:val="single" w:sz="8" w:space="0" w:color="4F81BD"/>
              <w:left w:val="single" w:sz="8" w:space="0" w:color="4F81BD"/>
              <w:bottom w:val="single" w:sz="18" w:space="0" w:color="4F81BD"/>
              <w:right w:val="single" w:sz="8" w:space="0" w:color="4F81BD"/>
            </w:tcBorders>
          </w:tcPr>
          <w:p w:rsidR="00FD610C" w:rsidRPr="008211FD" w:rsidRDefault="00FD610C" w:rsidP="008211FD">
            <w:pPr>
              <w:spacing w:after="0" w:line="240" w:lineRule="auto"/>
              <w:jc w:val="both"/>
              <w:rPr>
                <w:rFonts w:ascii="Times New Roman" w:eastAsia="Times New Roman" w:hAnsi="Times New Roman"/>
                <w:b/>
                <w:bCs/>
                <w:sz w:val="20"/>
                <w:szCs w:val="20"/>
              </w:rPr>
            </w:pPr>
            <w:r w:rsidRPr="008211FD">
              <w:rPr>
                <w:rFonts w:ascii="Times New Roman" w:eastAsia="Times New Roman" w:hAnsi="Times New Roman"/>
                <w:b/>
                <w:bCs/>
                <w:sz w:val="20"/>
                <w:szCs w:val="20"/>
              </w:rPr>
              <w:t>Conselheiros</w:t>
            </w:r>
          </w:p>
        </w:tc>
        <w:tc>
          <w:tcPr>
            <w:tcW w:w="384" w:type="pct"/>
            <w:tcBorders>
              <w:top w:val="single" w:sz="8" w:space="0" w:color="4F81BD"/>
              <w:left w:val="single" w:sz="8" w:space="0" w:color="4F81BD"/>
              <w:bottom w:val="single" w:sz="18" w:space="0" w:color="4F81BD"/>
              <w:right w:val="single" w:sz="8" w:space="0" w:color="4F81BD"/>
            </w:tcBorders>
          </w:tcPr>
          <w:p w:rsidR="00FD610C" w:rsidRPr="008211FD" w:rsidRDefault="00FD610C" w:rsidP="008211FD">
            <w:pPr>
              <w:spacing w:after="0" w:line="240" w:lineRule="auto"/>
              <w:jc w:val="center"/>
              <w:rPr>
                <w:rFonts w:ascii="Times New Roman" w:eastAsia="Times New Roman" w:hAnsi="Times New Roman"/>
                <w:b/>
                <w:bCs/>
                <w:sz w:val="20"/>
                <w:szCs w:val="20"/>
              </w:rPr>
            </w:pPr>
            <w:r w:rsidRPr="008211FD">
              <w:rPr>
                <w:rFonts w:ascii="Times New Roman" w:eastAsia="Times New Roman" w:hAnsi="Times New Roman"/>
                <w:b/>
                <w:bCs/>
                <w:sz w:val="20"/>
                <w:szCs w:val="20"/>
              </w:rPr>
              <w:t>T</w:t>
            </w:r>
          </w:p>
        </w:tc>
      </w:tr>
      <w:tr w:rsidR="00FD610C" w:rsidRPr="008211FD" w:rsidTr="008211FD">
        <w:tc>
          <w:tcPr>
            <w:tcW w:w="1739"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Conselhos e agências no MDIC</w:t>
            </w:r>
          </w:p>
        </w:tc>
        <w:tc>
          <w:tcPr>
            <w:tcW w:w="2877"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DecimalAligned"/>
              <w:tabs>
                <w:tab w:val="clear" w:pos="360"/>
                <w:tab w:val="decimal" w:pos="0"/>
              </w:tabs>
              <w:spacing w:after="0" w:line="240" w:lineRule="auto"/>
              <w:jc w:val="both"/>
              <w:rPr>
                <w:rFonts w:ascii="Times New Roman" w:hAnsi="Times New Roman"/>
                <w:sz w:val="20"/>
                <w:szCs w:val="20"/>
              </w:rPr>
            </w:pPr>
            <w:r w:rsidRPr="008211FD">
              <w:rPr>
                <w:rFonts w:ascii="Times New Roman" w:hAnsi="Times New Roman"/>
                <w:sz w:val="20"/>
                <w:szCs w:val="20"/>
              </w:rPr>
              <w:t xml:space="preserve">Antonio Gil, </w:t>
            </w:r>
            <w:r w:rsidR="00C13269">
              <w:rPr>
                <w:rFonts w:ascii="Times New Roman" w:hAnsi="Times New Roman"/>
                <w:sz w:val="20"/>
                <w:szCs w:val="20"/>
              </w:rPr>
              <w:t xml:space="preserve">Armando Monteiro Neto, </w:t>
            </w:r>
            <w:r w:rsidRPr="008211FD">
              <w:rPr>
                <w:rFonts w:ascii="Times New Roman" w:hAnsi="Times New Roman"/>
                <w:sz w:val="20"/>
                <w:szCs w:val="20"/>
              </w:rPr>
              <w:t xml:space="preserve">Cledorvino Bellini, Eugênio Staub, Ivo Rosset, Jorge Gerdau, Joseph Couri, Luiz Aubert Neto, Luiz Leite, Marcelo Odebrecht, Marcos Jank, Maurício Botelho, Miguel Jorge Fº, Paulo Godoy, Robson Braga de Andrade, Roger Agnelli, Rodrigo Loures. </w:t>
            </w:r>
          </w:p>
        </w:tc>
        <w:tc>
          <w:tcPr>
            <w:tcW w:w="38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C13269" w:rsidP="008211FD">
            <w:pPr>
              <w:pStyle w:val="DecimalAligned"/>
              <w:tabs>
                <w:tab w:val="clear" w:pos="360"/>
                <w:tab w:val="decimal" w:pos="0"/>
              </w:tabs>
              <w:spacing w:after="0" w:line="240" w:lineRule="auto"/>
              <w:jc w:val="center"/>
              <w:rPr>
                <w:rFonts w:ascii="Times New Roman" w:hAnsi="Times New Roman"/>
                <w:sz w:val="20"/>
                <w:szCs w:val="20"/>
              </w:rPr>
            </w:pPr>
            <w:r>
              <w:rPr>
                <w:rFonts w:ascii="Times New Roman" w:hAnsi="Times New Roman"/>
                <w:sz w:val="20"/>
                <w:szCs w:val="20"/>
              </w:rPr>
              <w:t>17</w:t>
            </w:r>
          </w:p>
        </w:tc>
      </w:tr>
      <w:tr w:rsidR="00FD610C" w:rsidRPr="008211FD" w:rsidTr="008211FD">
        <w:tc>
          <w:tcPr>
            <w:tcW w:w="1739"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Ministérios e órgãos estatais</w:t>
            </w:r>
          </w:p>
        </w:tc>
        <w:tc>
          <w:tcPr>
            <w:tcW w:w="2877"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both"/>
              <w:rPr>
                <w:color w:val="000000"/>
                <w:sz w:val="20"/>
                <w:szCs w:val="20"/>
              </w:rPr>
            </w:pPr>
            <w:r w:rsidRPr="008211FD">
              <w:rPr>
                <w:color w:val="000000"/>
                <w:sz w:val="20"/>
                <w:szCs w:val="20"/>
              </w:rPr>
              <w:t>Antoninho Trevisan, Antonio Silva, Cláudio Conz, Fernando X. Ferreira, Humberto Mota, Luiz Aubert Neto, Joseph Couri, Maria Ferreira, Oded Grajew, Raymundo Magliano Fº, Rinaldo Soares, Rodrigo Loures.</w:t>
            </w:r>
          </w:p>
        </w:tc>
        <w:tc>
          <w:tcPr>
            <w:tcW w:w="384"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color w:val="000000"/>
                <w:sz w:val="20"/>
                <w:szCs w:val="20"/>
              </w:rPr>
            </w:pPr>
            <w:r w:rsidRPr="008211FD">
              <w:rPr>
                <w:color w:val="000000"/>
                <w:sz w:val="20"/>
                <w:szCs w:val="20"/>
              </w:rPr>
              <w:t>12</w:t>
            </w:r>
          </w:p>
        </w:tc>
      </w:tr>
      <w:tr w:rsidR="00FD610C" w:rsidRPr="008211FD" w:rsidTr="008211FD">
        <w:tc>
          <w:tcPr>
            <w:tcW w:w="1739"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Conselhos de Administração de Empresas Estatais</w:t>
            </w:r>
          </w:p>
        </w:tc>
        <w:tc>
          <w:tcPr>
            <w:tcW w:w="2877"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after="0" w:afterAutospacing="0"/>
              <w:jc w:val="both"/>
              <w:rPr>
                <w:color w:val="FF0000"/>
                <w:sz w:val="20"/>
                <w:szCs w:val="20"/>
              </w:rPr>
            </w:pPr>
            <w:r w:rsidRPr="008211FD">
              <w:rPr>
                <w:color w:val="000000"/>
                <w:sz w:val="20"/>
                <w:szCs w:val="20"/>
              </w:rPr>
              <w:t xml:space="preserve">Benjamin Steinbruch, Fábio Barbosa, Fernando X. Ferreira, Humberto Mota,  Jorge Gerdau, Roger Agneli. </w:t>
            </w:r>
          </w:p>
        </w:tc>
        <w:tc>
          <w:tcPr>
            <w:tcW w:w="38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after="0" w:afterAutospacing="0"/>
              <w:jc w:val="center"/>
              <w:rPr>
                <w:color w:val="000000"/>
                <w:sz w:val="20"/>
                <w:szCs w:val="20"/>
              </w:rPr>
            </w:pPr>
            <w:r w:rsidRPr="008211FD">
              <w:rPr>
                <w:color w:val="000000"/>
                <w:sz w:val="20"/>
                <w:szCs w:val="20"/>
              </w:rPr>
              <w:t>6</w:t>
            </w:r>
          </w:p>
        </w:tc>
      </w:tr>
      <w:tr w:rsidR="00FD610C" w:rsidRPr="008211FD" w:rsidTr="008211FD">
        <w:tc>
          <w:tcPr>
            <w:tcW w:w="1739"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BNDES</w:t>
            </w:r>
          </w:p>
        </w:tc>
        <w:tc>
          <w:tcPr>
            <w:tcW w:w="2877"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0" w:line="240" w:lineRule="auto"/>
              <w:jc w:val="both"/>
              <w:rPr>
                <w:rFonts w:ascii="Times New Roman" w:hAnsi="Times New Roman"/>
                <w:color w:val="000000"/>
                <w:sz w:val="20"/>
                <w:szCs w:val="20"/>
              </w:rPr>
            </w:pPr>
            <w:r w:rsidRPr="008211FD">
              <w:rPr>
                <w:rFonts w:ascii="Times New Roman" w:hAnsi="Times New Roman"/>
                <w:color w:val="000000"/>
                <w:sz w:val="20"/>
                <w:szCs w:val="20"/>
              </w:rPr>
              <w:t>Benjamin Steinbruch, Eduardo Vieira, Luiz Aubert Neto, Luiz Leite, Paulo Skaf.</w:t>
            </w:r>
          </w:p>
        </w:tc>
        <w:tc>
          <w:tcPr>
            <w:tcW w:w="384"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0" w:line="240" w:lineRule="auto"/>
              <w:jc w:val="center"/>
              <w:rPr>
                <w:rFonts w:ascii="Times New Roman" w:hAnsi="Times New Roman"/>
                <w:color w:val="000000"/>
                <w:sz w:val="20"/>
                <w:szCs w:val="20"/>
              </w:rPr>
            </w:pPr>
            <w:r w:rsidRPr="008211FD">
              <w:rPr>
                <w:rFonts w:ascii="Times New Roman" w:hAnsi="Times New Roman"/>
                <w:color w:val="000000"/>
                <w:sz w:val="20"/>
                <w:szCs w:val="20"/>
              </w:rPr>
              <w:t>5</w:t>
            </w:r>
          </w:p>
        </w:tc>
      </w:tr>
      <w:tr w:rsidR="00FD610C" w:rsidRPr="008211FD" w:rsidTr="008211FD">
        <w:tc>
          <w:tcPr>
            <w:tcW w:w="1739"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Secretarias e empresas públicas estaduais</w:t>
            </w:r>
          </w:p>
        </w:tc>
        <w:tc>
          <w:tcPr>
            <w:tcW w:w="2877"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Default"/>
              <w:jc w:val="both"/>
              <w:rPr>
                <w:sz w:val="20"/>
                <w:szCs w:val="20"/>
              </w:rPr>
            </w:pPr>
            <w:r w:rsidRPr="008211FD">
              <w:rPr>
                <w:sz w:val="20"/>
                <w:szCs w:val="20"/>
              </w:rPr>
              <w:t>Humberto Mota, José Carvalho, João Campos, Maria Ferreira, Mauro Knijniki, Olavo Machado Jr., Paulo Godoy, Paulo Simão, Pedro Teruel, Robson Andrade.</w:t>
            </w:r>
          </w:p>
        </w:tc>
        <w:tc>
          <w:tcPr>
            <w:tcW w:w="38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Default"/>
              <w:jc w:val="center"/>
              <w:rPr>
                <w:sz w:val="20"/>
                <w:szCs w:val="20"/>
              </w:rPr>
            </w:pPr>
            <w:r w:rsidRPr="008211FD">
              <w:rPr>
                <w:sz w:val="20"/>
                <w:szCs w:val="20"/>
              </w:rPr>
              <w:t>10</w:t>
            </w:r>
          </w:p>
        </w:tc>
      </w:tr>
      <w:tr w:rsidR="00FD610C" w:rsidRPr="008211FD" w:rsidTr="008211FD">
        <w:tc>
          <w:tcPr>
            <w:tcW w:w="1739"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Bancos de Desenvolvimento</w:t>
            </w:r>
          </w:p>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Estaduais</w:t>
            </w:r>
          </w:p>
        </w:tc>
        <w:tc>
          <w:tcPr>
            <w:tcW w:w="2877"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0" w:line="240" w:lineRule="auto"/>
              <w:jc w:val="both"/>
              <w:rPr>
                <w:rFonts w:ascii="Times New Roman" w:hAnsi="Times New Roman"/>
                <w:color w:val="000000"/>
                <w:sz w:val="20"/>
                <w:szCs w:val="20"/>
              </w:rPr>
            </w:pPr>
            <w:r w:rsidRPr="008211FD">
              <w:rPr>
                <w:rFonts w:ascii="Times New Roman" w:hAnsi="Times New Roman"/>
                <w:color w:val="000000"/>
                <w:sz w:val="20"/>
                <w:szCs w:val="20"/>
              </w:rPr>
              <w:t>João Elísio Campos, Mauro Knijniki, José Mendo Mizael.</w:t>
            </w:r>
          </w:p>
        </w:tc>
        <w:tc>
          <w:tcPr>
            <w:tcW w:w="384"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0" w:line="240" w:lineRule="auto"/>
              <w:jc w:val="center"/>
              <w:rPr>
                <w:rFonts w:ascii="Times New Roman" w:hAnsi="Times New Roman"/>
                <w:color w:val="000000"/>
                <w:sz w:val="20"/>
                <w:szCs w:val="20"/>
              </w:rPr>
            </w:pPr>
            <w:r w:rsidRPr="008211FD">
              <w:rPr>
                <w:rFonts w:ascii="Times New Roman" w:hAnsi="Times New Roman"/>
                <w:color w:val="000000"/>
                <w:sz w:val="20"/>
                <w:szCs w:val="20"/>
              </w:rPr>
              <w:t>3</w:t>
            </w:r>
          </w:p>
        </w:tc>
      </w:tr>
      <w:tr w:rsidR="00FD610C" w:rsidRPr="008211FD" w:rsidTr="008211FD">
        <w:tc>
          <w:tcPr>
            <w:tcW w:w="1739"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Cargos eletivos</w:t>
            </w:r>
          </w:p>
        </w:tc>
        <w:tc>
          <w:tcPr>
            <w:tcW w:w="2877"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100" w:afterAutospacing="1" w:line="240" w:lineRule="auto"/>
              <w:jc w:val="both"/>
              <w:rPr>
                <w:rFonts w:ascii="Times New Roman" w:hAnsi="Times New Roman"/>
                <w:color w:val="000000"/>
                <w:sz w:val="20"/>
                <w:szCs w:val="20"/>
              </w:rPr>
            </w:pPr>
            <w:r w:rsidRPr="008211FD">
              <w:rPr>
                <w:rFonts w:ascii="Times New Roman" w:hAnsi="Times New Roman"/>
                <w:color w:val="000000"/>
                <w:sz w:val="20"/>
                <w:szCs w:val="20"/>
              </w:rPr>
              <w:t xml:space="preserve">José Carvalho (PTB/PR), João Elísio Campos (ARENA/PMDB/PR), Maria Ferreira (PMDB/MG), Pedro Teruel (PT/MS). </w:t>
            </w:r>
          </w:p>
        </w:tc>
        <w:tc>
          <w:tcPr>
            <w:tcW w:w="38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100" w:afterAutospacing="1" w:line="240" w:lineRule="auto"/>
              <w:jc w:val="center"/>
              <w:rPr>
                <w:rFonts w:ascii="Times New Roman" w:hAnsi="Times New Roman"/>
                <w:color w:val="000000"/>
                <w:sz w:val="20"/>
                <w:szCs w:val="20"/>
              </w:rPr>
            </w:pPr>
            <w:r w:rsidRPr="008211FD">
              <w:rPr>
                <w:rFonts w:ascii="Times New Roman" w:hAnsi="Times New Roman"/>
                <w:color w:val="000000"/>
                <w:sz w:val="20"/>
                <w:szCs w:val="20"/>
              </w:rPr>
              <w:t>4</w:t>
            </w:r>
          </w:p>
        </w:tc>
      </w:tr>
    </w:tbl>
    <w:p w:rsidR="00FD610C" w:rsidRPr="009C3A78" w:rsidRDefault="00457718" w:rsidP="00FD610C">
      <w:pPr>
        <w:rPr>
          <w:rFonts w:ascii="Times New Roman" w:hAnsi="Times New Roman"/>
          <w:sz w:val="18"/>
          <w:szCs w:val="18"/>
        </w:rPr>
      </w:pPr>
      <w:r>
        <w:rPr>
          <w:rFonts w:ascii="Times New Roman" w:hAnsi="Times New Roman"/>
          <w:b/>
          <w:sz w:val="18"/>
          <w:szCs w:val="18"/>
        </w:rPr>
        <w:t>Elaboração própria</w:t>
      </w:r>
      <w:r w:rsidR="009C3A78">
        <w:rPr>
          <w:rFonts w:ascii="Times New Roman" w:hAnsi="Times New Roman"/>
          <w:b/>
          <w:sz w:val="18"/>
          <w:szCs w:val="18"/>
        </w:rPr>
        <w:t xml:space="preserve">. Fontes: </w:t>
      </w:r>
      <w:r w:rsidR="009C3A78">
        <w:rPr>
          <w:rFonts w:ascii="Times New Roman" w:hAnsi="Times New Roman"/>
          <w:sz w:val="18"/>
          <w:szCs w:val="18"/>
        </w:rPr>
        <w:t>site do CDES (www.CDES.gov.br) e pesquisas na internet.</w:t>
      </w:r>
    </w:p>
    <w:p w:rsidR="00270917" w:rsidRPr="00D93CBD" w:rsidRDefault="00270917" w:rsidP="00457718">
      <w:pPr>
        <w:pStyle w:val="Cabealho"/>
        <w:tabs>
          <w:tab w:val="clear" w:pos="4252"/>
          <w:tab w:val="clear" w:pos="8504"/>
          <w:tab w:val="center" w:pos="0"/>
        </w:tabs>
        <w:spacing w:before="240" w:line="360" w:lineRule="auto"/>
        <w:jc w:val="both"/>
        <w:rPr>
          <w:rFonts w:ascii="Times New Roman" w:hAnsi="Times New Roman"/>
          <w:sz w:val="24"/>
          <w:szCs w:val="24"/>
        </w:rPr>
      </w:pPr>
      <w:r>
        <w:rPr>
          <w:rFonts w:ascii="Times New Roman" w:hAnsi="Times New Roman"/>
          <w:b/>
          <w:sz w:val="24"/>
          <w:szCs w:val="24"/>
        </w:rPr>
        <w:tab/>
      </w:r>
      <w:r w:rsidR="002F7E94">
        <w:rPr>
          <w:rFonts w:ascii="Times New Roman" w:hAnsi="Times New Roman"/>
          <w:sz w:val="24"/>
          <w:szCs w:val="24"/>
        </w:rPr>
        <w:t>Do total de 8</w:t>
      </w:r>
      <w:r w:rsidR="004423D7">
        <w:rPr>
          <w:rFonts w:ascii="Times New Roman" w:hAnsi="Times New Roman"/>
          <w:sz w:val="24"/>
          <w:szCs w:val="24"/>
        </w:rPr>
        <w:t>8</w:t>
      </w:r>
      <w:r w:rsidR="0001658A" w:rsidRPr="00D93CBD">
        <w:rPr>
          <w:rFonts w:ascii="Times New Roman" w:hAnsi="Times New Roman"/>
          <w:sz w:val="24"/>
          <w:szCs w:val="24"/>
        </w:rPr>
        <w:t xml:space="preserve"> empresários que passaram pelo CDES entre 2003 e 2010, 40 deles, isto é, </w:t>
      </w:r>
      <w:r w:rsidR="00166AD9" w:rsidRPr="00D93CBD">
        <w:rPr>
          <w:rFonts w:ascii="Times New Roman" w:hAnsi="Times New Roman"/>
          <w:sz w:val="24"/>
          <w:szCs w:val="24"/>
        </w:rPr>
        <w:t>praticamente 50% vincularam-se às agências da sociedade política</w:t>
      </w:r>
      <w:r w:rsidR="00C00ABE" w:rsidRPr="00D93CBD">
        <w:rPr>
          <w:rFonts w:ascii="Times New Roman" w:hAnsi="Times New Roman"/>
          <w:sz w:val="24"/>
          <w:szCs w:val="24"/>
        </w:rPr>
        <w:t>,</w:t>
      </w:r>
      <w:r w:rsidR="00166AD9" w:rsidRPr="00D93CBD">
        <w:rPr>
          <w:rStyle w:val="Refdenotaderodap"/>
          <w:rFonts w:ascii="Times New Roman" w:hAnsi="Times New Roman"/>
          <w:sz w:val="24"/>
          <w:szCs w:val="24"/>
        </w:rPr>
        <w:footnoteReference w:id="336"/>
      </w:r>
      <w:r w:rsidR="00C00ABE" w:rsidRPr="00D93CBD">
        <w:rPr>
          <w:rFonts w:ascii="Times New Roman" w:hAnsi="Times New Roman"/>
          <w:sz w:val="24"/>
          <w:szCs w:val="24"/>
        </w:rPr>
        <w:t xml:space="preserve">além do próprio CDES, é claro. Nota-se que </w:t>
      </w:r>
      <w:r w:rsidR="00151134" w:rsidRPr="00D93CBD">
        <w:rPr>
          <w:rFonts w:ascii="Times New Roman" w:hAnsi="Times New Roman"/>
          <w:sz w:val="24"/>
          <w:szCs w:val="24"/>
        </w:rPr>
        <w:t xml:space="preserve">muitos empresários do CDES se entrelaçavam também nas agências da sociedade política. No caso do CNDI e do CONEX </w:t>
      </w:r>
      <w:r w:rsidR="00C45B6A" w:rsidRPr="00D93CBD">
        <w:rPr>
          <w:rFonts w:ascii="Times New Roman" w:hAnsi="Times New Roman"/>
          <w:sz w:val="24"/>
          <w:szCs w:val="24"/>
        </w:rPr>
        <w:t>constituíram um “grupo de ação permanente” empresarial que transitava entre os dois órgãos. Com a crise de 2008, foi criado o Grupo de Acompanhamento da Crise</w:t>
      </w:r>
      <w:r w:rsidR="00412ADF">
        <w:rPr>
          <w:rFonts w:ascii="Times New Roman" w:hAnsi="Times New Roman"/>
          <w:sz w:val="24"/>
          <w:szCs w:val="24"/>
        </w:rPr>
        <w:t xml:space="preserve"> (GAC)</w:t>
      </w:r>
      <w:r w:rsidR="00C45B6A" w:rsidRPr="00D93CBD">
        <w:rPr>
          <w:rFonts w:ascii="Times New Roman" w:hAnsi="Times New Roman"/>
          <w:sz w:val="24"/>
          <w:szCs w:val="24"/>
        </w:rPr>
        <w:t xml:space="preserve">, no âmbito do Ministério da Fazenda, </w:t>
      </w:r>
      <w:r w:rsidR="00412ADF">
        <w:rPr>
          <w:rFonts w:ascii="Times New Roman" w:hAnsi="Times New Roman"/>
          <w:sz w:val="24"/>
          <w:szCs w:val="24"/>
        </w:rPr>
        <w:t xml:space="preserve">onde </w:t>
      </w:r>
      <w:r w:rsidR="00C45B6A" w:rsidRPr="00D93CBD">
        <w:rPr>
          <w:rFonts w:ascii="Times New Roman" w:hAnsi="Times New Roman"/>
          <w:sz w:val="24"/>
          <w:szCs w:val="24"/>
        </w:rPr>
        <w:t>muitos desse núcleo empresarial do CDES estariam também presentes, como veremos no capítulo 4.</w:t>
      </w:r>
    </w:p>
    <w:p w:rsidR="00270917" w:rsidRDefault="00270917" w:rsidP="00FD610C">
      <w:pPr>
        <w:pStyle w:val="Cabealho"/>
        <w:rPr>
          <w:rFonts w:ascii="Times New Roman" w:hAnsi="Times New Roman"/>
          <w:b/>
          <w:sz w:val="24"/>
          <w:szCs w:val="24"/>
        </w:rPr>
      </w:pPr>
    </w:p>
    <w:p w:rsidR="00FD610C" w:rsidRPr="00DB6D1A" w:rsidRDefault="00FD610C" w:rsidP="00FD610C">
      <w:pPr>
        <w:pStyle w:val="Cabealho"/>
        <w:rPr>
          <w:rFonts w:ascii="Times New Roman" w:hAnsi="Times New Roman"/>
          <w:b/>
          <w:sz w:val="24"/>
          <w:szCs w:val="24"/>
        </w:rPr>
      </w:pPr>
      <w:r>
        <w:rPr>
          <w:rFonts w:ascii="Times New Roman" w:hAnsi="Times New Roman"/>
          <w:b/>
          <w:sz w:val="24"/>
          <w:szCs w:val="24"/>
        </w:rPr>
        <w:t xml:space="preserve">2.7 - </w:t>
      </w:r>
      <w:r w:rsidRPr="00DB6D1A">
        <w:rPr>
          <w:rFonts w:ascii="Times New Roman" w:hAnsi="Times New Roman"/>
          <w:b/>
          <w:sz w:val="24"/>
          <w:szCs w:val="24"/>
        </w:rPr>
        <w:t>Transnacionalização de Grupos</w:t>
      </w:r>
      <w:r>
        <w:rPr>
          <w:rFonts w:ascii="Times New Roman" w:hAnsi="Times New Roman"/>
          <w:b/>
          <w:sz w:val="24"/>
          <w:szCs w:val="24"/>
        </w:rPr>
        <w:t xml:space="preserve"> Econômicos presentes no CDES</w:t>
      </w:r>
    </w:p>
    <w:p w:rsidR="00FD610C" w:rsidRPr="008F1E2D" w:rsidRDefault="00FD610C" w:rsidP="00FD610C">
      <w:pPr>
        <w:pStyle w:val="Cabealho"/>
        <w:rPr>
          <w:rFonts w:ascii="Times New Roman" w:hAnsi="Times New Roman"/>
          <w:sz w:val="24"/>
          <w:szCs w:val="24"/>
        </w:rPr>
      </w:pPr>
    </w:p>
    <w:p w:rsidR="00FD610C" w:rsidRDefault="00FD610C" w:rsidP="00FD610C">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A pesquisa acerca das firmas e grupos econômicos </w:t>
      </w:r>
      <w:r w:rsidR="002F7E94">
        <w:rPr>
          <w:rFonts w:ascii="Times New Roman" w:hAnsi="Times New Roman"/>
          <w:sz w:val="24"/>
          <w:szCs w:val="24"/>
        </w:rPr>
        <w:t xml:space="preserve">de </w:t>
      </w:r>
      <w:r>
        <w:rPr>
          <w:rFonts w:ascii="Times New Roman" w:hAnsi="Times New Roman"/>
          <w:sz w:val="24"/>
          <w:szCs w:val="24"/>
        </w:rPr>
        <w:t>que os conselheiros-empresários eram representantes e/ou s</w:t>
      </w:r>
      <w:r w:rsidR="005D72BB">
        <w:rPr>
          <w:rFonts w:ascii="Times New Roman" w:hAnsi="Times New Roman"/>
          <w:sz w:val="24"/>
          <w:szCs w:val="24"/>
        </w:rPr>
        <w:t>o</w:t>
      </w:r>
      <w:r>
        <w:rPr>
          <w:rFonts w:ascii="Times New Roman" w:hAnsi="Times New Roman"/>
          <w:sz w:val="24"/>
          <w:szCs w:val="24"/>
        </w:rPr>
        <w:t>cioproprietários nos mostrou também que eles participavam de uma política expansionista para outros países (transnacionalização), muitos dos quais recebiam volumosos recursos do BNDES durante os mandatos de Lula da Silva. Neste período, o Banco alterou seu estatuto e voltou-se para abertura de linhas de financiamentos com vistas à alavancagem das modalidades de transnacionalização de alguns grupos selecionados, financiando sua participação no comércio exterior, na instauração de plantas industriais e em outros investimentos que almejavam, para além do território nacional, especialmente àqueles ligados aos projetos de integração regional.  Trata-se de um “papel fomentador da expansão imperialista realizado pelo Estado brasileiro”, nas palavras de Fontes,</w:t>
      </w:r>
      <w:r>
        <w:rPr>
          <w:rStyle w:val="Refdenotaderodap"/>
          <w:rFonts w:ascii="Times New Roman" w:hAnsi="Times New Roman"/>
          <w:sz w:val="24"/>
          <w:szCs w:val="24"/>
        </w:rPr>
        <w:footnoteReference w:id="337"/>
      </w:r>
      <w:r>
        <w:rPr>
          <w:rFonts w:ascii="Times New Roman" w:hAnsi="Times New Roman"/>
          <w:sz w:val="24"/>
          <w:szCs w:val="24"/>
        </w:rPr>
        <w:t xml:space="preserve"> levando a autora a considerar que o Brasil incorpora-se, ainda que de forma subordinada, ao conjunto dos países imperialistas. Este movimento desigual e combinado de capitais subimperialistas de origem brasileira traduz-se, em tempos recentes,  em uma “mescla de solidariedade e truculência” no cenário internacional, carreando “para fora do país as determinações internas ambivalentes, muitas vezes apresentadas como valorosos ou generosos atributos”</w:t>
      </w:r>
      <w:r w:rsidR="00413E44">
        <w:rPr>
          <w:rFonts w:ascii="Times New Roman" w:hAnsi="Times New Roman"/>
          <w:sz w:val="24"/>
          <w:szCs w:val="24"/>
        </w:rPr>
        <w:t>.</w:t>
      </w:r>
      <w:r>
        <w:rPr>
          <w:rStyle w:val="Refdenotaderodap"/>
          <w:rFonts w:ascii="Times New Roman" w:hAnsi="Times New Roman"/>
          <w:sz w:val="24"/>
          <w:szCs w:val="24"/>
        </w:rPr>
        <w:footnoteReference w:id="338"/>
      </w:r>
      <w:r w:rsidR="00413E44">
        <w:rPr>
          <w:rFonts w:ascii="Times New Roman" w:hAnsi="Times New Roman"/>
          <w:sz w:val="24"/>
          <w:szCs w:val="24"/>
        </w:rPr>
        <w:t xml:space="preserve">O processo foi </w:t>
      </w:r>
      <w:r>
        <w:rPr>
          <w:rFonts w:ascii="Times New Roman" w:hAnsi="Times New Roman"/>
          <w:sz w:val="24"/>
          <w:szCs w:val="24"/>
        </w:rPr>
        <w:t>defendido pelo governo e/ou por avaliações elogiosas a esta política, sob o signo da “cooperação progressista” entre os governos sul-americanos, em que o caso brasileiro é encarado como portador de um “importante instrumento do programa político neodesenvolvimentista”:</w:t>
      </w:r>
      <w:r>
        <w:rPr>
          <w:rStyle w:val="Refdenotaderodap"/>
          <w:rFonts w:ascii="Times New Roman" w:hAnsi="Times New Roman"/>
          <w:sz w:val="24"/>
          <w:szCs w:val="24"/>
        </w:rPr>
        <w:footnoteReference w:id="339"/>
      </w:r>
    </w:p>
    <w:p w:rsidR="00FD610C" w:rsidRPr="00E33422" w:rsidRDefault="00FD610C" w:rsidP="00FD610C">
      <w:pPr>
        <w:autoSpaceDE w:val="0"/>
        <w:autoSpaceDN w:val="0"/>
        <w:adjustRightInd w:val="0"/>
        <w:spacing w:line="240" w:lineRule="auto"/>
        <w:ind w:left="2268"/>
        <w:jc w:val="both"/>
        <w:rPr>
          <w:rFonts w:ascii="Times New Roman" w:hAnsi="Times New Roman"/>
          <w:sz w:val="20"/>
          <w:szCs w:val="20"/>
        </w:rPr>
      </w:pPr>
      <w:r w:rsidRPr="00E33422">
        <w:rPr>
          <w:rFonts w:ascii="Times New Roman" w:hAnsi="Times New Roman"/>
          <w:sz w:val="20"/>
          <w:szCs w:val="20"/>
        </w:rPr>
        <w:t>Grande parte dos investimentos brasileiros na América do Sul está ligada a um fortalecimento das políticas desenvolvimentistas que dependem de investimento externo. Os governos  (nacional-desenvolvimentistas), em sua maioria, não dispunham de recursos e estrutura para a execução da obra no período desejado, por isso,  contaram com a atuação das empresas brasileiras e com financiamento do Banco Nacional de Desenvolvimento Econômico e Social (BNDES)</w:t>
      </w:r>
      <w:r>
        <w:rPr>
          <w:rFonts w:ascii="Times New Roman" w:hAnsi="Times New Roman"/>
          <w:sz w:val="20"/>
          <w:szCs w:val="20"/>
        </w:rPr>
        <w:t>.</w:t>
      </w:r>
      <w:r>
        <w:rPr>
          <w:rStyle w:val="Refdenotaderodap"/>
          <w:rFonts w:ascii="Times New Roman" w:hAnsi="Times New Roman"/>
          <w:sz w:val="20"/>
          <w:szCs w:val="20"/>
        </w:rPr>
        <w:footnoteReference w:id="340"/>
      </w:r>
    </w:p>
    <w:p w:rsidR="00FD610C" w:rsidRDefault="00FD610C" w:rsidP="00FD610C">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Em oposição a esta visão parcial</w:t>
      </w:r>
      <w:r w:rsidR="00413E44">
        <w:rPr>
          <w:rFonts w:ascii="Times New Roman" w:hAnsi="Times New Roman"/>
          <w:sz w:val="24"/>
          <w:szCs w:val="24"/>
        </w:rPr>
        <w:t>,</w:t>
      </w:r>
      <w:r>
        <w:rPr>
          <w:rFonts w:ascii="Times New Roman" w:hAnsi="Times New Roman"/>
          <w:sz w:val="24"/>
          <w:szCs w:val="24"/>
        </w:rPr>
        <w:t xml:space="preserve"> isto é, considerando o extravasamento das atuações truculentas e autocráticas de nossa burguesia, a expansão de capitais aqui instalados ocasiona dramáticos impactos s</w:t>
      </w:r>
      <w:r w:rsidR="00CA0999">
        <w:rPr>
          <w:rFonts w:ascii="Times New Roman" w:hAnsi="Times New Roman"/>
          <w:sz w:val="24"/>
          <w:szCs w:val="24"/>
        </w:rPr>
        <w:t>o</w:t>
      </w:r>
      <w:r>
        <w:rPr>
          <w:rFonts w:ascii="Times New Roman" w:hAnsi="Times New Roman"/>
          <w:sz w:val="24"/>
          <w:szCs w:val="24"/>
        </w:rPr>
        <w:t>cioambientais e trabalhistas nas populações atingidas, ensejando, por isto, críticas e estratégias de ações mobilizadoras por parte</w:t>
      </w:r>
      <w:r w:rsidR="00413E44">
        <w:rPr>
          <w:rFonts w:ascii="Times New Roman" w:hAnsi="Times New Roman"/>
          <w:sz w:val="24"/>
          <w:szCs w:val="24"/>
        </w:rPr>
        <w:t xml:space="preserve"> de</w:t>
      </w:r>
      <w:r>
        <w:rPr>
          <w:rFonts w:ascii="Times New Roman" w:hAnsi="Times New Roman"/>
          <w:sz w:val="24"/>
          <w:szCs w:val="24"/>
        </w:rPr>
        <w:t xml:space="preserve"> redes, organizações e movimentos sociais articuladas em torno da “Plataforma BNDES”,</w:t>
      </w:r>
      <w:r>
        <w:rPr>
          <w:rStyle w:val="Refdenotaderodap"/>
          <w:rFonts w:ascii="Times New Roman" w:hAnsi="Times New Roman"/>
          <w:sz w:val="24"/>
          <w:szCs w:val="24"/>
        </w:rPr>
        <w:footnoteReference w:id="341"/>
      </w:r>
      <w:r>
        <w:rPr>
          <w:rFonts w:ascii="Times New Roman" w:hAnsi="Times New Roman"/>
          <w:sz w:val="24"/>
          <w:szCs w:val="24"/>
        </w:rPr>
        <w:t xml:space="preserve"> cujas pautas não se </w:t>
      </w:r>
      <w:r w:rsidR="00413E44">
        <w:rPr>
          <w:rFonts w:ascii="Times New Roman" w:hAnsi="Times New Roman"/>
          <w:sz w:val="24"/>
          <w:szCs w:val="24"/>
        </w:rPr>
        <w:t>limitam</w:t>
      </w:r>
      <w:r>
        <w:rPr>
          <w:rFonts w:ascii="Times New Roman" w:hAnsi="Times New Roman"/>
          <w:sz w:val="24"/>
          <w:szCs w:val="24"/>
        </w:rPr>
        <w:t xml:space="preserve"> apenas </w:t>
      </w:r>
      <w:r w:rsidR="00413E44">
        <w:rPr>
          <w:rFonts w:ascii="Times New Roman" w:hAnsi="Times New Roman"/>
          <w:sz w:val="24"/>
          <w:szCs w:val="24"/>
        </w:rPr>
        <w:t>à</w:t>
      </w:r>
      <w:r>
        <w:rPr>
          <w:rFonts w:ascii="Times New Roman" w:hAnsi="Times New Roman"/>
          <w:sz w:val="24"/>
          <w:szCs w:val="24"/>
        </w:rPr>
        <w:t xml:space="preserve"> exigência de mera “governança democrática” do Banco, mas também põem em evidência o papel que ele ocupa na formatação de um dado padrão de produção de riqueza  (na turbinagem de setores intensivos em recursos naturais, com grande poder de degradação ambiental e enxugadores das cadeias produtivas) e suas consequências para a precarização do emprego e aprofundamento das desigualdades. </w:t>
      </w:r>
      <w:r w:rsidR="00413E44">
        <w:rPr>
          <w:rFonts w:ascii="Times New Roman" w:hAnsi="Times New Roman"/>
          <w:sz w:val="24"/>
          <w:szCs w:val="24"/>
        </w:rPr>
        <w:t>A</w:t>
      </w:r>
      <w:r>
        <w:rPr>
          <w:rFonts w:ascii="Times New Roman" w:hAnsi="Times New Roman"/>
          <w:sz w:val="24"/>
          <w:szCs w:val="24"/>
        </w:rPr>
        <w:t xml:space="preserve"> atuação do BNDES passa ao largo de um suposto “desenvolvimento sustentável” apregoado e alardeado pelos ideólogos governamentais e acadêmicos, alguns dos quais presentes no CDES, investindo pesadamente no aumento da competitividade das empresas e no aumento de divisas via exportação, ao arrepio do bem-estar </w:t>
      </w:r>
      <w:r w:rsidR="00413E44">
        <w:rPr>
          <w:rFonts w:ascii="Times New Roman" w:hAnsi="Times New Roman"/>
          <w:sz w:val="24"/>
          <w:szCs w:val="24"/>
        </w:rPr>
        <w:t xml:space="preserve">econômico e </w:t>
      </w:r>
      <w:r>
        <w:rPr>
          <w:rFonts w:ascii="Times New Roman" w:hAnsi="Times New Roman"/>
          <w:sz w:val="24"/>
          <w:szCs w:val="24"/>
        </w:rPr>
        <w:t>s</w:t>
      </w:r>
      <w:r w:rsidR="00CA0999">
        <w:rPr>
          <w:rFonts w:ascii="Times New Roman" w:hAnsi="Times New Roman"/>
          <w:sz w:val="24"/>
          <w:szCs w:val="24"/>
        </w:rPr>
        <w:t>o</w:t>
      </w:r>
      <w:r>
        <w:rPr>
          <w:rFonts w:ascii="Times New Roman" w:hAnsi="Times New Roman"/>
          <w:sz w:val="24"/>
          <w:szCs w:val="24"/>
        </w:rPr>
        <w:t>cioambiental das populações drasticamente atingidas pelas operações das empresas e grupos financiados pelo Banco. Segundo Ana Saggioro Garcia,</w:t>
      </w:r>
    </w:p>
    <w:p w:rsidR="00FD610C" w:rsidRDefault="00FD610C" w:rsidP="00FD610C">
      <w:pPr>
        <w:pStyle w:val="Default"/>
        <w:spacing w:after="240"/>
        <w:ind w:left="2268"/>
        <w:jc w:val="both"/>
        <w:rPr>
          <w:color w:val="auto"/>
          <w:sz w:val="20"/>
          <w:szCs w:val="20"/>
        </w:rPr>
      </w:pPr>
      <w:r w:rsidRPr="00034C56">
        <w:rPr>
          <w:sz w:val="20"/>
          <w:szCs w:val="20"/>
        </w:rPr>
        <w:t xml:space="preserve">As multinacionais com sede no Brasil procuram atuar dentro do mesmo padrão que as demais multinacionais </w:t>
      </w:r>
      <w:r w:rsidRPr="00034C56">
        <w:rPr>
          <w:color w:val="auto"/>
          <w:sz w:val="20"/>
          <w:szCs w:val="20"/>
        </w:rPr>
        <w:t>das potências tradicionais, por vezes com consequências sociais e ambientais negativas, impactando especialmente as classes sociais mais vulneráveis. Em alguns casos, conflitos entre empresas e governos locais se transformaram em conflitos diplomáticos. As políticas públicas não podem deixar de considerar, com a prioridade necessária, as populações locais, os trabalhadores e o meio ambiente como elementos fundamentais do desenvolvimento que se almeja para sociedade brasileira, e o modelo de desenvolvimento que é levado a outros povos.</w:t>
      </w:r>
      <w:r>
        <w:rPr>
          <w:rStyle w:val="Refdenotaderodap"/>
          <w:color w:val="auto"/>
          <w:sz w:val="20"/>
          <w:szCs w:val="20"/>
        </w:rPr>
        <w:footnoteReference w:id="342"/>
      </w:r>
    </w:p>
    <w:p w:rsidR="00413E44" w:rsidRDefault="00FD610C" w:rsidP="00FD610C">
      <w:pPr>
        <w:pStyle w:val="Default"/>
        <w:spacing w:line="360" w:lineRule="auto"/>
        <w:jc w:val="both"/>
        <w:rPr>
          <w:color w:val="00000A"/>
        </w:rPr>
      </w:pPr>
      <w:r>
        <w:rPr>
          <w:color w:val="auto"/>
        </w:rPr>
        <w:tab/>
        <w:t xml:space="preserve">Conselheiros pertencentes a organizações sociais revelavam, nas plenárias do CDES, insatisfações quanto ao referido “modelo de desenvolvimento” financiado pelo Banco. </w:t>
      </w:r>
      <w:r w:rsidR="00413E44">
        <w:rPr>
          <w:color w:val="00000A"/>
        </w:rPr>
        <w:t>Em discussões sobre tensões derivadas da expansão dos investimentos via políticas estatais e seu impacto nas populações atingidas (voltadas para o plano doméstico), as opções sugeridas eram “efetiva participação cidadã” ou “controle social”.</w:t>
      </w:r>
    </w:p>
    <w:p w:rsidR="00FD610C" w:rsidRDefault="00413E44" w:rsidP="00A4005E">
      <w:pPr>
        <w:pStyle w:val="Default"/>
        <w:spacing w:line="360" w:lineRule="auto"/>
        <w:ind w:firstLine="708"/>
        <w:jc w:val="both"/>
        <w:rPr>
          <w:color w:val="auto"/>
        </w:rPr>
      </w:pPr>
      <w:r>
        <w:rPr>
          <w:color w:val="00000A"/>
        </w:rPr>
        <w:t xml:space="preserve">O conselheiro José Antonio Moroni (ABONG/INESC), solicitava “condições adequadas de interlocução no desenho, na gestão e na avaliação das políticas energéticas como nas demais políticas”, que não deveriam apenas “se restringir às audiências públicas onde os estudos são apenas apresentados e discutidos sem nenhum mecanismo que garanta a análise das discussões no processo decisório governamental”. </w:t>
      </w:r>
      <w:r w:rsidR="00FD610C">
        <w:rPr>
          <w:color w:val="auto"/>
        </w:rPr>
        <w:t>Reivindicou ainda o conselheiro, frente à então Ministra de Minas e Energia, Dilma Rousseff, na 8ª Reunião Plenária do CDES em agosto de 2004, um equilíbrio “na participação dos diferentes atores sociais que atuam no tema  energia”  (e não apenas dos empresários), citando o Movimento dos Atingidos por Barragens (MAB) que questionava a matriz energética adotada, baseada na construção de grandes barragens, desalojando “mais de 300 mil famílias” e que, segundo dados do próprio MAB citados pelo conselheiro, “a cada 100 famílias deslocadas, 70 não recebem nenhum tipo de indenização”:</w:t>
      </w:r>
    </w:p>
    <w:p w:rsidR="00FD610C" w:rsidRPr="005E130C" w:rsidRDefault="00FD610C" w:rsidP="00FD610C">
      <w:pPr>
        <w:pStyle w:val="Default"/>
        <w:spacing w:after="240"/>
        <w:ind w:left="2268"/>
        <w:jc w:val="both"/>
        <w:rPr>
          <w:sz w:val="20"/>
          <w:szCs w:val="20"/>
        </w:rPr>
      </w:pPr>
      <w:r w:rsidRPr="005E130C">
        <w:rPr>
          <w:color w:val="auto"/>
          <w:sz w:val="20"/>
          <w:szCs w:val="20"/>
        </w:rPr>
        <w:t>A interlocução do governo deve ser equilibrada, não podendo privilegiar os chamados agentes do setor que são as empresas de geração, transmissão, distribuição, comercialização e os grandes consumidores. Até o presente momento, a ação governamental tem privilegiado esses atores na interlocução, deixando um espaço subalterno para os sindicatos, movimentos sociais e organizações que trabalham como tema ou que são diretamente atingidas pelas políticas como, por exemplo, na construção das grandes obras. É necessário ouvir realmente a população que é diretamente atingida por estas obras</w:t>
      </w:r>
      <w:r>
        <w:rPr>
          <w:color w:val="auto"/>
          <w:sz w:val="20"/>
          <w:szCs w:val="20"/>
        </w:rPr>
        <w:t xml:space="preserve"> (Conselheiro Antonio Moroni, ATA da 8ª Reunião Plenária, 04/08/2004, p. 14).</w:t>
      </w:r>
    </w:p>
    <w:p w:rsidR="00FD610C" w:rsidRDefault="00FD610C" w:rsidP="00FD610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A resposta da ministra ficou, entretanto, muito aquém do que os movimentos sociais atingidos pelas grandes obras (e por quem acenava por eles no CDES) esperavam:</w:t>
      </w:r>
    </w:p>
    <w:p w:rsidR="00FD610C" w:rsidRPr="00D924B3" w:rsidRDefault="00FD610C" w:rsidP="00FD610C">
      <w:pPr>
        <w:autoSpaceDE w:val="0"/>
        <w:autoSpaceDN w:val="0"/>
        <w:adjustRightInd w:val="0"/>
        <w:spacing w:line="240" w:lineRule="auto"/>
        <w:ind w:left="2268"/>
        <w:jc w:val="both"/>
        <w:rPr>
          <w:rFonts w:ascii="Times New Roman" w:hAnsi="Times New Roman"/>
          <w:sz w:val="20"/>
          <w:szCs w:val="20"/>
        </w:rPr>
      </w:pPr>
      <w:r w:rsidRPr="00D0792A">
        <w:rPr>
          <w:rFonts w:ascii="Times New Roman" w:hAnsi="Times New Roman"/>
          <w:sz w:val="20"/>
          <w:szCs w:val="20"/>
        </w:rPr>
        <w:t xml:space="preserve">No que se refere aos agricultores, nós temos uma mesa de negociação do MAB, por concordar que esta questão das indenizações é estratégica, por estar bastante claro para o país que é uma questão de justiça social a gente dar importância a esses pleitos. Inclusive, no programa “Luz  para Todos”, a prioridade é levar energia elétrica para os agricultores reassentados </w:t>
      </w:r>
      <w:r w:rsidRPr="00D924B3">
        <w:rPr>
          <w:rFonts w:ascii="Times New Roman" w:hAnsi="Times New Roman"/>
          <w:sz w:val="20"/>
          <w:szCs w:val="20"/>
        </w:rPr>
        <w:t>(...)(</w:t>
      </w:r>
      <w:r>
        <w:rPr>
          <w:rFonts w:ascii="Times New Roman" w:hAnsi="Times New Roman"/>
          <w:sz w:val="20"/>
          <w:szCs w:val="20"/>
        </w:rPr>
        <w:t>Ministra Dilma Rousseff</w:t>
      </w:r>
      <w:r w:rsidRPr="00D924B3">
        <w:rPr>
          <w:rFonts w:ascii="Times New Roman" w:hAnsi="Times New Roman"/>
          <w:sz w:val="20"/>
          <w:szCs w:val="20"/>
        </w:rPr>
        <w:t>, ATA da 8ª Reunião Plen</w:t>
      </w:r>
      <w:r>
        <w:rPr>
          <w:rFonts w:ascii="Times New Roman" w:hAnsi="Times New Roman"/>
          <w:sz w:val="20"/>
          <w:szCs w:val="20"/>
        </w:rPr>
        <w:t>ária, 04/08/2004, p. 27</w:t>
      </w:r>
      <w:r w:rsidRPr="00D924B3">
        <w:rPr>
          <w:rFonts w:ascii="Times New Roman" w:hAnsi="Times New Roman"/>
          <w:sz w:val="20"/>
          <w:szCs w:val="20"/>
        </w:rPr>
        <w:t>)</w:t>
      </w:r>
      <w:r>
        <w:rPr>
          <w:rFonts w:ascii="Times New Roman" w:hAnsi="Times New Roman"/>
          <w:sz w:val="20"/>
          <w:szCs w:val="20"/>
        </w:rPr>
        <w:t>.</w:t>
      </w:r>
    </w:p>
    <w:p w:rsidR="00FD610C" w:rsidRPr="00762FB3" w:rsidRDefault="00FD610C" w:rsidP="00FD610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Os segmentos pertencentes ou próximos aos movimentos sociais eram, como vimos, </w:t>
      </w:r>
      <w:r w:rsidR="00413E44">
        <w:rPr>
          <w:rFonts w:ascii="Times New Roman" w:hAnsi="Times New Roman"/>
          <w:sz w:val="24"/>
          <w:szCs w:val="24"/>
        </w:rPr>
        <w:t>ínfima minoria</w:t>
      </w:r>
      <w:r>
        <w:rPr>
          <w:rFonts w:ascii="Times New Roman" w:hAnsi="Times New Roman"/>
          <w:sz w:val="24"/>
          <w:szCs w:val="24"/>
        </w:rPr>
        <w:t xml:space="preserve"> no CDES, mas compareciam com pautas e </w:t>
      </w:r>
      <w:r w:rsidR="00413E44">
        <w:rPr>
          <w:rFonts w:ascii="Times New Roman" w:hAnsi="Times New Roman"/>
          <w:sz w:val="24"/>
          <w:szCs w:val="24"/>
        </w:rPr>
        <w:t>reivindicações</w:t>
      </w:r>
      <w:r>
        <w:rPr>
          <w:rFonts w:ascii="Times New Roman" w:hAnsi="Times New Roman"/>
          <w:sz w:val="24"/>
          <w:szCs w:val="24"/>
        </w:rPr>
        <w:t xml:space="preserve"> específicas que o empresariado </w:t>
      </w:r>
      <w:r w:rsidR="00413E44">
        <w:rPr>
          <w:rFonts w:ascii="Times New Roman" w:hAnsi="Times New Roman"/>
          <w:sz w:val="24"/>
          <w:szCs w:val="24"/>
        </w:rPr>
        <w:t>não reverberava</w:t>
      </w:r>
      <w:r w:rsidR="00762FB3">
        <w:rPr>
          <w:rFonts w:ascii="Times New Roman" w:hAnsi="Times New Roman"/>
          <w:sz w:val="24"/>
          <w:szCs w:val="24"/>
        </w:rPr>
        <w:t>. O</w:t>
      </w:r>
      <w:r w:rsidR="00413E44">
        <w:rPr>
          <w:rFonts w:ascii="Times New Roman" w:hAnsi="Times New Roman"/>
          <w:sz w:val="24"/>
          <w:szCs w:val="24"/>
        </w:rPr>
        <w:t xml:space="preserve"> tema era abordado</w:t>
      </w:r>
      <w:r w:rsidR="00762FB3">
        <w:rPr>
          <w:rFonts w:ascii="Times New Roman" w:hAnsi="Times New Roman"/>
          <w:sz w:val="24"/>
          <w:szCs w:val="24"/>
        </w:rPr>
        <w:t>à medida que se aproximava</w:t>
      </w:r>
      <w:r>
        <w:rPr>
          <w:rFonts w:ascii="Times New Roman" w:hAnsi="Times New Roman"/>
          <w:sz w:val="24"/>
          <w:szCs w:val="24"/>
        </w:rPr>
        <w:t xml:space="preserve"> e articulava com suas próprias demandas. O fato é que, no </w:t>
      </w:r>
      <w:r w:rsidR="00762FB3">
        <w:rPr>
          <w:rFonts w:ascii="Times New Roman" w:hAnsi="Times New Roman"/>
          <w:sz w:val="24"/>
          <w:szCs w:val="24"/>
        </w:rPr>
        <w:t>Conselho</w:t>
      </w:r>
      <w:r>
        <w:rPr>
          <w:rFonts w:ascii="Times New Roman" w:hAnsi="Times New Roman"/>
          <w:sz w:val="24"/>
          <w:szCs w:val="24"/>
        </w:rPr>
        <w:t>, figuravam representantes de grandes firmas e conglomerados econômicos financiados pelo BNDES e/ou transnacionalizados ao longo das últimas décadas, muitos deles apontados e criticados pelos mo</w:t>
      </w:r>
      <w:r w:rsidR="00A4005E">
        <w:rPr>
          <w:rFonts w:ascii="Times New Roman" w:hAnsi="Times New Roman"/>
          <w:sz w:val="24"/>
          <w:szCs w:val="24"/>
        </w:rPr>
        <w:t>vimentos e organizações sociais</w:t>
      </w:r>
      <w:r>
        <w:rPr>
          <w:rFonts w:ascii="Times New Roman" w:hAnsi="Times New Roman"/>
          <w:sz w:val="24"/>
          <w:szCs w:val="24"/>
        </w:rPr>
        <w:t xml:space="preserve"> como transgressores ambientais e violadores dos direitos das populações nativas. </w:t>
      </w:r>
      <w:r w:rsidR="00762FB3" w:rsidRPr="00762FB3">
        <w:rPr>
          <w:rFonts w:ascii="Times New Roman" w:hAnsi="Times New Roman"/>
          <w:sz w:val="24"/>
          <w:szCs w:val="24"/>
        </w:rPr>
        <w:t>Se o bloqueio existia no cenário doméstico, os impactos sobre populações no âmbito internacional não tiveram menções.</w:t>
      </w:r>
    </w:p>
    <w:p w:rsidR="00FD610C" w:rsidRPr="00B45189" w:rsidRDefault="00FD610C" w:rsidP="00FD610C">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O governo, por outro lado, parecia dimensionar muito mais a importância econômica destes grupos na dinamização do modelo de desenvolvimento que se pretendia “sustentável”. Mesmo apresentando-se com o slogan “Brasil de Todos”, a </w:t>
      </w:r>
      <w:r>
        <w:rPr>
          <w:rFonts w:ascii="Times New Roman" w:hAnsi="Times New Roman"/>
          <w:i/>
          <w:sz w:val="24"/>
          <w:szCs w:val="24"/>
        </w:rPr>
        <w:t xml:space="preserve">Realpolitik </w:t>
      </w:r>
      <w:r>
        <w:rPr>
          <w:rFonts w:ascii="Times New Roman" w:hAnsi="Times New Roman"/>
          <w:sz w:val="24"/>
          <w:szCs w:val="24"/>
        </w:rPr>
        <w:t>movia-se rumo ao impulsionamento sem rédeas das transnacionais, do agronegócio e das altas finanças. Na 4ª Reunião Plenária, em setembro de 2003, Lula da Silva expressava, de forma clara e cabal, o que se esperava do grande empresariado em seu governo, onde as expressões “vocação expansionista” e “vocação de parceria” traduziam, inequivocamente, a conjunção entre dominação econômica e consenso político como pedra de toque do caráter subimperialista que o Estado potencializava:</w:t>
      </w:r>
    </w:p>
    <w:p w:rsidR="00FD610C" w:rsidRPr="00D924B3" w:rsidRDefault="00FD610C" w:rsidP="00FD610C">
      <w:pPr>
        <w:autoSpaceDE w:val="0"/>
        <w:autoSpaceDN w:val="0"/>
        <w:adjustRightInd w:val="0"/>
        <w:spacing w:line="240" w:lineRule="auto"/>
        <w:ind w:left="2268"/>
        <w:jc w:val="both"/>
        <w:rPr>
          <w:rFonts w:ascii="Times New Roman" w:hAnsi="Times New Roman"/>
          <w:sz w:val="24"/>
          <w:szCs w:val="24"/>
        </w:rPr>
      </w:pPr>
      <w:r w:rsidRPr="00D924B3">
        <w:rPr>
          <w:rFonts w:ascii="Times New Roman" w:hAnsi="Times New Roman"/>
          <w:sz w:val="20"/>
          <w:szCs w:val="20"/>
        </w:rPr>
        <w:t xml:space="preserve">Quando eu tinha marcado para ir a África, para julho, o que eu fiquei impressionado é que, só no Itamaraty, 203 empresários se inscreveram para fazer a viagem para a África. Tantos não se inscreveram para ir a outros países a que eu fui, numa expectativa que o empresário brasileiro também precisa começar a </w:t>
      </w:r>
      <w:r w:rsidRPr="00D924B3">
        <w:rPr>
          <w:rFonts w:ascii="Times New Roman" w:hAnsi="Times New Roman"/>
          <w:b/>
          <w:sz w:val="20"/>
          <w:szCs w:val="20"/>
        </w:rPr>
        <w:t>pensar em ser grande</w:t>
      </w:r>
      <w:r w:rsidRPr="00D924B3">
        <w:rPr>
          <w:rFonts w:ascii="Times New Roman" w:hAnsi="Times New Roman"/>
          <w:sz w:val="20"/>
          <w:szCs w:val="20"/>
        </w:rPr>
        <w:t xml:space="preserve">. </w:t>
      </w:r>
      <w:r w:rsidRPr="00D924B3">
        <w:rPr>
          <w:rFonts w:ascii="Times New Roman" w:hAnsi="Times New Roman"/>
          <w:b/>
          <w:sz w:val="20"/>
          <w:szCs w:val="20"/>
        </w:rPr>
        <w:t>Não é nenhuma vergonha o empresário brasileiro pensar em ser um empresário multinacional</w:t>
      </w:r>
      <w:r w:rsidRPr="00D924B3">
        <w:rPr>
          <w:rFonts w:ascii="Times New Roman" w:hAnsi="Times New Roman"/>
          <w:sz w:val="20"/>
          <w:szCs w:val="20"/>
        </w:rPr>
        <w:t xml:space="preserve">. E se ele quiser ser multinacional, ele tem que deixar de ser pessimista e </w:t>
      </w:r>
      <w:r w:rsidRPr="00D924B3">
        <w:rPr>
          <w:rFonts w:ascii="Times New Roman" w:hAnsi="Times New Roman"/>
          <w:b/>
          <w:sz w:val="20"/>
          <w:szCs w:val="20"/>
        </w:rPr>
        <w:t>começar a procurar outros espaços</w:t>
      </w:r>
      <w:r w:rsidRPr="00D924B3">
        <w:rPr>
          <w:rFonts w:ascii="Times New Roman" w:hAnsi="Times New Roman"/>
          <w:sz w:val="20"/>
          <w:szCs w:val="20"/>
        </w:rPr>
        <w:t xml:space="preserve">. [...] Então, o que eu acho é que nós temos que ter uma </w:t>
      </w:r>
      <w:r w:rsidRPr="00D924B3">
        <w:rPr>
          <w:rFonts w:ascii="Times New Roman" w:hAnsi="Times New Roman"/>
          <w:b/>
          <w:sz w:val="20"/>
          <w:szCs w:val="20"/>
        </w:rPr>
        <w:t>vocação expansionista</w:t>
      </w:r>
      <w:r w:rsidRPr="00D924B3">
        <w:rPr>
          <w:rFonts w:ascii="Times New Roman" w:hAnsi="Times New Roman"/>
          <w:sz w:val="20"/>
          <w:szCs w:val="20"/>
        </w:rPr>
        <w:t xml:space="preserve"> enquanto empresários, enquanto governo. [...] nós não queremos ter vocação de hegemonia com ninguém. Nós queremos ter uma </w:t>
      </w:r>
      <w:r w:rsidRPr="00D924B3">
        <w:rPr>
          <w:rFonts w:ascii="Times New Roman" w:hAnsi="Times New Roman"/>
          <w:b/>
          <w:sz w:val="20"/>
          <w:szCs w:val="20"/>
        </w:rPr>
        <w:t>vocação de parceria</w:t>
      </w:r>
      <w:r w:rsidRPr="00D924B3">
        <w:rPr>
          <w:rFonts w:ascii="Times New Roman" w:hAnsi="Times New Roman"/>
          <w:sz w:val="20"/>
          <w:szCs w:val="20"/>
        </w:rPr>
        <w:t xml:space="preserve">, nós queremos ser companheiros da Argentina [...], do Uruguai, do Paraguai, [...] da Colômbia, do Peru, da Venezuela [...] (Presidente Lula da Silva, ATA da 4ª Reunião Plenária, 04/09/2003, p. 6 – grifos </w:t>
      </w:r>
      <w:r>
        <w:rPr>
          <w:rFonts w:ascii="Times New Roman" w:hAnsi="Times New Roman"/>
          <w:sz w:val="20"/>
          <w:szCs w:val="20"/>
        </w:rPr>
        <w:t>meus</w:t>
      </w:r>
      <w:r w:rsidRPr="00D924B3">
        <w:rPr>
          <w:rFonts w:ascii="Times New Roman" w:hAnsi="Times New Roman"/>
          <w:sz w:val="20"/>
          <w:szCs w:val="20"/>
        </w:rPr>
        <w:t>).</w:t>
      </w:r>
    </w:p>
    <w:p w:rsidR="00FD610C" w:rsidRDefault="00FD610C" w:rsidP="00FD610C">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Pouco mais de seis anos depois, na 32ª Reunião Plenária do CDES, Lula da Silva expunha e avalizava, com radical performance anti-classista operária, assombrosa reprodução do caráter e do tratamento historicamente autocrático e truculento das burguesias brasileiras</w:t>
      </w:r>
      <w:r w:rsidR="00762FB3">
        <w:rPr>
          <w:rFonts w:ascii="Times New Roman" w:hAnsi="Times New Roman"/>
          <w:sz w:val="24"/>
          <w:szCs w:val="24"/>
        </w:rPr>
        <w:t>, reproduzido</w:t>
      </w:r>
      <w:r>
        <w:rPr>
          <w:rFonts w:ascii="Times New Roman" w:hAnsi="Times New Roman"/>
          <w:sz w:val="24"/>
          <w:szCs w:val="24"/>
        </w:rPr>
        <w:t xml:space="preserve"> alhures e </w:t>
      </w:r>
      <w:r w:rsidR="00762FB3">
        <w:rPr>
          <w:rFonts w:ascii="Times New Roman" w:hAnsi="Times New Roman"/>
          <w:sz w:val="24"/>
          <w:szCs w:val="24"/>
        </w:rPr>
        <w:t xml:space="preserve">com </w:t>
      </w:r>
      <w:r>
        <w:rPr>
          <w:rFonts w:ascii="Times New Roman" w:hAnsi="Times New Roman"/>
          <w:sz w:val="24"/>
          <w:szCs w:val="24"/>
        </w:rPr>
        <w:t xml:space="preserve">o qual parecia regojizar-se:  </w:t>
      </w:r>
    </w:p>
    <w:p w:rsidR="00FD610C" w:rsidRPr="0004739E" w:rsidRDefault="00FD610C" w:rsidP="00FD610C">
      <w:pPr>
        <w:autoSpaceDE w:val="0"/>
        <w:autoSpaceDN w:val="0"/>
        <w:adjustRightInd w:val="0"/>
        <w:spacing w:after="0" w:line="240" w:lineRule="auto"/>
        <w:ind w:left="2268"/>
        <w:jc w:val="both"/>
        <w:rPr>
          <w:rFonts w:ascii="Times New Roman" w:hAnsi="Times New Roman"/>
          <w:sz w:val="20"/>
          <w:szCs w:val="20"/>
        </w:rPr>
      </w:pPr>
      <w:r w:rsidRPr="0004739E">
        <w:rPr>
          <w:rFonts w:ascii="Times New Roman" w:hAnsi="Times New Roman"/>
          <w:sz w:val="20"/>
          <w:szCs w:val="20"/>
        </w:rPr>
        <w:t xml:space="preserve">Eu lembro do orgulho, Gerdau, quando eu fiquei sabendo que você estava comprando fábrica nos Estados Unidos. Para mim, </w:t>
      </w:r>
      <w:r w:rsidRPr="005D318A">
        <w:rPr>
          <w:rFonts w:ascii="Times New Roman" w:hAnsi="Times New Roman"/>
          <w:b/>
          <w:sz w:val="20"/>
          <w:szCs w:val="20"/>
        </w:rPr>
        <w:t>é a glória</w:t>
      </w:r>
      <w:r w:rsidRPr="0004739E">
        <w:rPr>
          <w:rFonts w:ascii="Times New Roman" w:hAnsi="Times New Roman"/>
          <w:sz w:val="20"/>
          <w:szCs w:val="20"/>
        </w:rPr>
        <w:t xml:space="preserve"> a gente saber que um banco brasileiro está comprando um banco lá fora, que uma empresa brasileira, está comprando uma empresa lá fora. É extraordinário! Os dirigentes sindicais de lá, Feijóo</w:t>
      </w:r>
      <w:r>
        <w:rPr>
          <w:rFonts w:ascii="Times New Roman" w:hAnsi="Times New Roman"/>
          <w:sz w:val="20"/>
          <w:szCs w:val="20"/>
        </w:rPr>
        <w:t xml:space="preserve"> [vice-presidente da CUT]</w:t>
      </w:r>
      <w:r w:rsidRPr="0004739E">
        <w:rPr>
          <w:rFonts w:ascii="Times New Roman" w:hAnsi="Times New Roman"/>
          <w:sz w:val="20"/>
          <w:szCs w:val="20"/>
        </w:rPr>
        <w:t xml:space="preserve">, vinha pedir para eu falar com o Gerdau: “pô, o Gerdau está sendo duro na greve”. Mas também é aqui dentro, mas também é aqui dentro. Mas, veja... </w:t>
      </w:r>
      <w:r w:rsidRPr="005D318A">
        <w:rPr>
          <w:rFonts w:ascii="Times New Roman" w:hAnsi="Times New Roman"/>
          <w:b/>
          <w:sz w:val="20"/>
          <w:szCs w:val="20"/>
        </w:rPr>
        <w:t>Mas antes éramos nós que ficávamos pedindo favor aos dirigentes sindicais europeus e americanos para ajudar a gente. Então, é um motivo extraordinário de amostragem de como este país está mudando de patamar</w:t>
      </w:r>
      <w:r w:rsidRPr="0004739E">
        <w:rPr>
          <w:rFonts w:ascii="Times New Roman" w:hAnsi="Times New Roman"/>
          <w:sz w:val="20"/>
          <w:szCs w:val="20"/>
        </w:rPr>
        <w:t>. E o importante é que isso seja consolidado definitivamente, que isso seja consolidado para que a gente ocupe o lugar que a gente tem</w:t>
      </w:r>
      <w:r w:rsidRPr="00D924B3">
        <w:rPr>
          <w:rFonts w:ascii="Times New Roman" w:hAnsi="Times New Roman"/>
          <w:sz w:val="20"/>
          <w:szCs w:val="20"/>
        </w:rPr>
        <w:t>(Pr</w:t>
      </w:r>
      <w:r>
        <w:rPr>
          <w:rFonts w:ascii="Times New Roman" w:hAnsi="Times New Roman"/>
          <w:sz w:val="20"/>
          <w:szCs w:val="20"/>
        </w:rPr>
        <w:t>esidente Lula da Silva, ATA da 32ª Reunião Plenária, 09</w:t>
      </w:r>
      <w:r w:rsidRPr="00D924B3">
        <w:rPr>
          <w:rFonts w:ascii="Times New Roman" w:hAnsi="Times New Roman"/>
          <w:sz w:val="20"/>
          <w:szCs w:val="20"/>
        </w:rPr>
        <w:t>/</w:t>
      </w:r>
      <w:r>
        <w:rPr>
          <w:rFonts w:ascii="Times New Roman" w:hAnsi="Times New Roman"/>
          <w:sz w:val="20"/>
          <w:szCs w:val="20"/>
        </w:rPr>
        <w:t>12</w:t>
      </w:r>
      <w:r w:rsidRPr="00D924B3">
        <w:rPr>
          <w:rFonts w:ascii="Times New Roman" w:hAnsi="Times New Roman"/>
          <w:sz w:val="20"/>
          <w:szCs w:val="20"/>
        </w:rPr>
        <w:t>/200</w:t>
      </w:r>
      <w:r>
        <w:rPr>
          <w:rFonts w:ascii="Times New Roman" w:hAnsi="Times New Roman"/>
          <w:sz w:val="20"/>
          <w:szCs w:val="20"/>
        </w:rPr>
        <w:t>9</w:t>
      </w:r>
      <w:r w:rsidRPr="00D924B3">
        <w:rPr>
          <w:rFonts w:ascii="Times New Roman" w:hAnsi="Times New Roman"/>
          <w:sz w:val="20"/>
          <w:szCs w:val="20"/>
        </w:rPr>
        <w:t xml:space="preserve">, p. </w:t>
      </w:r>
      <w:r>
        <w:rPr>
          <w:rFonts w:ascii="Times New Roman" w:hAnsi="Times New Roman"/>
          <w:sz w:val="20"/>
          <w:szCs w:val="20"/>
        </w:rPr>
        <w:t>2</w:t>
      </w:r>
      <w:r w:rsidRPr="00D924B3">
        <w:rPr>
          <w:rFonts w:ascii="Times New Roman" w:hAnsi="Times New Roman"/>
          <w:sz w:val="20"/>
          <w:szCs w:val="20"/>
        </w:rPr>
        <w:t xml:space="preserve">6 – grifos </w:t>
      </w:r>
      <w:r>
        <w:rPr>
          <w:rFonts w:ascii="Times New Roman" w:hAnsi="Times New Roman"/>
          <w:sz w:val="20"/>
          <w:szCs w:val="20"/>
        </w:rPr>
        <w:t>meu</w:t>
      </w:r>
      <w:r w:rsidRPr="00D924B3">
        <w:rPr>
          <w:rFonts w:ascii="Times New Roman" w:hAnsi="Times New Roman"/>
          <w:sz w:val="20"/>
          <w:szCs w:val="20"/>
        </w:rPr>
        <w:t>s).</w:t>
      </w:r>
    </w:p>
    <w:p w:rsidR="00FD610C" w:rsidRDefault="00FD610C" w:rsidP="00FD610C">
      <w:pPr>
        <w:autoSpaceDE w:val="0"/>
        <w:autoSpaceDN w:val="0"/>
        <w:adjustRightInd w:val="0"/>
        <w:spacing w:after="0" w:line="360" w:lineRule="auto"/>
        <w:ind w:firstLine="708"/>
        <w:jc w:val="both"/>
        <w:rPr>
          <w:rFonts w:ascii="Times New Roman" w:hAnsi="Times New Roman"/>
          <w:sz w:val="24"/>
          <w:szCs w:val="24"/>
        </w:rPr>
      </w:pPr>
    </w:p>
    <w:p w:rsidR="00FD610C" w:rsidRDefault="00762FB3" w:rsidP="00FD610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As</w:t>
      </w:r>
      <w:r w:rsidR="00FD610C">
        <w:rPr>
          <w:rFonts w:ascii="Times New Roman" w:hAnsi="Times New Roman"/>
          <w:sz w:val="24"/>
          <w:szCs w:val="24"/>
        </w:rPr>
        <w:t xml:space="preserve"> firmas e grupos transna</w:t>
      </w:r>
      <w:r>
        <w:rPr>
          <w:rFonts w:ascii="Times New Roman" w:hAnsi="Times New Roman"/>
          <w:sz w:val="24"/>
          <w:szCs w:val="24"/>
        </w:rPr>
        <w:t xml:space="preserve">cionalizados presentes no CDES </w:t>
      </w:r>
      <w:r w:rsidR="00FD610C">
        <w:rPr>
          <w:rFonts w:ascii="Times New Roman" w:hAnsi="Times New Roman"/>
          <w:sz w:val="24"/>
          <w:szCs w:val="24"/>
        </w:rPr>
        <w:t>mostram inequívoca configuração expansionista e forte obtenção de r</w:t>
      </w:r>
      <w:r>
        <w:rPr>
          <w:rFonts w:ascii="Times New Roman" w:hAnsi="Times New Roman"/>
          <w:sz w:val="24"/>
          <w:szCs w:val="24"/>
        </w:rPr>
        <w:t>ecursos</w:t>
      </w:r>
      <w:r w:rsidR="00FD610C">
        <w:rPr>
          <w:rFonts w:ascii="Times New Roman" w:hAnsi="Times New Roman"/>
          <w:sz w:val="24"/>
          <w:szCs w:val="24"/>
        </w:rPr>
        <w:t xml:space="preserve"> governamentais, principalmente via BNDES. </w:t>
      </w:r>
      <w:r>
        <w:rPr>
          <w:rFonts w:ascii="Times New Roman" w:hAnsi="Times New Roman"/>
          <w:sz w:val="24"/>
          <w:szCs w:val="24"/>
        </w:rPr>
        <w:t>Ao avaliarmos sua</w:t>
      </w:r>
      <w:r w:rsidR="00FD610C">
        <w:rPr>
          <w:rFonts w:ascii="Times New Roman" w:hAnsi="Times New Roman"/>
          <w:sz w:val="24"/>
          <w:szCs w:val="24"/>
        </w:rPr>
        <w:t xml:space="preserve"> dispersão geográfica, d</w:t>
      </w:r>
      <w:r w:rsidR="002F7E94">
        <w:rPr>
          <w:rFonts w:ascii="Times New Roman" w:hAnsi="Times New Roman"/>
          <w:sz w:val="24"/>
          <w:szCs w:val="24"/>
        </w:rPr>
        <w:t>a</w:t>
      </w:r>
      <w:r w:rsidR="00FD610C">
        <w:rPr>
          <w:rFonts w:ascii="Times New Roman" w:hAnsi="Times New Roman"/>
          <w:sz w:val="24"/>
          <w:szCs w:val="24"/>
        </w:rPr>
        <w:t xml:space="preserve">s 82 firmas e grupos econômicos cujos </w:t>
      </w:r>
      <w:r w:rsidR="00FD610C" w:rsidRPr="00F45C28">
        <w:rPr>
          <w:rFonts w:ascii="Times New Roman" w:hAnsi="Times New Roman"/>
          <w:sz w:val="24"/>
          <w:szCs w:val="24"/>
        </w:rPr>
        <w:t xml:space="preserve">proprietários e/ou prepostos (executivos, diretores, gerentes e </w:t>
      </w:r>
      <w:r w:rsidR="00FD610C">
        <w:rPr>
          <w:rFonts w:ascii="Times New Roman" w:hAnsi="Times New Roman"/>
          <w:sz w:val="24"/>
          <w:szCs w:val="24"/>
        </w:rPr>
        <w:t>membros de</w:t>
      </w:r>
      <w:r w:rsidR="00FD610C" w:rsidRPr="00F45C28">
        <w:rPr>
          <w:rFonts w:ascii="Times New Roman" w:hAnsi="Times New Roman"/>
          <w:sz w:val="24"/>
          <w:szCs w:val="24"/>
        </w:rPr>
        <w:t xml:space="preserve"> Conselhos de Administração) </w:t>
      </w:r>
      <w:r w:rsidR="00FD610C" w:rsidRPr="00FF78B8">
        <w:rPr>
          <w:rFonts w:ascii="Times New Roman" w:hAnsi="Times New Roman"/>
          <w:sz w:val="24"/>
          <w:szCs w:val="24"/>
        </w:rPr>
        <w:t>atuaram no CDES entre 2003 e 2010</w:t>
      </w:r>
      <w:r w:rsidR="00FD610C">
        <w:rPr>
          <w:rFonts w:ascii="Times New Roman" w:hAnsi="Times New Roman"/>
          <w:sz w:val="24"/>
          <w:szCs w:val="24"/>
        </w:rPr>
        <w:t>, 21 deles apresentaram um total de 135</w:t>
      </w:r>
      <w:r w:rsidR="00FD610C" w:rsidRPr="00FF78B8">
        <w:rPr>
          <w:rFonts w:ascii="Times New Roman" w:hAnsi="Times New Roman"/>
          <w:sz w:val="24"/>
          <w:szCs w:val="24"/>
        </w:rPr>
        <w:t xml:space="preserve"> inserções em diversos países</w:t>
      </w:r>
      <w:r w:rsidR="00FD610C">
        <w:rPr>
          <w:rFonts w:ascii="Times New Roman" w:hAnsi="Times New Roman"/>
          <w:sz w:val="24"/>
          <w:szCs w:val="24"/>
        </w:rPr>
        <w:t xml:space="preserve">, considerando “inserções” como empreendimentos e/ou  investimentos (subsidiárias derivadas de fusões e aquisições, novas instalações industriais e escritórios comerciais).Este total equivale ao somatório de “inserções” de cada empresa dos conselheiros-empresários não </w:t>
      </w:r>
      <w:r>
        <w:rPr>
          <w:rFonts w:ascii="Times New Roman" w:hAnsi="Times New Roman"/>
          <w:sz w:val="24"/>
          <w:szCs w:val="24"/>
        </w:rPr>
        <w:t>expressando</w:t>
      </w:r>
      <w:r w:rsidR="00FD610C">
        <w:rPr>
          <w:rFonts w:ascii="Times New Roman" w:hAnsi="Times New Roman"/>
          <w:sz w:val="24"/>
          <w:szCs w:val="24"/>
        </w:rPr>
        <w:t xml:space="preserve"> o número total de países</w:t>
      </w:r>
      <w:r>
        <w:rPr>
          <w:rFonts w:ascii="Times New Roman" w:hAnsi="Times New Roman"/>
          <w:sz w:val="24"/>
          <w:szCs w:val="24"/>
        </w:rPr>
        <w:t>,pois</w:t>
      </w:r>
      <w:r w:rsidR="00FD610C">
        <w:rPr>
          <w:rFonts w:ascii="Times New Roman" w:hAnsi="Times New Roman"/>
          <w:sz w:val="24"/>
          <w:szCs w:val="24"/>
        </w:rPr>
        <w:t xml:space="preserve"> havia a atuação de mais de um grupo ou firma brasileira em </w:t>
      </w:r>
      <w:r>
        <w:rPr>
          <w:rFonts w:ascii="Times New Roman" w:hAnsi="Times New Roman"/>
          <w:sz w:val="24"/>
          <w:szCs w:val="24"/>
        </w:rPr>
        <w:t>alguns países</w:t>
      </w:r>
      <w:r w:rsidR="00FD610C">
        <w:rPr>
          <w:rFonts w:ascii="Times New Roman" w:hAnsi="Times New Roman"/>
          <w:sz w:val="24"/>
          <w:szCs w:val="24"/>
        </w:rPr>
        <w:t xml:space="preserve">. Das 135 inserções, 87 delas (65%) envolviam apenas 4 grandes grupos: CRVD, Odebecht, Itaú-Unibanco e Gerdau. Se </w:t>
      </w:r>
      <w:r>
        <w:rPr>
          <w:rFonts w:ascii="Times New Roman" w:hAnsi="Times New Roman"/>
          <w:sz w:val="24"/>
          <w:szCs w:val="24"/>
        </w:rPr>
        <w:t xml:space="preserve">acrescentarmos </w:t>
      </w:r>
      <w:r w:rsidR="00FD610C">
        <w:rPr>
          <w:rFonts w:ascii="Times New Roman" w:hAnsi="Times New Roman"/>
          <w:sz w:val="24"/>
          <w:szCs w:val="24"/>
        </w:rPr>
        <w:t>a estes os grupos Bradesco e Vicunha, chegamos a 75% do total de inserções, revelando que a política de patrocínio de “campeãs nacionais” levada a cabo pelo B</w:t>
      </w:r>
      <w:r w:rsidR="00651886">
        <w:rPr>
          <w:rFonts w:ascii="Times New Roman" w:hAnsi="Times New Roman"/>
          <w:sz w:val="24"/>
          <w:szCs w:val="24"/>
        </w:rPr>
        <w:t>NDES</w:t>
      </w:r>
      <w:r w:rsidR="00FD610C">
        <w:rPr>
          <w:rFonts w:ascii="Times New Roman" w:hAnsi="Times New Roman"/>
          <w:sz w:val="24"/>
          <w:szCs w:val="24"/>
        </w:rPr>
        <w:t xml:space="preserve"> replicava no interior do Conselho sua face seletiva e concentracionista. </w:t>
      </w:r>
    </w:p>
    <w:p w:rsidR="00FD610C" w:rsidRDefault="00651886" w:rsidP="00FD610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Os</w:t>
      </w:r>
      <w:r w:rsidR="00FD610C">
        <w:rPr>
          <w:rFonts w:ascii="Times New Roman" w:hAnsi="Times New Roman"/>
          <w:sz w:val="24"/>
          <w:szCs w:val="24"/>
        </w:rPr>
        <w:t xml:space="preserve"> 21 grupos e firmas se encontravam espalhados da seguinte forma: na América do Sul destacava-se a presença de 14 grupos e firmas com 36 inserções nos países da região; nos países asiáticos, 12 grupos e firmas brasileiros representados no CDES sustentavam 30 empreendimentos, com destaque à CVRD, presente em 14 deles; a Europa aparecia em 3º lugar no total de investimentos, recebendo 23 deles; em seguida, os países da América do Norte receberam 18 empreendimentos sendo distribuídos de forma bastante pulverizada entre os grupos e firmas; ao contrário, a África sofreu investimentos de apenas dois grandes grupos instalados no CDES: a CVRD, com 9 empreendimentos, e a Odebrecht, com 5; os países da América Central receberam 12 empreendimentos, sendo que 8 deles pertencentes aos referidos 4 grandes grupos acima destacados; por fim, a Vale comparecia em 2 empreendimentos na Oceania. </w:t>
      </w:r>
    </w:p>
    <w:p w:rsidR="003044EA" w:rsidRPr="00F45C28" w:rsidRDefault="00FD610C" w:rsidP="00FD610C">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O quadro abaixo traz, de maneira detalhada, os grupos e firmas brasileiros transnacionalizados instalados no CDES e a dispersão geográfica de seus investimentos no mundo, traduzida em números absolutos de países em cada (sub)continente:</w:t>
      </w:r>
    </w:p>
    <w:p w:rsidR="00FD610C" w:rsidRPr="0092090F" w:rsidRDefault="00FD610C" w:rsidP="00FD610C">
      <w:pPr>
        <w:spacing w:after="240"/>
        <w:jc w:val="center"/>
        <w:rPr>
          <w:rFonts w:ascii="Times New Roman" w:hAnsi="Times New Roman"/>
          <w:b/>
          <w:sz w:val="24"/>
          <w:szCs w:val="24"/>
        </w:rPr>
      </w:pPr>
      <w:r w:rsidRPr="0092090F">
        <w:rPr>
          <w:rFonts w:ascii="Times New Roman" w:hAnsi="Times New Roman"/>
          <w:b/>
          <w:sz w:val="24"/>
          <w:szCs w:val="24"/>
        </w:rPr>
        <w:t xml:space="preserve">Quadro </w:t>
      </w:r>
      <w:r>
        <w:rPr>
          <w:rFonts w:ascii="Times New Roman" w:hAnsi="Times New Roman"/>
          <w:b/>
          <w:sz w:val="24"/>
          <w:szCs w:val="24"/>
        </w:rPr>
        <w:t>2.2</w:t>
      </w:r>
      <w:r w:rsidR="00DF7F93">
        <w:rPr>
          <w:rFonts w:ascii="Times New Roman" w:hAnsi="Times New Roman"/>
          <w:b/>
          <w:sz w:val="24"/>
          <w:szCs w:val="24"/>
        </w:rPr>
        <w:t>2</w:t>
      </w:r>
      <w:r w:rsidRPr="0092090F">
        <w:rPr>
          <w:rFonts w:ascii="Times New Roman" w:hAnsi="Times New Roman"/>
          <w:b/>
          <w:sz w:val="24"/>
          <w:szCs w:val="24"/>
        </w:rPr>
        <w:t>- Dispersão geográfica das transnacionais brasileiras presentes no CDES</w:t>
      </w:r>
      <w:r w:rsidRPr="0092090F">
        <w:rPr>
          <w:rStyle w:val="Refdenotaderodap"/>
          <w:rFonts w:ascii="Times New Roman" w:hAnsi="Times New Roman"/>
          <w:b/>
          <w:sz w:val="24"/>
          <w:szCs w:val="24"/>
        </w:rPr>
        <w:footnoteReference w:id="343"/>
      </w:r>
    </w:p>
    <w:tbl>
      <w:tblPr>
        <w:tblW w:w="4807"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074"/>
        <w:gridCol w:w="943"/>
        <w:gridCol w:w="571"/>
        <w:gridCol w:w="904"/>
        <w:gridCol w:w="904"/>
        <w:gridCol w:w="904"/>
        <w:gridCol w:w="904"/>
        <w:gridCol w:w="904"/>
        <w:gridCol w:w="821"/>
      </w:tblGrid>
      <w:tr w:rsidR="00FD610C" w:rsidRPr="008211FD" w:rsidTr="008211FD">
        <w:trPr>
          <w:cantSplit/>
          <w:trHeight w:val="1676"/>
        </w:trPr>
        <w:tc>
          <w:tcPr>
            <w:tcW w:w="1162" w:type="pct"/>
            <w:tcBorders>
              <w:top w:val="single" w:sz="8" w:space="0" w:color="4F81BD"/>
              <w:left w:val="single" w:sz="8" w:space="0" w:color="4F81BD"/>
              <w:bottom w:val="single" w:sz="18" w:space="0" w:color="4F81BD"/>
              <w:right w:val="single" w:sz="8" w:space="0" w:color="4F81BD"/>
            </w:tcBorders>
            <w:textDirection w:val="btLr"/>
          </w:tcPr>
          <w:p w:rsidR="00FD610C" w:rsidRPr="008211FD" w:rsidRDefault="00FD610C" w:rsidP="008211FD">
            <w:pPr>
              <w:spacing w:after="0" w:line="240" w:lineRule="auto"/>
              <w:ind w:left="113" w:right="113"/>
              <w:rPr>
                <w:rFonts w:ascii="Times New Roman" w:eastAsia="Times New Roman" w:hAnsi="Times New Roman"/>
                <w:b/>
                <w:bCs/>
                <w:sz w:val="20"/>
                <w:szCs w:val="20"/>
              </w:rPr>
            </w:pPr>
            <w:r w:rsidRPr="008211FD">
              <w:rPr>
                <w:rFonts w:ascii="Times New Roman" w:eastAsia="Times New Roman" w:hAnsi="Times New Roman"/>
                <w:b/>
                <w:bCs/>
                <w:sz w:val="20"/>
                <w:szCs w:val="20"/>
              </w:rPr>
              <w:t>Grupos e Firmas transnacionais</w:t>
            </w:r>
          </w:p>
        </w:tc>
        <w:tc>
          <w:tcPr>
            <w:tcW w:w="528" w:type="pct"/>
            <w:tcBorders>
              <w:top w:val="single" w:sz="8" w:space="0" w:color="4F81BD"/>
              <w:left w:val="single" w:sz="8" w:space="0" w:color="4F81BD"/>
              <w:bottom w:val="single" w:sz="18" w:space="0" w:color="4F81BD"/>
              <w:right w:val="single" w:sz="8" w:space="0" w:color="4F81BD"/>
            </w:tcBorders>
            <w:textDirection w:val="btLr"/>
          </w:tcPr>
          <w:p w:rsidR="00FD610C" w:rsidRPr="008211FD" w:rsidRDefault="00FD610C" w:rsidP="008211FD">
            <w:pPr>
              <w:pStyle w:val="NormalWeb"/>
              <w:spacing w:before="0" w:beforeAutospacing="0"/>
              <w:ind w:left="113" w:right="113"/>
              <w:jc w:val="center"/>
              <w:rPr>
                <w:b/>
                <w:bCs/>
                <w:sz w:val="20"/>
                <w:szCs w:val="20"/>
              </w:rPr>
            </w:pPr>
            <w:r w:rsidRPr="008211FD">
              <w:rPr>
                <w:b/>
                <w:bCs/>
                <w:sz w:val="20"/>
                <w:szCs w:val="20"/>
              </w:rPr>
              <w:t>Total de investimentos nos países</w:t>
            </w:r>
          </w:p>
        </w:tc>
        <w:tc>
          <w:tcPr>
            <w:tcW w:w="320" w:type="pct"/>
            <w:tcBorders>
              <w:top w:val="single" w:sz="8" w:space="0" w:color="4F81BD"/>
              <w:left w:val="single" w:sz="8" w:space="0" w:color="4F81BD"/>
              <w:bottom w:val="single" w:sz="18" w:space="0" w:color="4F81BD"/>
              <w:right w:val="single" w:sz="8" w:space="0" w:color="4F81BD"/>
            </w:tcBorders>
            <w:textDirection w:val="btLr"/>
          </w:tcPr>
          <w:p w:rsidR="00FD610C" w:rsidRPr="008211FD" w:rsidRDefault="00FD610C" w:rsidP="008211FD">
            <w:pPr>
              <w:pStyle w:val="NormalWeb"/>
              <w:spacing w:before="0" w:beforeAutospacing="0"/>
              <w:ind w:left="113" w:right="113"/>
              <w:jc w:val="center"/>
              <w:rPr>
                <w:b/>
                <w:bCs/>
                <w:sz w:val="20"/>
                <w:szCs w:val="20"/>
              </w:rPr>
            </w:pPr>
            <w:r w:rsidRPr="008211FD">
              <w:rPr>
                <w:b/>
                <w:bCs/>
                <w:sz w:val="20"/>
                <w:szCs w:val="20"/>
              </w:rPr>
              <w:t>América do Sul</w:t>
            </w:r>
          </w:p>
        </w:tc>
        <w:tc>
          <w:tcPr>
            <w:tcW w:w="506" w:type="pct"/>
            <w:tcBorders>
              <w:top w:val="single" w:sz="8" w:space="0" w:color="4F81BD"/>
              <w:left w:val="single" w:sz="8" w:space="0" w:color="4F81BD"/>
              <w:bottom w:val="single" w:sz="18" w:space="0" w:color="4F81BD"/>
              <w:right w:val="single" w:sz="8" w:space="0" w:color="4F81BD"/>
            </w:tcBorders>
            <w:textDirection w:val="btLr"/>
          </w:tcPr>
          <w:p w:rsidR="00FD610C" w:rsidRPr="008211FD" w:rsidRDefault="00FD610C" w:rsidP="008211FD">
            <w:pPr>
              <w:pStyle w:val="NormalWeb"/>
              <w:spacing w:before="0" w:beforeAutospacing="0"/>
              <w:ind w:left="113" w:right="113"/>
              <w:jc w:val="center"/>
              <w:rPr>
                <w:b/>
                <w:bCs/>
                <w:sz w:val="20"/>
                <w:szCs w:val="20"/>
              </w:rPr>
            </w:pPr>
            <w:r w:rsidRPr="008211FD">
              <w:rPr>
                <w:b/>
                <w:bCs/>
                <w:sz w:val="20"/>
                <w:szCs w:val="20"/>
              </w:rPr>
              <w:t>Ásia</w:t>
            </w:r>
          </w:p>
        </w:tc>
        <w:tc>
          <w:tcPr>
            <w:tcW w:w="506" w:type="pct"/>
            <w:tcBorders>
              <w:top w:val="single" w:sz="8" w:space="0" w:color="4F81BD"/>
              <w:left w:val="single" w:sz="8" w:space="0" w:color="4F81BD"/>
              <w:bottom w:val="single" w:sz="18" w:space="0" w:color="4F81BD"/>
              <w:right w:val="single" w:sz="8" w:space="0" w:color="4F81BD"/>
            </w:tcBorders>
            <w:textDirection w:val="btLr"/>
          </w:tcPr>
          <w:p w:rsidR="00FD610C" w:rsidRPr="008211FD" w:rsidRDefault="00FD610C" w:rsidP="008211FD">
            <w:pPr>
              <w:pStyle w:val="NormalWeb"/>
              <w:spacing w:before="0" w:beforeAutospacing="0"/>
              <w:ind w:left="113" w:right="113"/>
              <w:jc w:val="center"/>
              <w:rPr>
                <w:b/>
                <w:bCs/>
                <w:sz w:val="20"/>
                <w:szCs w:val="20"/>
              </w:rPr>
            </w:pPr>
            <w:r w:rsidRPr="008211FD">
              <w:rPr>
                <w:b/>
                <w:bCs/>
                <w:sz w:val="20"/>
                <w:szCs w:val="20"/>
              </w:rPr>
              <w:t>Europa</w:t>
            </w:r>
          </w:p>
        </w:tc>
        <w:tc>
          <w:tcPr>
            <w:tcW w:w="506" w:type="pct"/>
            <w:tcBorders>
              <w:top w:val="single" w:sz="8" w:space="0" w:color="4F81BD"/>
              <w:left w:val="single" w:sz="8" w:space="0" w:color="4F81BD"/>
              <w:bottom w:val="single" w:sz="18" w:space="0" w:color="4F81BD"/>
              <w:right w:val="single" w:sz="8" w:space="0" w:color="4F81BD"/>
            </w:tcBorders>
            <w:textDirection w:val="btLr"/>
          </w:tcPr>
          <w:p w:rsidR="00FD610C" w:rsidRPr="008211FD" w:rsidRDefault="00FD610C" w:rsidP="008211FD">
            <w:pPr>
              <w:pStyle w:val="NormalWeb"/>
              <w:spacing w:before="0" w:beforeAutospacing="0"/>
              <w:ind w:left="113" w:right="113"/>
              <w:jc w:val="center"/>
              <w:rPr>
                <w:b/>
                <w:bCs/>
                <w:sz w:val="20"/>
                <w:szCs w:val="20"/>
              </w:rPr>
            </w:pPr>
            <w:r w:rsidRPr="008211FD">
              <w:rPr>
                <w:b/>
                <w:bCs/>
                <w:sz w:val="20"/>
                <w:szCs w:val="20"/>
              </w:rPr>
              <w:t>América do Norte</w:t>
            </w:r>
          </w:p>
        </w:tc>
        <w:tc>
          <w:tcPr>
            <w:tcW w:w="506" w:type="pct"/>
            <w:tcBorders>
              <w:top w:val="single" w:sz="8" w:space="0" w:color="4F81BD"/>
              <w:left w:val="single" w:sz="8" w:space="0" w:color="4F81BD"/>
              <w:bottom w:val="single" w:sz="18" w:space="0" w:color="4F81BD"/>
              <w:right w:val="single" w:sz="8" w:space="0" w:color="4F81BD"/>
            </w:tcBorders>
            <w:textDirection w:val="btLr"/>
          </w:tcPr>
          <w:p w:rsidR="00FD610C" w:rsidRPr="008211FD" w:rsidRDefault="00FD610C" w:rsidP="008211FD">
            <w:pPr>
              <w:pStyle w:val="NormalWeb"/>
              <w:spacing w:before="0" w:beforeAutospacing="0"/>
              <w:ind w:left="113" w:right="113"/>
              <w:jc w:val="center"/>
              <w:rPr>
                <w:b/>
                <w:bCs/>
                <w:sz w:val="20"/>
                <w:szCs w:val="20"/>
              </w:rPr>
            </w:pPr>
            <w:r w:rsidRPr="008211FD">
              <w:rPr>
                <w:b/>
                <w:bCs/>
                <w:sz w:val="20"/>
                <w:szCs w:val="20"/>
              </w:rPr>
              <w:t>África</w:t>
            </w:r>
          </w:p>
        </w:tc>
        <w:tc>
          <w:tcPr>
            <w:tcW w:w="506" w:type="pct"/>
            <w:tcBorders>
              <w:top w:val="single" w:sz="8" w:space="0" w:color="4F81BD"/>
              <w:left w:val="single" w:sz="8" w:space="0" w:color="4F81BD"/>
              <w:bottom w:val="single" w:sz="18" w:space="0" w:color="4F81BD"/>
              <w:right w:val="single" w:sz="8" w:space="0" w:color="4F81BD"/>
            </w:tcBorders>
            <w:textDirection w:val="btLr"/>
          </w:tcPr>
          <w:p w:rsidR="00FD610C" w:rsidRPr="008211FD" w:rsidRDefault="00FD610C" w:rsidP="008211FD">
            <w:pPr>
              <w:pStyle w:val="NormalWeb"/>
              <w:spacing w:before="0" w:beforeAutospacing="0"/>
              <w:ind w:left="113" w:right="113"/>
              <w:jc w:val="center"/>
              <w:rPr>
                <w:b/>
                <w:bCs/>
                <w:sz w:val="20"/>
                <w:szCs w:val="20"/>
              </w:rPr>
            </w:pPr>
            <w:r w:rsidRPr="008211FD">
              <w:rPr>
                <w:b/>
                <w:bCs/>
                <w:sz w:val="20"/>
                <w:szCs w:val="20"/>
              </w:rPr>
              <w:t>América Central</w:t>
            </w:r>
          </w:p>
        </w:tc>
        <w:tc>
          <w:tcPr>
            <w:tcW w:w="460" w:type="pct"/>
            <w:tcBorders>
              <w:top w:val="single" w:sz="8" w:space="0" w:color="4F81BD"/>
              <w:left w:val="single" w:sz="8" w:space="0" w:color="4F81BD"/>
              <w:bottom w:val="single" w:sz="18" w:space="0" w:color="4F81BD"/>
              <w:right w:val="single" w:sz="8" w:space="0" w:color="4F81BD"/>
            </w:tcBorders>
            <w:textDirection w:val="btLr"/>
          </w:tcPr>
          <w:p w:rsidR="00FD610C" w:rsidRPr="008211FD" w:rsidRDefault="00FD610C" w:rsidP="008211FD">
            <w:pPr>
              <w:pStyle w:val="NormalWeb"/>
              <w:spacing w:before="0" w:beforeAutospacing="0"/>
              <w:ind w:left="113" w:right="113"/>
              <w:jc w:val="center"/>
              <w:rPr>
                <w:b/>
                <w:bCs/>
                <w:sz w:val="20"/>
                <w:szCs w:val="20"/>
              </w:rPr>
            </w:pPr>
            <w:r w:rsidRPr="008211FD">
              <w:rPr>
                <w:b/>
                <w:bCs/>
                <w:sz w:val="20"/>
                <w:szCs w:val="20"/>
              </w:rPr>
              <w:t>Oceania</w:t>
            </w: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Vale</w:t>
            </w:r>
          </w:p>
        </w:tc>
        <w:tc>
          <w:tcPr>
            <w:tcW w:w="528"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jc w:val="center"/>
              <w:rPr>
                <w:rFonts w:ascii="Times New Roman" w:hAnsi="Times New Roman"/>
                <w:sz w:val="20"/>
                <w:szCs w:val="20"/>
              </w:rPr>
            </w:pPr>
            <w:r w:rsidRPr="008211FD">
              <w:rPr>
                <w:rFonts w:ascii="Times New Roman" w:hAnsi="Times New Roman"/>
                <w:sz w:val="20"/>
                <w:szCs w:val="20"/>
              </w:rPr>
              <w:t>37</w:t>
            </w:r>
          </w:p>
        </w:tc>
        <w:tc>
          <w:tcPr>
            <w:tcW w:w="32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jc w:val="center"/>
              <w:rPr>
                <w:rFonts w:ascii="Times New Roman" w:hAnsi="Times New Roman"/>
                <w:sz w:val="20"/>
                <w:szCs w:val="20"/>
              </w:rPr>
            </w:pPr>
            <w:r w:rsidRPr="008211FD">
              <w:rPr>
                <w:rFonts w:ascii="Times New Roman" w:hAnsi="Times New Roman"/>
                <w:sz w:val="20"/>
                <w:szCs w:val="20"/>
              </w:rPr>
              <w:t>5</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jc w:val="center"/>
              <w:rPr>
                <w:rFonts w:ascii="Times New Roman" w:hAnsi="Times New Roman"/>
                <w:sz w:val="20"/>
                <w:szCs w:val="20"/>
              </w:rPr>
            </w:pPr>
            <w:r w:rsidRPr="008211FD">
              <w:rPr>
                <w:rFonts w:ascii="Times New Roman" w:hAnsi="Times New Roman"/>
                <w:sz w:val="20"/>
                <w:szCs w:val="20"/>
              </w:rPr>
              <w:t>14</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jc w:val="center"/>
              <w:rPr>
                <w:rFonts w:ascii="Times New Roman" w:hAnsi="Times New Roman"/>
                <w:sz w:val="20"/>
                <w:szCs w:val="20"/>
              </w:rPr>
            </w:pPr>
            <w:r w:rsidRPr="008211FD">
              <w:rPr>
                <w:rFonts w:ascii="Times New Roman" w:hAnsi="Times New Roman"/>
                <w:sz w:val="20"/>
                <w:szCs w:val="20"/>
              </w:rPr>
              <w:t>4</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jc w:val="center"/>
              <w:rPr>
                <w:rFonts w:ascii="Times New Roman" w:hAnsi="Times New Roman"/>
                <w:sz w:val="20"/>
                <w:szCs w:val="20"/>
              </w:rPr>
            </w:pPr>
            <w:r w:rsidRPr="008211FD">
              <w:rPr>
                <w:rFonts w:ascii="Times New Roman" w:hAnsi="Times New Roman"/>
                <w:sz w:val="20"/>
                <w:szCs w:val="20"/>
              </w:rPr>
              <w:t>2</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jc w:val="center"/>
              <w:rPr>
                <w:rFonts w:ascii="Times New Roman" w:hAnsi="Times New Roman"/>
                <w:sz w:val="20"/>
                <w:szCs w:val="20"/>
              </w:rPr>
            </w:pPr>
            <w:r w:rsidRPr="008211FD">
              <w:rPr>
                <w:rFonts w:ascii="Times New Roman" w:hAnsi="Times New Roman"/>
                <w:sz w:val="20"/>
                <w:szCs w:val="20"/>
              </w:rPr>
              <w:t>9</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jc w:val="center"/>
              <w:rPr>
                <w:rFonts w:ascii="Times New Roman" w:hAnsi="Times New Roman"/>
                <w:sz w:val="20"/>
                <w:szCs w:val="20"/>
              </w:rPr>
            </w:pPr>
            <w:r w:rsidRPr="008211FD">
              <w:rPr>
                <w:rFonts w:ascii="Times New Roman" w:hAnsi="Times New Roman"/>
                <w:sz w:val="20"/>
                <w:szCs w:val="20"/>
              </w:rPr>
              <w:t>1</w:t>
            </w:r>
          </w:p>
        </w:tc>
        <w:tc>
          <w:tcPr>
            <w:tcW w:w="4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jc w:val="center"/>
              <w:rPr>
                <w:rFonts w:ascii="Times New Roman" w:hAnsi="Times New Roman"/>
                <w:sz w:val="20"/>
                <w:szCs w:val="20"/>
              </w:rPr>
            </w:pPr>
            <w:r w:rsidRPr="008211FD">
              <w:rPr>
                <w:rFonts w:ascii="Times New Roman" w:hAnsi="Times New Roman"/>
                <w:sz w:val="20"/>
                <w:szCs w:val="20"/>
              </w:rPr>
              <w:t>2</w:t>
            </w: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Grupo Odebrecht</w:t>
            </w:r>
          </w:p>
        </w:tc>
        <w:tc>
          <w:tcPr>
            <w:tcW w:w="528"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jc w:val="center"/>
              <w:rPr>
                <w:sz w:val="20"/>
                <w:szCs w:val="20"/>
              </w:rPr>
            </w:pPr>
            <w:r w:rsidRPr="008211FD">
              <w:rPr>
                <w:sz w:val="20"/>
                <w:szCs w:val="20"/>
              </w:rPr>
              <w:t>21</w:t>
            </w:r>
          </w:p>
        </w:tc>
        <w:tc>
          <w:tcPr>
            <w:tcW w:w="32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jc w:val="center"/>
              <w:rPr>
                <w:sz w:val="20"/>
                <w:szCs w:val="20"/>
              </w:rPr>
            </w:pPr>
            <w:r w:rsidRPr="008211FD">
              <w:rPr>
                <w:sz w:val="20"/>
                <w:szCs w:val="20"/>
              </w:rPr>
              <w:t>5</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jc w:val="center"/>
              <w:rPr>
                <w:sz w:val="20"/>
                <w:szCs w:val="20"/>
              </w:rPr>
            </w:pPr>
            <w:r w:rsidRPr="008211FD">
              <w:rPr>
                <w:sz w:val="20"/>
                <w:szCs w:val="20"/>
              </w:rPr>
              <w:t>3</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jc w:val="center"/>
              <w:rPr>
                <w:sz w:val="20"/>
                <w:szCs w:val="20"/>
              </w:rPr>
            </w:pPr>
            <w:r w:rsidRPr="008211FD">
              <w:rPr>
                <w:sz w:val="20"/>
                <w:szCs w:val="20"/>
              </w:rPr>
              <w:t>3</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jc w:val="center"/>
              <w:rPr>
                <w:sz w:val="20"/>
                <w:szCs w:val="20"/>
              </w:rPr>
            </w:pPr>
            <w:r w:rsidRPr="008211FD">
              <w:rPr>
                <w:sz w:val="20"/>
                <w:szCs w:val="20"/>
              </w:rPr>
              <w:t>2</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jc w:val="center"/>
              <w:rPr>
                <w:sz w:val="20"/>
                <w:szCs w:val="20"/>
              </w:rPr>
            </w:pPr>
            <w:r w:rsidRPr="008211FD">
              <w:rPr>
                <w:sz w:val="20"/>
                <w:szCs w:val="20"/>
              </w:rPr>
              <w:t>5</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jc w:val="center"/>
              <w:rPr>
                <w:sz w:val="20"/>
                <w:szCs w:val="20"/>
              </w:rPr>
            </w:pPr>
            <w:r w:rsidRPr="008211FD">
              <w:rPr>
                <w:sz w:val="20"/>
                <w:szCs w:val="20"/>
              </w:rPr>
              <w:t>3</w:t>
            </w:r>
          </w:p>
        </w:tc>
        <w:tc>
          <w:tcPr>
            <w:tcW w:w="4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Itaú-Unibanco</w:t>
            </w:r>
          </w:p>
        </w:tc>
        <w:tc>
          <w:tcPr>
            <w:tcW w:w="528"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16</w:t>
            </w:r>
          </w:p>
        </w:tc>
        <w:tc>
          <w:tcPr>
            <w:tcW w:w="32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5</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3</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5</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2</w:t>
            </w:r>
          </w:p>
        </w:tc>
        <w:tc>
          <w:tcPr>
            <w:tcW w:w="4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Grupo Gerdau</w:t>
            </w:r>
          </w:p>
        </w:tc>
        <w:tc>
          <w:tcPr>
            <w:tcW w:w="528"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r w:rsidRPr="008211FD">
              <w:rPr>
                <w:sz w:val="20"/>
                <w:szCs w:val="20"/>
              </w:rPr>
              <w:t>13</w:t>
            </w:r>
          </w:p>
        </w:tc>
        <w:tc>
          <w:tcPr>
            <w:tcW w:w="32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r w:rsidRPr="008211FD">
              <w:rPr>
                <w:sz w:val="20"/>
                <w:szCs w:val="20"/>
              </w:rPr>
              <w:t>6</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r w:rsidRPr="008211FD">
              <w:rPr>
                <w:sz w:val="20"/>
                <w:szCs w:val="20"/>
              </w:rPr>
              <w:t>3</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r w:rsidRPr="008211FD">
              <w:rPr>
                <w:sz w:val="20"/>
                <w:szCs w:val="20"/>
              </w:rPr>
              <w:t>2</w:t>
            </w:r>
          </w:p>
        </w:tc>
        <w:tc>
          <w:tcPr>
            <w:tcW w:w="4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Bradesco</w:t>
            </w:r>
          </w:p>
        </w:tc>
        <w:tc>
          <w:tcPr>
            <w:tcW w:w="528"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6</w:t>
            </w:r>
          </w:p>
        </w:tc>
        <w:tc>
          <w:tcPr>
            <w:tcW w:w="32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2</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2</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c>
          <w:tcPr>
            <w:tcW w:w="4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Grupo Vicunha</w:t>
            </w:r>
            <w:r w:rsidRPr="008211FD">
              <w:rPr>
                <w:rStyle w:val="Refdenotaderodap"/>
                <w:rFonts w:ascii="Times New Roman" w:eastAsia="Times New Roman" w:hAnsi="Times New Roman"/>
                <w:b/>
                <w:bCs/>
                <w:sz w:val="20"/>
                <w:szCs w:val="20"/>
              </w:rPr>
              <w:footnoteReference w:id="344"/>
            </w:r>
          </w:p>
        </w:tc>
        <w:tc>
          <w:tcPr>
            <w:tcW w:w="528"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r w:rsidRPr="008211FD">
              <w:rPr>
                <w:sz w:val="20"/>
                <w:szCs w:val="20"/>
              </w:rPr>
              <w:t>6</w:t>
            </w:r>
          </w:p>
        </w:tc>
        <w:tc>
          <w:tcPr>
            <w:tcW w:w="32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r w:rsidRPr="008211FD">
              <w:rPr>
                <w:sz w:val="20"/>
                <w:szCs w:val="20"/>
              </w:rPr>
              <w:t>3</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jc w:val="center"/>
              <w:rPr>
                <w:sz w:val="20"/>
                <w:szCs w:val="20"/>
              </w:rPr>
            </w:pPr>
          </w:p>
        </w:tc>
        <w:tc>
          <w:tcPr>
            <w:tcW w:w="4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Embraer</w:t>
            </w:r>
          </w:p>
        </w:tc>
        <w:tc>
          <w:tcPr>
            <w:tcW w:w="528"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r w:rsidRPr="008211FD">
              <w:rPr>
                <w:sz w:val="20"/>
                <w:szCs w:val="20"/>
              </w:rPr>
              <w:t>5</w:t>
            </w:r>
          </w:p>
        </w:tc>
        <w:tc>
          <w:tcPr>
            <w:tcW w:w="32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r w:rsidRPr="008211FD">
              <w:rPr>
                <w:sz w:val="20"/>
                <w:szCs w:val="20"/>
              </w:rPr>
              <w:t>2</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r w:rsidRPr="008211FD">
              <w:rPr>
                <w:sz w:val="20"/>
                <w:szCs w:val="20"/>
              </w:rPr>
              <w:t>2</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c>
          <w:tcPr>
            <w:tcW w:w="4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Suzano Holding S/A</w:t>
            </w:r>
          </w:p>
        </w:tc>
        <w:tc>
          <w:tcPr>
            <w:tcW w:w="528"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5</w:t>
            </w:r>
          </w:p>
        </w:tc>
        <w:tc>
          <w:tcPr>
            <w:tcW w:w="32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2</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jc w:val="center"/>
              <w:rPr>
                <w:sz w:val="20"/>
                <w:szCs w:val="20"/>
              </w:rPr>
            </w:pPr>
          </w:p>
        </w:tc>
        <w:tc>
          <w:tcPr>
            <w:tcW w:w="4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Grupo Alusa</w:t>
            </w:r>
          </w:p>
        </w:tc>
        <w:tc>
          <w:tcPr>
            <w:tcW w:w="528"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r w:rsidRPr="008211FD">
              <w:rPr>
                <w:sz w:val="20"/>
                <w:szCs w:val="20"/>
              </w:rPr>
              <w:t>4</w:t>
            </w:r>
          </w:p>
        </w:tc>
        <w:tc>
          <w:tcPr>
            <w:tcW w:w="32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r w:rsidRPr="008211FD">
              <w:rPr>
                <w:sz w:val="20"/>
                <w:szCs w:val="20"/>
              </w:rPr>
              <w:t>3</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4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CBMM</w:t>
            </w:r>
          </w:p>
        </w:tc>
        <w:tc>
          <w:tcPr>
            <w:tcW w:w="528"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3</w:t>
            </w:r>
          </w:p>
        </w:tc>
        <w:tc>
          <w:tcPr>
            <w:tcW w:w="32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4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BM&amp;FBOVESPA</w:t>
            </w:r>
          </w:p>
        </w:tc>
        <w:tc>
          <w:tcPr>
            <w:tcW w:w="528"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r w:rsidRPr="008211FD">
              <w:rPr>
                <w:sz w:val="20"/>
                <w:szCs w:val="20"/>
              </w:rPr>
              <w:t>3</w:t>
            </w:r>
          </w:p>
        </w:tc>
        <w:tc>
          <w:tcPr>
            <w:tcW w:w="32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4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Usiminas</w:t>
            </w:r>
            <w:r w:rsidRPr="008211FD">
              <w:rPr>
                <w:rStyle w:val="Refdenotaderodap"/>
                <w:b/>
                <w:bCs/>
                <w:sz w:val="20"/>
                <w:szCs w:val="20"/>
              </w:rPr>
              <w:footnoteReference w:id="345"/>
            </w:r>
          </w:p>
        </w:tc>
        <w:tc>
          <w:tcPr>
            <w:tcW w:w="528"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3</w:t>
            </w:r>
          </w:p>
        </w:tc>
        <w:tc>
          <w:tcPr>
            <w:tcW w:w="32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2</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4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rPr>
                <w:b/>
                <w:bCs/>
                <w:sz w:val="20"/>
                <w:szCs w:val="20"/>
              </w:rPr>
            </w:pPr>
            <w:r w:rsidRPr="008211FD">
              <w:rPr>
                <w:b/>
                <w:bCs/>
                <w:sz w:val="20"/>
                <w:szCs w:val="20"/>
              </w:rPr>
              <w:t>Ipiranga (Ultrapar Participações)</w:t>
            </w:r>
          </w:p>
        </w:tc>
        <w:tc>
          <w:tcPr>
            <w:tcW w:w="528"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3</w:t>
            </w:r>
          </w:p>
        </w:tc>
        <w:tc>
          <w:tcPr>
            <w:tcW w:w="32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center"/>
              <w:rPr>
                <w:sz w:val="20"/>
                <w:szCs w:val="20"/>
              </w:rPr>
            </w:pPr>
            <w:r w:rsidRPr="008211FD">
              <w:rPr>
                <w:sz w:val="20"/>
                <w:szCs w:val="20"/>
              </w:rPr>
              <w:t>2</w:t>
            </w:r>
          </w:p>
        </w:tc>
        <w:tc>
          <w:tcPr>
            <w:tcW w:w="4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CSN</w:t>
            </w:r>
          </w:p>
        </w:tc>
        <w:tc>
          <w:tcPr>
            <w:tcW w:w="528"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2</w:t>
            </w:r>
          </w:p>
        </w:tc>
        <w:tc>
          <w:tcPr>
            <w:tcW w:w="32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4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Gradiente</w:t>
            </w:r>
            <w:r w:rsidRPr="008211FD">
              <w:rPr>
                <w:rStyle w:val="Refdenotaderodap"/>
                <w:b/>
                <w:bCs/>
                <w:sz w:val="20"/>
                <w:szCs w:val="20"/>
              </w:rPr>
              <w:footnoteReference w:id="346"/>
            </w:r>
          </w:p>
        </w:tc>
        <w:tc>
          <w:tcPr>
            <w:tcW w:w="528"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r w:rsidRPr="008211FD">
              <w:rPr>
                <w:sz w:val="20"/>
                <w:szCs w:val="20"/>
              </w:rPr>
              <w:t>2</w:t>
            </w:r>
          </w:p>
        </w:tc>
        <w:tc>
          <w:tcPr>
            <w:tcW w:w="32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4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DHB</w:t>
            </w:r>
          </w:p>
        </w:tc>
        <w:tc>
          <w:tcPr>
            <w:tcW w:w="528"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32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4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Dixie-Toga</w:t>
            </w:r>
            <w:r w:rsidRPr="008211FD">
              <w:rPr>
                <w:rStyle w:val="Refdenotaderodap"/>
                <w:b/>
                <w:bCs/>
              </w:rPr>
              <w:footnoteReference w:id="347"/>
            </w:r>
          </w:p>
        </w:tc>
        <w:tc>
          <w:tcPr>
            <w:tcW w:w="528"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32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jc w:val="center"/>
              <w:rPr>
                <w:rFonts w:ascii="Times New Roman" w:hAnsi="Times New Roman"/>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jc w:val="center"/>
              <w:rPr>
                <w:rFonts w:ascii="Times New Roman" w:hAnsi="Times New Roman"/>
                <w:sz w:val="20"/>
                <w:szCs w:val="20"/>
              </w:rPr>
            </w:pPr>
          </w:p>
        </w:tc>
        <w:tc>
          <w:tcPr>
            <w:tcW w:w="4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jc w:val="center"/>
              <w:rPr>
                <w:rFonts w:ascii="Times New Roman" w:hAnsi="Times New Roman"/>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Grupo Verdi/ Rodobens</w:t>
            </w:r>
          </w:p>
        </w:tc>
        <w:tc>
          <w:tcPr>
            <w:tcW w:w="528"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r w:rsidRPr="008211FD">
              <w:rPr>
                <w:sz w:val="20"/>
                <w:szCs w:val="20"/>
              </w:rPr>
              <w:t>1</w:t>
            </w:r>
          </w:p>
        </w:tc>
        <w:tc>
          <w:tcPr>
            <w:tcW w:w="32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4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Klabin S/A</w:t>
            </w:r>
          </w:p>
        </w:tc>
        <w:tc>
          <w:tcPr>
            <w:tcW w:w="528"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1</w:t>
            </w:r>
          </w:p>
        </w:tc>
        <w:tc>
          <w:tcPr>
            <w:tcW w:w="32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c>
          <w:tcPr>
            <w:tcW w:w="4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after="0" w:after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Arko Advice</w:t>
            </w:r>
          </w:p>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Pesquisas</w:t>
            </w:r>
          </w:p>
        </w:tc>
        <w:tc>
          <w:tcPr>
            <w:tcW w:w="528"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32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p>
        </w:tc>
        <w:tc>
          <w:tcPr>
            <w:tcW w:w="4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Sucocítrico Cutrale</w:t>
            </w:r>
          </w:p>
        </w:tc>
        <w:tc>
          <w:tcPr>
            <w:tcW w:w="528"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1</w:t>
            </w:r>
          </w:p>
        </w:tc>
        <w:tc>
          <w:tcPr>
            <w:tcW w:w="32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before="0" w:beforeAutospacing="0"/>
              <w:jc w:val="center"/>
              <w:rPr>
                <w:sz w:val="20"/>
                <w:szCs w:val="20"/>
              </w:rPr>
            </w:pPr>
            <w:r w:rsidRPr="008211FD">
              <w:rPr>
                <w:sz w:val="20"/>
                <w:szCs w:val="20"/>
              </w:rPr>
              <w:t>1</w:t>
            </w: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center"/>
              <w:rPr>
                <w:sz w:val="20"/>
                <w:szCs w:val="20"/>
              </w:rPr>
            </w:pPr>
          </w:p>
        </w:tc>
        <w:tc>
          <w:tcPr>
            <w:tcW w:w="50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center"/>
              <w:rPr>
                <w:sz w:val="20"/>
                <w:szCs w:val="20"/>
              </w:rPr>
            </w:pPr>
          </w:p>
        </w:tc>
        <w:tc>
          <w:tcPr>
            <w:tcW w:w="4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jc w:val="center"/>
              <w:rPr>
                <w:sz w:val="20"/>
                <w:szCs w:val="20"/>
              </w:rPr>
            </w:pPr>
          </w:p>
        </w:tc>
      </w:tr>
      <w:tr w:rsidR="00FD610C" w:rsidRPr="008211FD" w:rsidTr="008211FD">
        <w:tc>
          <w:tcPr>
            <w:tcW w:w="1162"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jc w:val="both"/>
              <w:rPr>
                <w:b/>
                <w:bCs/>
                <w:sz w:val="20"/>
                <w:szCs w:val="20"/>
              </w:rPr>
            </w:pPr>
            <w:r w:rsidRPr="008211FD">
              <w:rPr>
                <w:b/>
                <w:bCs/>
                <w:sz w:val="20"/>
                <w:szCs w:val="20"/>
              </w:rPr>
              <w:t xml:space="preserve">Total                                                                          </w:t>
            </w:r>
          </w:p>
        </w:tc>
        <w:tc>
          <w:tcPr>
            <w:tcW w:w="528"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135</w:t>
            </w:r>
          </w:p>
        </w:tc>
        <w:tc>
          <w:tcPr>
            <w:tcW w:w="32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36</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30</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23</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18</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14</w:t>
            </w:r>
          </w:p>
        </w:tc>
        <w:tc>
          <w:tcPr>
            <w:tcW w:w="50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12</w:t>
            </w:r>
          </w:p>
        </w:tc>
        <w:tc>
          <w:tcPr>
            <w:tcW w:w="4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jc w:val="center"/>
              <w:rPr>
                <w:sz w:val="20"/>
                <w:szCs w:val="20"/>
              </w:rPr>
            </w:pPr>
            <w:r w:rsidRPr="008211FD">
              <w:rPr>
                <w:sz w:val="20"/>
                <w:szCs w:val="20"/>
              </w:rPr>
              <w:t>2</w:t>
            </w:r>
          </w:p>
        </w:tc>
      </w:tr>
    </w:tbl>
    <w:p w:rsidR="00FD610C" w:rsidRPr="009C3A78" w:rsidRDefault="00457718" w:rsidP="00FD610C">
      <w:pPr>
        <w:autoSpaceDE w:val="0"/>
        <w:autoSpaceDN w:val="0"/>
        <w:adjustRightInd w:val="0"/>
        <w:spacing w:after="0" w:line="360" w:lineRule="auto"/>
        <w:jc w:val="both"/>
        <w:rPr>
          <w:rFonts w:ascii="Times New Roman" w:hAnsi="Times New Roman"/>
          <w:sz w:val="18"/>
          <w:szCs w:val="18"/>
        </w:rPr>
      </w:pPr>
      <w:r>
        <w:rPr>
          <w:rFonts w:ascii="Times New Roman" w:hAnsi="Times New Roman"/>
          <w:b/>
          <w:sz w:val="18"/>
          <w:szCs w:val="18"/>
        </w:rPr>
        <w:t>Elaboração própria</w:t>
      </w:r>
      <w:r w:rsidR="009C3A78">
        <w:rPr>
          <w:rFonts w:ascii="Times New Roman" w:hAnsi="Times New Roman"/>
          <w:b/>
          <w:sz w:val="18"/>
          <w:szCs w:val="18"/>
        </w:rPr>
        <w:t>.</w:t>
      </w:r>
    </w:p>
    <w:p w:rsidR="00FD610C" w:rsidRDefault="00FD610C" w:rsidP="00C33FA2">
      <w:pPr>
        <w:autoSpaceDE w:val="0"/>
        <w:autoSpaceDN w:val="0"/>
        <w:adjustRightInd w:val="0"/>
        <w:spacing w:before="240" w:after="0" w:line="360" w:lineRule="auto"/>
        <w:ind w:firstLine="708"/>
        <w:jc w:val="both"/>
        <w:rPr>
          <w:rFonts w:ascii="Times New Roman" w:hAnsi="Times New Roman"/>
          <w:sz w:val="24"/>
          <w:szCs w:val="24"/>
        </w:rPr>
      </w:pPr>
      <w:r>
        <w:rPr>
          <w:rFonts w:ascii="Times New Roman" w:hAnsi="Times New Roman"/>
          <w:sz w:val="24"/>
          <w:szCs w:val="24"/>
        </w:rPr>
        <w:t>O gráfico abaixo nos dá a dimensão, em termos relativos, dos investimentos dos 20 grupos e firmas transnacionais presentes no CDES em cada (sub)continente em relação aos 132 empreendimentos totais realizados:</w:t>
      </w:r>
    </w:p>
    <w:p w:rsidR="00FD610C" w:rsidRDefault="00FD610C" w:rsidP="00FD610C">
      <w:pPr>
        <w:autoSpaceDE w:val="0"/>
        <w:autoSpaceDN w:val="0"/>
        <w:adjustRightInd w:val="0"/>
        <w:spacing w:after="0" w:line="360" w:lineRule="auto"/>
        <w:ind w:firstLine="708"/>
        <w:jc w:val="both"/>
        <w:rPr>
          <w:rFonts w:ascii="Times New Roman" w:hAnsi="Times New Roman"/>
          <w:sz w:val="24"/>
          <w:szCs w:val="24"/>
        </w:rPr>
      </w:pPr>
    </w:p>
    <w:p w:rsidR="00FD610C" w:rsidRDefault="0018135C" w:rsidP="00FD610C">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extent cx="4566539" cy="2709799"/>
            <wp:effectExtent l="12192" t="6096" r="6604" b="0"/>
            <wp:docPr id="12"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4005E" w:rsidRPr="009C3A78" w:rsidRDefault="00A4005E" w:rsidP="009C3A78">
      <w:pPr>
        <w:tabs>
          <w:tab w:val="left" w:pos="4943"/>
        </w:tabs>
        <w:autoSpaceDE w:val="0"/>
        <w:autoSpaceDN w:val="0"/>
        <w:adjustRightInd w:val="0"/>
        <w:spacing w:after="0" w:line="360" w:lineRule="auto"/>
        <w:ind w:firstLine="708"/>
        <w:jc w:val="both"/>
        <w:rPr>
          <w:rFonts w:ascii="Times New Roman" w:hAnsi="Times New Roman"/>
          <w:b/>
          <w:sz w:val="18"/>
          <w:szCs w:val="18"/>
        </w:rPr>
      </w:pPr>
      <w:r w:rsidRPr="009C3A78">
        <w:rPr>
          <w:rFonts w:ascii="Times New Roman" w:hAnsi="Times New Roman"/>
          <w:b/>
          <w:sz w:val="18"/>
          <w:szCs w:val="18"/>
        </w:rPr>
        <w:t>Elaboração própria.</w:t>
      </w:r>
      <w:r w:rsidR="009C3A78" w:rsidRPr="009C3A78">
        <w:rPr>
          <w:rFonts w:ascii="Times New Roman" w:hAnsi="Times New Roman"/>
          <w:b/>
          <w:sz w:val="18"/>
          <w:szCs w:val="18"/>
        </w:rPr>
        <w:tab/>
      </w:r>
    </w:p>
    <w:p w:rsidR="00FD610C" w:rsidRDefault="00FD610C" w:rsidP="00FD610C">
      <w:pPr>
        <w:autoSpaceDE w:val="0"/>
        <w:autoSpaceDN w:val="0"/>
        <w:adjustRightInd w:val="0"/>
        <w:spacing w:before="240" w:after="0" w:line="360" w:lineRule="auto"/>
        <w:ind w:firstLine="708"/>
        <w:jc w:val="both"/>
        <w:rPr>
          <w:rFonts w:ascii="Times New Roman" w:hAnsi="Times New Roman"/>
          <w:sz w:val="24"/>
          <w:szCs w:val="24"/>
        </w:rPr>
      </w:pPr>
      <w:r>
        <w:rPr>
          <w:rFonts w:ascii="Times New Roman" w:hAnsi="Times New Roman"/>
          <w:sz w:val="24"/>
          <w:szCs w:val="24"/>
        </w:rPr>
        <w:t>Das empresas acima arroladas no Quadro 2.2</w:t>
      </w:r>
      <w:r w:rsidR="00A4005E">
        <w:rPr>
          <w:rFonts w:ascii="Times New Roman" w:hAnsi="Times New Roman"/>
          <w:sz w:val="24"/>
          <w:szCs w:val="24"/>
        </w:rPr>
        <w:t>2</w:t>
      </w:r>
      <w:r>
        <w:rPr>
          <w:rFonts w:ascii="Times New Roman" w:hAnsi="Times New Roman"/>
          <w:sz w:val="24"/>
          <w:szCs w:val="24"/>
        </w:rPr>
        <w:t>, difícil é saber qua</w:t>
      </w:r>
      <w:r w:rsidR="002F7E94">
        <w:rPr>
          <w:rFonts w:ascii="Times New Roman" w:hAnsi="Times New Roman"/>
          <w:sz w:val="24"/>
          <w:szCs w:val="24"/>
        </w:rPr>
        <w:t>is</w:t>
      </w:r>
      <w:r>
        <w:rPr>
          <w:rFonts w:ascii="Times New Roman" w:hAnsi="Times New Roman"/>
          <w:sz w:val="24"/>
          <w:szCs w:val="24"/>
        </w:rPr>
        <w:t xml:space="preserve"> delas não receberam, durante os governos Lula da Silva, recursos do BNDES. Vale, Gerdau e Odebrecht, as mais internacionalizadas não financeiras presentes no CDES figuravam dentre as que mais receberam recursos do Banco, segundo dados apresentados por Almeida</w:t>
      </w:r>
      <w:r>
        <w:rPr>
          <w:rStyle w:val="Refdenotaderodap"/>
          <w:rFonts w:ascii="Times New Roman" w:hAnsi="Times New Roman"/>
          <w:sz w:val="24"/>
          <w:szCs w:val="24"/>
        </w:rPr>
        <w:footnoteReference w:id="348"/>
      </w:r>
      <w:r>
        <w:rPr>
          <w:rFonts w:ascii="Times New Roman" w:hAnsi="Times New Roman"/>
          <w:sz w:val="24"/>
          <w:szCs w:val="24"/>
        </w:rPr>
        <w:t>, Nóvoa</w:t>
      </w:r>
      <w:r>
        <w:rPr>
          <w:rStyle w:val="Refdenotaderodap"/>
          <w:rFonts w:ascii="Times New Roman" w:hAnsi="Times New Roman"/>
          <w:sz w:val="24"/>
          <w:szCs w:val="24"/>
        </w:rPr>
        <w:footnoteReference w:id="349"/>
      </w:r>
      <w:r>
        <w:rPr>
          <w:rFonts w:ascii="Times New Roman" w:hAnsi="Times New Roman"/>
          <w:sz w:val="24"/>
          <w:szCs w:val="24"/>
        </w:rPr>
        <w:t xml:space="preserve"> e pesquisa </w:t>
      </w:r>
      <w:r w:rsidR="00651886">
        <w:rPr>
          <w:rFonts w:ascii="Times New Roman" w:hAnsi="Times New Roman"/>
          <w:sz w:val="24"/>
          <w:szCs w:val="24"/>
        </w:rPr>
        <w:t>própria</w:t>
      </w:r>
      <w:r>
        <w:rPr>
          <w:rFonts w:ascii="Times New Roman" w:hAnsi="Times New Roman"/>
          <w:sz w:val="24"/>
          <w:szCs w:val="24"/>
        </w:rPr>
        <w:t>:</w:t>
      </w:r>
    </w:p>
    <w:p w:rsidR="00FD610C" w:rsidRPr="00854842" w:rsidRDefault="00FD610C" w:rsidP="00FD610C">
      <w:pPr>
        <w:autoSpaceDE w:val="0"/>
        <w:autoSpaceDN w:val="0"/>
        <w:adjustRightInd w:val="0"/>
        <w:spacing w:before="240"/>
        <w:ind w:firstLine="708"/>
        <w:jc w:val="center"/>
        <w:rPr>
          <w:rFonts w:ascii="Times New Roman" w:hAnsi="Times New Roman"/>
          <w:b/>
          <w:sz w:val="24"/>
          <w:szCs w:val="24"/>
        </w:rPr>
      </w:pPr>
      <w:r w:rsidRPr="00854842">
        <w:rPr>
          <w:rFonts w:ascii="Times New Roman" w:hAnsi="Times New Roman"/>
          <w:b/>
          <w:sz w:val="24"/>
          <w:szCs w:val="24"/>
        </w:rPr>
        <w:t xml:space="preserve">Quadro </w:t>
      </w:r>
      <w:r>
        <w:rPr>
          <w:rFonts w:ascii="Times New Roman" w:hAnsi="Times New Roman"/>
          <w:b/>
          <w:sz w:val="24"/>
          <w:szCs w:val="24"/>
        </w:rPr>
        <w:t>2.2</w:t>
      </w:r>
      <w:r w:rsidR="00DF7F93">
        <w:rPr>
          <w:rFonts w:ascii="Times New Roman" w:hAnsi="Times New Roman"/>
          <w:b/>
          <w:sz w:val="24"/>
          <w:szCs w:val="24"/>
        </w:rPr>
        <w:t>3</w:t>
      </w:r>
      <w:r w:rsidRPr="00854842">
        <w:rPr>
          <w:rFonts w:ascii="Times New Roman" w:hAnsi="Times New Roman"/>
          <w:b/>
          <w:sz w:val="24"/>
          <w:szCs w:val="24"/>
        </w:rPr>
        <w:t>– As conexões d</w:t>
      </w:r>
      <w:r>
        <w:rPr>
          <w:rFonts w:ascii="Times New Roman" w:hAnsi="Times New Roman"/>
          <w:b/>
          <w:sz w:val="24"/>
          <w:szCs w:val="24"/>
        </w:rPr>
        <w:t>e</w:t>
      </w:r>
      <w:r w:rsidRPr="00854842">
        <w:rPr>
          <w:rFonts w:ascii="Times New Roman" w:hAnsi="Times New Roman"/>
          <w:b/>
          <w:sz w:val="24"/>
          <w:szCs w:val="24"/>
        </w:rPr>
        <w:t xml:space="preserve"> Firmas e Grupos transnacionalizados brasileiros com o governo e o recebimento de recursos do BNDES</w:t>
      </w:r>
    </w:p>
    <w:tbl>
      <w:tblPr>
        <w:tblW w:w="4976" w:type="pct"/>
        <w:tblInd w:w="-3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266"/>
        <w:gridCol w:w="3168"/>
        <w:gridCol w:w="3808"/>
      </w:tblGrid>
      <w:tr w:rsidR="00FD610C" w:rsidRPr="008211FD" w:rsidTr="008211FD">
        <w:tc>
          <w:tcPr>
            <w:tcW w:w="1226" w:type="pct"/>
            <w:tcBorders>
              <w:top w:val="single" w:sz="8" w:space="0" w:color="4F81BD"/>
              <w:left w:val="single" w:sz="8" w:space="0" w:color="4F81BD"/>
              <w:bottom w:val="single" w:sz="18" w:space="0" w:color="4F81BD"/>
              <w:right w:val="single" w:sz="8" w:space="0" w:color="4F81BD"/>
            </w:tcBorders>
          </w:tcPr>
          <w:p w:rsidR="00FD610C" w:rsidRPr="008211FD" w:rsidRDefault="00FD610C"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Firmas e Grupos</w:t>
            </w:r>
          </w:p>
        </w:tc>
        <w:tc>
          <w:tcPr>
            <w:tcW w:w="1714" w:type="pct"/>
            <w:tcBorders>
              <w:top w:val="single" w:sz="8" w:space="0" w:color="4F81BD"/>
              <w:left w:val="single" w:sz="8" w:space="0" w:color="4F81BD"/>
              <w:bottom w:val="single" w:sz="18" w:space="0" w:color="4F81BD"/>
              <w:right w:val="single" w:sz="8" w:space="0" w:color="4F81BD"/>
            </w:tcBorders>
          </w:tcPr>
          <w:p w:rsidR="00FD610C" w:rsidRPr="008211FD" w:rsidRDefault="00FD610C" w:rsidP="008211FD">
            <w:pPr>
              <w:spacing w:after="0" w:line="240" w:lineRule="auto"/>
              <w:jc w:val="both"/>
              <w:rPr>
                <w:rFonts w:ascii="Times New Roman" w:eastAsia="Times New Roman" w:hAnsi="Times New Roman"/>
                <w:b/>
                <w:bCs/>
                <w:sz w:val="20"/>
                <w:szCs w:val="20"/>
              </w:rPr>
            </w:pPr>
            <w:r w:rsidRPr="008211FD">
              <w:rPr>
                <w:rFonts w:ascii="Times New Roman" w:eastAsia="Times New Roman" w:hAnsi="Times New Roman"/>
                <w:b/>
                <w:bCs/>
                <w:sz w:val="20"/>
                <w:szCs w:val="20"/>
              </w:rPr>
              <w:t>Relações com o governo</w:t>
            </w:r>
          </w:p>
        </w:tc>
        <w:tc>
          <w:tcPr>
            <w:tcW w:w="2060" w:type="pct"/>
            <w:tcBorders>
              <w:top w:val="single" w:sz="8" w:space="0" w:color="4F81BD"/>
              <w:left w:val="single" w:sz="8" w:space="0" w:color="4F81BD"/>
              <w:bottom w:val="single" w:sz="18" w:space="0" w:color="4F81BD"/>
              <w:right w:val="single" w:sz="8" w:space="0" w:color="4F81BD"/>
            </w:tcBorders>
          </w:tcPr>
          <w:p w:rsidR="00FD610C" w:rsidRPr="008211FD" w:rsidRDefault="00FD610C"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Empréstimos do BNDES para empresas do mesmo grupo</w:t>
            </w:r>
          </w:p>
        </w:tc>
      </w:tr>
      <w:tr w:rsidR="00FD610C" w:rsidRPr="008211FD" w:rsidTr="008211FD">
        <w:tc>
          <w:tcPr>
            <w:tcW w:w="122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Vale</w:t>
            </w:r>
          </w:p>
        </w:tc>
        <w:tc>
          <w:tcPr>
            <w:tcW w:w="171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DecimalAligned"/>
              <w:tabs>
                <w:tab w:val="clear" w:pos="360"/>
                <w:tab w:val="decimal" w:pos="0"/>
              </w:tabs>
              <w:spacing w:after="0" w:line="240" w:lineRule="auto"/>
              <w:rPr>
                <w:rFonts w:ascii="Times New Roman" w:hAnsi="Times New Roman"/>
                <w:sz w:val="20"/>
                <w:szCs w:val="20"/>
              </w:rPr>
            </w:pPr>
            <w:r w:rsidRPr="008211FD">
              <w:rPr>
                <w:rFonts w:ascii="Times New Roman" w:hAnsi="Times New Roman"/>
                <w:sz w:val="20"/>
                <w:szCs w:val="20"/>
              </w:rPr>
              <w:t>Participação direta do BNDESPar em 4,08% do capital</w:t>
            </w:r>
          </w:p>
        </w:tc>
        <w:tc>
          <w:tcPr>
            <w:tcW w:w="20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DecimalAligned"/>
              <w:tabs>
                <w:tab w:val="clear" w:pos="360"/>
                <w:tab w:val="decimal" w:pos="0"/>
              </w:tabs>
              <w:spacing w:after="0" w:line="240" w:lineRule="auto"/>
              <w:rPr>
                <w:rFonts w:ascii="Times New Roman" w:hAnsi="Times New Roman"/>
                <w:sz w:val="20"/>
                <w:szCs w:val="20"/>
              </w:rPr>
            </w:pPr>
            <w:r w:rsidRPr="008211FD">
              <w:rPr>
                <w:rFonts w:ascii="Times New Roman" w:hAnsi="Times New Roman"/>
                <w:sz w:val="20"/>
                <w:szCs w:val="20"/>
              </w:rPr>
              <w:t>R$ 774,6 milhões (2007); R$ 7,3 bilhões (2008); R$ 93 milhões (2009)</w:t>
            </w:r>
          </w:p>
        </w:tc>
      </w:tr>
      <w:tr w:rsidR="00FD610C" w:rsidRPr="008211FD" w:rsidTr="008211FD">
        <w:tc>
          <w:tcPr>
            <w:tcW w:w="122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rPr>
                <w:b/>
                <w:bCs/>
                <w:sz w:val="20"/>
                <w:szCs w:val="20"/>
              </w:rPr>
            </w:pPr>
            <w:r w:rsidRPr="008211FD">
              <w:rPr>
                <w:b/>
                <w:bCs/>
                <w:sz w:val="20"/>
                <w:szCs w:val="20"/>
              </w:rPr>
              <w:t>Gerdau</w:t>
            </w:r>
          </w:p>
        </w:tc>
        <w:tc>
          <w:tcPr>
            <w:tcW w:w="1714"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rPr>
                <w:color w:val="000000"/>
                <w:sz w:val="20"/>
                <w:szCs w:val="20"/>
              </w:rPr>
            </w:pPr>
            <w:r w:rsidRPr="008211FD">
              <w:rPr>
                <w:color w:val="000000"/>
                <w:sz w:val="20"/>
                <w:szCs w:val="20"/>
              </w:rPr>
              <w:t>Participação direta do BNDESPar em 3,5% do capital</w:t>
            </w:r>
          </w:p>
        </w:tc>
        <w:tc>
          <w:tcPr>
            <w:tcW w:w="20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before="0" w:beforeAutospacing="0" w:after="0" w:afterAutospacing="0"/>
              <w:rPr>
                <w:color w:val="000000"/>
                <w:sz w:val="20"/>
                <w:szCs w:val="20"/>
              </w:rPr>
            </w:pPr>
            <w:r w:rsidRPr="008211FD">
              <w:rPr>
                <w:color w:val="000000"/>
                <w:sz w:val="20"/>
                <w:szCs w:val="20"/>
              </w:rPr>
              <w:t>R$ 174,6 milhões (2004); R$ 26,6 milhões (2004); R$ 900 milhões (2005); R$ 345,4 milhões (2006); R$ 1,5 bilhão (2009)</w:t>
            </w:r>
          </w:p>
        </w:tc>
      </w:tr>
      <w:tr w:rsidR="00FD610C" w:rsidRPr="008211FD" w:rsidTr="008211FD">
        <w:tc>
          <w:tcPr>
            <w:tcW w:w="122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 xml:space="preserve">Construtora Odebrecht </w:t>
            </w:r>
          </w:p>
        </w:tc>
        <w:tc>
          <w:tcPr>
            <w:tcW w:w="171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after="0" w:afterAutospacing="0"/>
              <w:rPr>
                <w:sz w:val="20"/>
                <w:szCs w:val="20"/>
              </w:rPr>
            </w:pPr>
            <w:r w:rsidRPr="008211FD">
              <w:rPr>
                <w:sz w:val="20"/>
                <w:szCs w:val="20"/>
              </w:rPr>
              <w:t>Sócio da Petrobrás na Braskem, que tem participação direta da BNDESPar</w:t>
            </w:r>
          </w:p>
        </w:tc>
        <w:tc>
          <w:tcPr>
            <w:tcW w:w="20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pleft"/>
              <w:spacing w:after="0" w:afterAutospacing="0"/>
              <w:rPr>
                <w:color w:val="000000"/>
                <w:sz w:val="20"/>
                <w:szCs w:val="20"/>
              </w:rPr>
            </w:pPr>
            <w:r w:rsidRPr="008211FD">
              <w:rPr>
                <w:color w:val="000000"/>
                <w:sz w:val="20"/>
                <w:szCs w:val="20"/>
              </w:rPr>
              <w:t>Rio Claro Agroindustrial (R$ 419 milhões, em 2008); Agro Energia Santa Luzia S.A (R$ 377 milhões em 2008); Usina Conquista do Pontal (R$ 355,5 milhões em 2009).</w:t>
            </w:r>
          </w:p>
        </w:tc>
      </w:tr>
      <w:tr w:rsidR="00FD610C" w:rsidRPr="008211FD" w:rsidTr="008211FD">
        <w:tc>
          <w:tcPr>
            <w:tcW w:w="122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Braskem S.A (Grupo Odebrecht)</w:t>
            </w:r>
          </w:p>
        </w:tc>
        <w:tc>
          <w:tcPr>
            <w:tcW w:w="1714"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0" w:line="240" w:lineRule="auto"/>
              <w:rPr>
                <w:rFonts w:ascii="Times New Roman" w:hAnsi="Times New Roman"/>
                <w:color w:val="000000"/>
                <w:sz w:val="20"/>
                <w:szCs w:val="20"/>
              </w:rPr>
            </w:pPr>
            <w:r w:rsidRPr="008211FD">
              <w:rPr>
                <w:rFonts w:ascii="Times New Roman" w:hAnsi="Times New Roman"/>
                <w:color w:val="000000"/>
                <w:sz w:val="20"/>
                <w:szCs w:val="20"/>
              </w:rPr>
              <w:t>Participação direta do BNDESPar em 5,22% do capital</w:t>
            </w:r>
          </w:p>
        </w:tc>
        <w:tc>
          <w:tcPr>
            <w:tcW w:w="20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0" w:line="240" w:lineRule="auto"/>
              <w:rPr>
                <w:rFonts w:ascii="Times New Roman" w:hAnsi="Times New Roman"/>
                <w:color w:val="000000"/>
                <w:sz w:val="20"/>
                <w:szCs w:val="20"/>
              </w:rPr>
            </w:pPr>
            <w:r w:rsidRPr="008211FD">
              <w:rPr>
                <w:rFonts w:ascii="Times New Roman" w:hAnsi="Times New Roman"/>
                <w:color w:val="000000"/>
                <w:sz w:val="20"/>
                <w:szCs w:val="20"/>
              </w:rPr>
              <w:t>R$ 384,6 milhões (2005); R$ 555 milhões (2009)</w:t>
            </w:r>
          </w:p>
        </w:tc>
      </w:tr>
      <w:tr w:rsidR="00FD610C" w:rsidRPr="008211FD" w:rsidTr="008211FD">
        <w:tc>
          <w:tcPr>
            <w:tcW w:w="122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rPr>
                <w:b/>
                <w:bCs/>
                <w:sz w:val="20"/>
                <w:szCs w:val="20"/>
              </w:rPr>
            </w:pPr>
            <w:r w:rsidRPr="008211FD">
              <w:rPr>
                <w:b/>
                <w:bCs/>
                <w:sz w:val="20"/>
                <w:szCs w:val="20"/>
              </w:rPr>
              <w:t>Itaú-Unibanco</w:t>
            </w:r>
          </w:p>
        </w:tc>
        <w:tc>
          <w:tcPr>
            <w:tcW w:w="171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Default"/>
              <w:jc w:val="center"/>
              <w:rPr>
                <w:sz w:val="20"/>
                <w:szCs w:val="20"/>
              </w:rPr>
            </w:pPr>
            <w:r w:rsidRPr="008211FD">
              <w:rPr>
                <w:sz w:val="20"/>
                <w:szCs w:val="20"/>
              </w:rPr>
              <w:t>-----</w:t>
            </w:r>
          </w:p>
        </w:tc>
        <w:tc>
          <w:tcPr>
            <w:tcW w:w="20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CE3680">
            <w:pPr>
              <w:pStyle w:val="Default"/>
              <w:rPr>
                <w:sz w:val="20"/>
                <w:szCs w:val="20"/>
              </w:rPr>
            </w:pPr>
            <w:r w:rsidRPr="008211FD">
              <w:rPr>
                <w:sz w:val="20"/>
                <w:szCs w:val="20"/>
              </w:rPr>
              <w:t>R$ 196,1 milhões (2008)</w:t>
            </w:r>
          </w:p>
        </w:tc>
      </w:tr>
      <w:tr w:rsidR="00FD610C" w:rsidRPr="008211FD" w:rsidTr="008211FD">
        <w:tc>
          <w:tcPr>
            <w:tcW w:w="122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rPr>
                <w:b/>
                <w:bCs/>
                <w:sz w:val="20"/>
                <w:szCs w:val="20"/>
              </w:rPr>
            </w:pPr>
            <w:r w:rsidRPr="008211FD">
              <w:rPr>
                <w:b/>
                <w:bCs/>
                <w:sz w:val="20"/>
                <w:szCs w:val="20"/>
              </w:rPr>
              <w:t>Grupo CSN-Vicunha</w:t>
            </w:r>
          </w:p>
        </w:tc>
        <w:tc>
          <w:tcPr>
            <w:tcW w:w="1714"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0" w:line="240" w:lineRule="auto"/>
              <w:rPr>
                <w:rFonts w:ascii="Times New Roman" w:hAnsi="Times New Roman"/>
                <w:color w:val="000000"/>
                <w:sz w:val="20"/>
                <w:szCs w:val="20"/>
              </w:rPr>
            </w:pPr>
            <w:r w:rsidRPr="008211FD">
              <w:rPr>
                <w:rFonts w:ascii="Times New Roman" w:hAnsi="Times New Roman"/>
                <w:color w:val="000000"/>
                <w:sz w:val="20"/>
                <w:szCs w:val="20"/>
              </w:rPr>
              <w:t>Participação direta do BNDESPar em 3,64% do capital</w:t>
            </w:r>
          </w:p>
        </w:tc>
        <w:tc>
          <w:tcPr>
            <w:tcW w:w="20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0" w:line="240" w:lineRule="auto"/>
              <w:rPr>
                <w:rFonts w:ascii="Times New Roman" w:hAnsi="Times New Roman"/>
                <w:color w:val="000000"/>
                <w:sz w:val="20"/>
                <w:szCs w:val="20"/>
              </w:rPr>
            </w:pPr>
            <w:r w:rsidRPr="008211FD">
              <w:rPr>
                <w:rFonts w:ascii="Times New Roman" w:hAnsi="Times New Roman"/>
                <w:color w:val="000000"/>
                <w:sz w:val="20"/>
                <w:szCs w:val="20"/>
              </w:rPr>
              <w:t>R$ 332,8 milhões (2005); R$ 500 milhões (2006); R$ 558 milhões (2009).</w:t>
            </w:r>
          </w:p>
        </w:tc>
      </w:tr>
      <w:tr w:rsidR="00FD610C" w:rsidRPr="008211FD" w:rsidTr="008211FD">
        <w:tc>
          <w:tcPr>
            <w:tcW w:w="122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rPr>
                <w:b/>
                <w:bCs/>
                <w:sz w:val="20"/>
                <w:szCs w:val="20"/>
              </w:rPr>
            </w:pPr>
            <w:r w:rsidRPr="008211FD">
              <w:rPr>
                <w:b/>
                <w:bCs/>
                <w:sz w:val="20"/>
                <w:szCs w:val="20"/>
              </w:rPr>
              <w:t>Usiminas</w:t>
            </w:r>
          </w:p>
        </w:tc>
        <w:tc>
          <w:tcPr>
            <w:tcW w:w="171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100" w:afterAutospacing="1" w:line="240" w:lineRule="auto"/>
              <w:rPr>
                <w:rFonts w:ascii="Times New Roman" w:hAnsi="Times New Roman"/>
                <w:color w:val="000000"/>
                <w:sz w:val="20"/>
                <w:szCs w:val="20"/>
              </w:rPr>
            </w:pPr>
            <w:r w:rsidRPr="008211FD">
              <w:rPr>
                <w:rFonts w:ascii="Times New Roman" w:hAnsi="Times New Roman"/>
                <w:color w:val="000000"/>
                <w:sz w:val="20"/>
                <w:szCs w:val="20"/>
              </w:rPr>
              <w:t>A Previ tem 10,4% do capital, o grupo Votorantim, 13%, e o grupo Camargo Corrêa, 13%</w:t>
            </w:r>
          </w:p>
        </w:tc>
        <w:tc>
          <w:tcPr>
            <w:tcW w:w="20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100" w:afterAutospacing="1" w:line="240" w:lineRule="auto"/>
              <w:rPr>
                <w:rFonts w:ascii="Times New Roman" w:hAnsi="Times New Roman"/>
                <w:color w:val="000000"/>
                <w:sz w:val="20"/>
                <w:szCs w:val="20"/>
              </w:rPr>
            </w:pPr>
            <w:r w:rsidRPr="008211FD">
              <w:rPr>
                <w:rFonts w:ascii="Times New Roman" w:hAnsi="Times New Roman"/>
                <w:color w:val="000000"/>
                <w:sz w:val="20"/>
                <w:szCs w:val="20"/>
              </w:rPr>
              <w:t xml:space="preserve">R$ 900 milhões (2006); R$ 493 milhões (2008); R$ 602 milhões (2009) </w:t>
            </w:r>
          </w:p>
        </w:tc>
      </w:tr>
      <w:tr w:rsidR="00FD610C" w:rsidRPr="008211FD" w:rsidTr="008211FD">
        <w:tc>
          <w:tcPr>
            <w:tcW w:w="122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Embraer</w:t>
            </w:r>
          </w:p>
        </w:tc>
        <w:tc>
          <w:tcPr>
            <w:tcW w:w="1714"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after="0" w:afterAutospacing="0"/>
              <w:rPr>
                <w:sz w:val="20"/>
                <w:szCs w:val="20"/>
              </w:rPr>
            </w:pPr>
            <w:r w:rsidRPr="008211FD">
              <w:rPr>
                <w:sz w:val="20"/>
                <w:szCs w:val="20"/>
              </w:rPr>
              <w:t>Participação direta do BNDESPar em 5,05% do capital, da Previ em 14,1% e da União em 0,3%.</w:t>
            </w:r>
          </w:p>
        </w:tc>
        <w:tc>
          <w:tcPr>
            <w:tcW w:w="20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pleft"/>
              <w:spacing w:after="0" w:afterAutospacing="0"/>
              <w:rPr>
                <w:color w:val="000000"/>
                <w:sz w:val="20"/>
                <w:szCs w:val="20"/>
              </w:rPr>
            </w:pPr>
            <w:r w:rsidRPr="008211FD">
              <w:rPr>
                <w:color w:val="000000"/>
                <w:sz w:val="20"/>
                <w:szCs w:val="20"/>
              </w:rPr>
              <w:t>US$ 770 milhões (2003); US$ 220,8 milhões (2004)</w:t>
            </w:r>
          </w:p>
        </w:tc>
      </w:tr>
      <w:tr w:rsidR="00FD610C" w:rsidRPr="008211FD" w:rsidTr="008211FD">
        <w:tc>
          <w:tcPr>
            <w:tcW w:w="122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Suzano Papel e Celulose</w:t>
            </w:r>
          </w:p>
        </w:tc>
        <w:tc>
          <w:tcPr>
            <w:tcW w:w="171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rPr>
                <w:rFonts w:ascii="Times New Roman" w:hAnsi="Times New Roman"/>
                <w:color w:val="000000"/>
                <w:sz w:val="20"/>
                <w:szCs w:val="20"/>
              </w:rPr>
            </w:pPr>
            <w:r w:rsidRPr="008211FD">
              <w:rPr>
                <w:rFonts w:ascii="Times New Roman" w:hAnsi="Times New Roman"/>
                <w:color w:val="000000"/>
                <w:sz w:val="20"/>
                <w:szCs w:val="20"/>
              </w:rPr>
              <w:t>O Grupo Suzano é sócio da Petrobrás na Rio Polímeros</w:t>
            </w:r>
          </w:p>
        </w:tc>
        <w:tc>
          <w:tcPr>
            <w:tcW w:w="20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rPr>
                <w:rFonts w:ascii="Times New Roman" w:hAnsi="Times New Roman"/>
                <w:color w:val="000000"/>
                <w:sz w:val="20"/>
                <w:szCs w:val="20"/>
              </w:rPr>
            </w:pPr>
            <w:r w:rsidRPr="008211FD">
              <w:rPr>
                <w:rFonts w:ascii="Times New Roman" w:hAnsi="Times New Roman"/>
                <w:color w:val="000000"/>
                <w:sz w:val="20"/>
                <w:szCs w:val="20"/>
              </w:rPr>
              <w:t>R$ 184,7 milhões (2005); R$ 2,4 bilhões (2006)</w:t>
            </w:r>
          </w:p>
        </w:tc>
      </w:tr>
      <w:tr w:rsidR="00FD610C" w:rsidRPr="008211FD" w:rsidTr="008211FD">
        <w:tc>
          <w:tcPr>
            <w:tcW w:w="122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rPr>
                <w:b/>
                <w:bCs/>
                <w:sz w:val="20"/>
                <w:szCs w:val="20"/>
              </w:rPr>
            </w:pPr>
            <w:r w:rsidRPr="008211FD">
              <w:rPr>
                <w:b/>
                <w:bCs/>
                <w:sz w:val="20"/>
                <w:szCs w:val="20"/>
              </w:rPr>
              <w:t>Grupo Alusa</w:t>
            </w:r>
          </w:p>
        </w:tc>
        <w:tc>
          <w:tcPr>
            <w:tcW w:w="1714"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Default"/>
              <w:jc w:val="center"/>
              <w:rPr>
                <w:sz w:val="20"/>
                <w:szCs w:val="20"/>
              </w:rPr>
            </w:pPr>
            <w:r w:rsidRPr="008211FD">
              <w:rPr>
                <w:sz w:val="20"/>
                <w:szCs w:val="20"/>
              </w:rPr>
              <w:t>------</w:t>
            </w:r>
          </w:p>
        </w:tc>
        <w:tc>
          <w:tcPr>
            <w:tcW w:w="2060" w:type="pct"/>
            <w:tcBorders>
              <w:top w:val="single" w:sz="8" w:space="0" w:color="4F81BD"/>
              <w:left w:val="single" w:sz="8" w:space="0" w:color="4F81BD"/>
              <w:bottom w:val="single" w:sz="8" w:space="0" w:color="4F81BD"/>
              <w:right w:val="single" w:sz="8" w:space="0" w:color="4F81BD"/>
            </w:tcBorders>
          </w:tcPr>
          <w:p w:rsidR="00FD610C" w:rsidRPr="008211FD" w:rsidRDefault="00FD610C" w:rsidP="00CE3680">
            <w:pPr>
              <w:pStyle w:val="Default"/>
              <w:rPr>
                <w:sz w:val="20"/>
                <w:szCs w:val="20"/>
              </w:rPr>
            </w:pPr>
            <w:r w:rsidRPr="008211FD">
              <w:rPr>
                <w:sz w:val="20"/>
                <w:szCs w:val="20"/>
              </w:rPr>
              <w:t>R$ 225,8 milhões (2008)</w:t>
            </w:r>
          </w:p>
        </w:tc>
      </w:tr>
      <w:tr w:rsidR="00FD610C" w:rsidRPr="008211FD" w:rsidTr="008211FD">
        <w:tc>
          <w:tcPr>
            <w:tcW w:w="122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rPr>
                <w:b/>
                <w:bCs/>
                <w:sz w:val="20"/>
                <w:szCs w:val="20"/>
              </w:rPr>
            </w:pPr>
            <w:r w:rsidRPr="008211FD">
              <w:rPr>
                <w:b/>
                <w:bCs/>
                <w:sz w:val="20"/>
                <w:szCs w:val="20"/>
              </w:rPr>
              <w:t>CBMM</w:t>
            </w:r>
          </w:p>
        </w:tc>
        <w:tc>
          <w:tcPr>
            <w:tcW w:w="171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jc w:val="center"/>
              <w:rPr>
                <w:rFonts w:ascii="Times New Roman" w:hAnsi="Times New Roman"/>
                <w:color w:val="000000"/>
                <w:sz w:val="20"/>
                <w:szCs w:val="20"/>
              </w:rPr>
            </w:pPr>
            <w:r w:rsidRPr="008211FD">
              <w:rPr>
                <w:rFonts w:ascii="Times New Roman" w:hAnsi="Times New Roman"/>
                <w:color w:val="000000"/>
                <w:sz w:val="20"/>
                <w:szCs w:val="20"/>
              </w:rPr>
              <w:t>------</w:t>
            </w:r>
          </w:p>
        </w:tc>
        <w:tc>
          <w:tcPr>
            <w:tcW w:w="20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rPr>
                <w:rFonts w:ascii="Times New Roman" w:hAnsi="Times New Roman"/>
                <w:color w:val="000000"/>
                <w:sz w:val="20"/>
                <w:szCs w:val="20"/>
              </w:rPr>
            </w:pPr>
            <w:r w:rsidRPr="008211FD">
              <w:rPr>
                <w:rFonts w:ascii="Times New Roman" w:hAnsi="Times New Roman"/>
                <w:color w:val="000000"/>
                <w:sz w:val="20"/>
                <w:szCs w:val="20"/>
              </w:rPr>
              <w:t>R$ 130,0 milhões (2007)</w:t>
            </w:r>
            <w:r w:rsidRPr="008211FD">
              <w:rPr>
                <w:rStyle w:val="Refdenotaderodap"/>
                <w:rFonts w:ascii="Times New Roman" w:hAnsi="Times New Roman"/>
                <w:color w:val="000000"/>
                <w:sz w:val="20"/>
                <w:szCs w:val="20"/>
              </w:rPr>
              <w:footnoteReference w:id="350"/>
            </w:r>
          </w:p>
        </w:tc>
      </w:tr>
      <w:tr w:rsidR="00FD610C" w:rsidRPr="008211FD" w:rsidTr="008211FD">
        <w:tc>
          <w:tcPr>
            <w:tcW w:w="122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rPr>
                <w:b/>
                <w:bCs/>
                <w:sz w:val="20"/>
                <w:szCs w:val="20"/>
              </w:rPr>
            </w:pPr>
            <w:r w:rsidRPr="008211FD">
              <w:rPr>
                <w:b/>
                <w:bCs/>
                <w:sz w:val="20"/>
                <w:szCs w:val="20"/>
              </w:rPr>
              <w:t>DHB</w:t>
            </w:r>
          </w:p>
        </w:tc>
        <w:tc>
          <w:tcPr>
            <w:tcW w:w="1714"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100" w:afterAutospacing="1" w:line="240" w:lineRule="auto"/>
              <w:rPr>
                <w:rFonts w:ascii="Times New Roman" w:hAnsi="Times New Roman"/>
                <w:color w:val="000000"/>
                <w:sz w:val="20"/>
                <w:szCs w:val="20"/>
              </w:rPr>
            </w:pPr>
            <w:r w:rsidRPr="008211FD">
              <w:rPr>
                <w:rFonts w:ascii="Times New Roman" w:hAnsi="Times New Roman"/>
                <w:color w:val="000000"/>
                <w:sz w:val="20"/>
                <w:szCs w:val="20"/>
              </w:rPr>
              <w:t>BNDESPar adquiriu participação acionária em 2010.</w:t>
            </w:r>
            <w:r w:rsidRPr="008211FD">
              <w:rPr>
                <w:rStyle w:val="Refdenotaderodap"/>
                <w:rFonts w:ascii="Times New Roman" w:hAnsi="Times New Roman"/>
                <w:color w:val="000000"/>
                <w:sz w:val="20"/>
                <w:szCs w:val="20"/>
              </w:rPr>
              <w:footnoteReference w:id="351"/>
            </w:r>
          </w:p>
        </w:tc>
        <w:tc>
          <w:tcPr>
            <w:tcW w:w="20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100" w:afterAutospacing="1" w:line="240" w:lineRule="auto"/>
              <w:rPr>
                <w:rFonts w:ascii="Times New Roman" w:hAnsi="Times New Roman"/>
                <w:color w:val="000000"/>
                <w:sz w:val="20"/>
                <w:szCs w:val="20"/>
              </w:rPr>
            </w:pPr>
            <w:r w:rsidRPr="008211FD">
              <w:rPr>
                <w:rFonts w:ascii="Times New Roman" w:hAnsi="Times New Roman"/>
                <w:color w:val="000000"/>
                <w:sz w:val="20"/>
                <w:szCs w:val="20"/>
              </w:rPr>
              <w:t>Sem informações disponíveis.</w:t>
            </w:r>
          </w:p>
        </w:tc>
      </w:tr>
      <w:tr w:rsidR="00FD610C" w:rsidRPr="008211FD" w:rsidTr="008211FD">
        <w:tc>
          <w:tcPr>
            <w:tcW w:w="122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rPr>
                <w:b/>
                <w:bCs/>
                <w:sz w:val="20"/>
                <w:szCs w:val="20"/>
              </w:rPr>
            </w:pPr>
            <w:r w:rsidRPr="008211FD">
              <w:rPr>
                <w:b/>
                <w:bCs/>
                <w:sz w:val="20"/>
                <w:szCs w:val="20"/>
              </w:rPr>
              <w:t>Gradiente</w:t>
            </w:r>
          </w:p>
        </w:tc>
        <w:tc>
          <w:tcPr>
            <w:tcW w:w="171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rPr>
                <w:rFonts w:ascii="Times New Roman" w:hAnsi="Times New Roman"/>
                <w:color w:val="000000"/>
                <w:sz w:val="20"/>
                <w:szCs w:val="20"/>
              </w:rPr>
            </w:pPr>
            <w:r w:rsidRPr="008211FD">
              <w:rPr>
                <w:rFonts w:ascii="Times New Roman" w:hAnsi="Times New Roman"/>
                <w:color w:val="000000"/>
                <w:sz w:val="20"/>
                <w:szCs w:val="20"/>
              </w:rPr>
              <w:t>Investimentos de 68 milhões do Funcef, da Petros, da Agência de Fomento do Estado do Amazonas e da americana Jabil.</w:t>
            </w:r>
          </w:p>
        </w:tc>
        <w:tc>
          <w:tcPr>
            <w:tcW w:w="20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rPr>
                <w:rFonts w:ascii="Times New Roman" w:hAnsi="Times New Roman"/>
                <w:color w:val="000000"/>
                <w:sz w:val="20"/>
                <w:szCs w:val="20"/>
              </w:rPr>
            </w:pPr>
            <w:r w:rsidRPr="008211FD">
              <w:rPr>
                <w:rFonts w:ascii="Times New Roman" w:hAnsi="Times New Roman"/>
                <w:color w:val="000000"/>
                <w:sz w:val="20"/>
                <w:szCs w:val="20"/>
              </w:rPr>
              <w:t>R$ 100 milhões (2005)</w:t>
            </w:r>
          </w:p>
        </w:tc>
      </w:tr>
      <w:tr w:rsidR="00FD610C" w:rsidRPr="008211FD" w:rsidTr="008211FD">
        <w:tc>
          <w:tcPr>
            <w:tcW w:w="122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rPr>
                <w:b/>
                <w:bCs/>
                <w:sz w:val="20"/>
                <w:szCs w:val="20"/>
              </w:rPr>
            </w:pPr>
            <w:r w:rsidRPr="008211FD">
              <w:rPr>
                <w:b/>
                <w:bCs/>
                <w:sz w:val="20"/>
                <w:szCs w:val="20"/>
              </w:rPr>
              <w:t>Dixie-Toga</w:t>
            </w:r>
          </w:p>
        </w:tc>
        <w:tc>
          <w:tcPr>
            <w:tcW w:w="1714"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100" w:afterAutospacing="1" w:line="240" w:lineRule="auto"/>
              <w:jc w:val="center"/>
              <w:rPr>
                <w:rFonts w:ascii="Times New Roman" w:hAnsi="Times New Roman"/>
                <w:color w:val="000000"/>
                <w:sz w:val="20"/>
                <w:szCs w:val="20"/>
              </w:rPr>
            </w:pPr>
            <w:r w:rsidRPr="008211FD">
              <w:rPr>
                <w:rFonts w:ascii="Times New Roman" w:hAnsi="Times New Roman"/>
                <w:color w:val="000000"/>
                <w:sz w:val="20"/>
                <w:szCs w:val="20"/>
              </w:rPr>
              <w:t>-----</w:t>
            </w:r>
          </w:p>
        </w:tc>
        <w:tc>
          <w:tcPr>
            <w:tcW w:w="20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100" w:afterAutospacing="1" w:line="240" w:lineRule="auto"/>
              <w:rPr>
                <w:rFonts w:ascii="Times New Roman" w:hAnsi="Times New Roman"/>
                <w:color w:val="000000"/>
                <w:sz w:val="20"/>
                <w:szCs w:val="20"/>
              </w:rPr>
            </w:pPr>
            <w:r w:rsidRPr="008211FD">
              <w:rPr>
                <w:rFonts w:ascii="Times New Roman" w:hAnsi="Times New Roman"/>
                <w:color w:val="000000"/>
                <w:sz w:val="20"/>
                <w:szCs w:val="20"/>
              </w:rPr>
              <w:t>R$ 16,9 milhões (2004)</w:t>
            </w:r>
            <w:r w:rsidRPr="008211FD">
              <w:rPr>
                <w:rStyle w:val="Refdenotaderodap"/>
                <w:rFonts w:ascii="Times New Roman" w:hAnsi="Times New Roman"/>
                <w:color w:val="000000"/>
                <w:sz w:val="20"/>
                <w:szCs w:val="20"/>
              </w:rPr>
              <w:footnoteReference w:id="352"/>
            </w:r>
          </w:p>
        </w:tc>
      </w:tr>
      <w:tr w:rsidR="00FD610C" w:rsidRPr="008211FD" w:rsidTr="008211FD">
        <w:tc>
          <w:tcPr>
            <w:tcW w:w="1226"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pStyle w:val="NormalWeb"/>
              <w:spacing w:before="0" w:beforeAutospacing="0" w:after="0" w:afterAutospacing="0"/>
              <w:rPr>
                <w:b/>
                <w:bCs/>
                <w:sz w:val="20"/>
                <w:szCs w:val="20"/>
              </w:rPr>
            </w:pPr>
            <w:r w:rsidRPr="008211FD">
              <w:rPr>
                <w:b/>
                <w:bCs/>
                <w:sz w:val="20"/>
                <w:szCs w:val="20"/>
              </w:rPr>
              <w:t>Klabin</w:t>
            </w:r>
          </w:p>
        </w:tc>
        <w:tc>
          <w:tcPr>
            <w:tcW w:w="1714"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rPr>
                <w:rFonts w:ascii="Times New Roman" w:hAnsi="Times New Roman"/>
                <w:color w:val="000000"/>
                <w:sz w:val="20"/>
                <w:szCs w:val="20"/>
              </w:rPr>
            </w:pPr>
            <w:r w:rsidRPr="008211FD">
              <w:rPr>
                <w:rFonts w:ascii="Times New Roman" w:hAnsi="Times New Roman"/>
                <w:color w:val="000000"/>
                <w:sz w:val="20"/>
                <w:szCs w:val="20"/>
              </w:rPr>
              <w:t>Participação direta do BNDESPar em 20,25% do capital</w:t>
            </w:r>
          </w:p>
        </w:tc>
        <w:tc>
          <w:tcPr>
            <w:tcW w:w="2060" w:type="pct"/>
            <w:tcBorders>
              <w:top w:val="single" w:sz="8" w:space="0" w:color="4F81BD"/>
              <w:left w:val="single" w:sz="8" w:space="0" w:color="4F81BD"/>
              <w:bottom w:val="single" w:sz="8" w:space="0" w:color="4F81BD"/>
              <w:right w:val="single" w:sz="8" w:space="0" w:color="4F81BD"/>
            </w:tcBorders>
            <w:shd w:val="clear" w:color="auto" w:fill="D3DFEE"/>
          </w:tcPr>
          <w:p w:rsidR="00FD610C" w:rsidRPr="008211FD" w:rsidRDefault="00FD610C" w:rsidP="008211FD">
            <w:pPr>
              <w:spacing w:after="0" w:line="240" w:lineRule="auto"/>
              <w:rPr>
                <w:rFonts w:ascii="Times New Roman" w:hAnsi="Times New Roman"/>
                <w:color w:val="000000"/>
                <w:sz w:val="20"/>
                <w:szCs w:val="20"/>
              </w:rPr>
            </w:pPr>
            <w:r w:rsidRPr="008211FD">
              <w:rPr>
                <w:rFonts w:ascii="Times New Roman" w:hAnsi="Times New Roman"/>
                <w:color w:val="000000"/>
                <w:sz w:val="20"/>
                <w:szCs w:val="20"/>
              </w:rPr>
              <w:t>R$ 195,6 milhões (2004); R$ 1,74 bilhão (2006)</w:t>
            </w:r>
          </w:p>
        </w:tc>
      </w:tr>
      <w:tr w:rsidR="00FD610C" w:rsidRPr="008211FD" w:rsidTr="008211FD">
        <w:tc>
          <w:tcPr>
            <w:tcW w:w="1226"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pStyle w:val="NormalWeb"/>
              <w:spacing w:before="0" w:beforeAutospacing="0" w:after="0" w:afterAutospacing="0"/>
              <w:rPr>
                <w:b/>
                <w:bCs/>
                <w:sz w:val="20"/>
                <w:szCs w:val="20"/>
              </w:rPr>
            </w:pPr>
            <w:r w:rsidRPr="008211FD">
              <w:rPr>
                <w:b/>
                <w:bCs/>
                <w:sz w:val="20"/>
                <w:szCs w:val="20"/>
              </w:rPr>
              <w:t>Ipiranga (Ultrapar Participações)</w:t>
            </w:r>
          </w:p>
        </w:tc>
        <w:tc>
          <w:tcPr>
            <w:tcW w:w="1714"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100" w:afterAutospacing="1" w:line="240" w:lineRule="auto"/>
              <w:rPr>
                <w:rFonts w:ascii="Times New Roman" w:hAnsi="Times New Roman"/>
                <w:color w:val="000000"/>
                <w:sz w:val="20"/>
                <w:szCs w:val="20"/>
              </w:rPr>
            </w:pPr>
            <w:r w:rsidRPr="008211FD">
              <w:rPr>
                <w:rFonts w:ascii="Times New Roman" w:hAnsi="Times New Roman"/>
                <w:color w:val="000000"/>
                <w:sz w:val="20"/>
                <w:szCs w:val="20"/>
              </w:rPr>
              <w:t>Vendida em 2007 para Petrobrás, Braskem e Grupo Ultra; BNDES tem participação direta na Braskem e na Petrobrás.</w:t>
            </w:r>
          </w:p>
        </w:tc>
        <w:tc>
          <w:tcPr>
            <w:tcW w:w="2060" w:type="pct"/>
            <w:tcBorders>
              <w:top w:val="single" w:sz="8" w:space="0" w:color="4F81BD"/>
              <w:left w:val="single" w:sz="8" w:space="0" w:color="4F81BD"/>
              <w:bottom w:val="single" w:sz="8" w:space="0" w:color="4F81BD"/>
              <w:right w:val="single" w:sz="8" w:space="0" w:color="4F81BD"/>
            </w:tcBorders>
          </w:tcPr>
          <w:p w:rsidR="00FD610C" w:rsidRPr="008211FD" w:rsidRDefault="00FD610C" w:rsidP="008211FD">
            <w:pPr>
              <w:spacing w:after="100" w:afterAutospacing="1" w:line="240" w:lineRule="auto"/>
              <w:rPr>
                <w:rFonts w:ascii="Times New Roman" w:hAnsi="Times New Roman"/>
                <w:color w:val="000000"/>
                <w:sz w:val="20"/>
                <w:szCs w:val="20"/>
              </w:rPr>
            </w:pPr>
            <w:r w:rsidRPr="008211FD">
              <w:rPr>
                <w:rFonts w:ascii="Times New Roman" w:hAnsi="Times New Roman"/>
                <w:color w:val="000000"/>
                <w:sz w:val="20"/>
                <w:szCs w:val="20"/>
              </w:rPr>
              <w:t>R$ 1,1 bilhão (2008)</w:t>
            </w:r>
            <w:r w:rsidRPr="008211FD">
              <w:rPr>
                <w:rStyle w:val="Refdenotaderodap"/>
                <w:rFonts w:ascii="Times New Roman" w:hAnsi="Times New Roman"/>
                <w:color w:val="000000"/>
                <w:sz w:val="20"/>
                <w:szCs w:val="20"/>
              </w:rPr>
              <w:footnoteReference w:id="353"/>
            </w:r>
          </w:p>
        </w:tc>
      </w:tr>
    </w:tbl>
    <w:p w:rsidR="00412ADF" w:rsidRPr="009C3A78" w:rsidRDefault="00412ADF" w:rsidP="009C3A78">
      <w:pPr>
        <w:pStyle w:val="NormalWeb"/>
        <w:spacing w:before="0" w:beforeAutospacing="0" w:after="0" w:afterAutospacing="0"/>
        <w:jc w:val="both"/>
        <w:rPr>
          <w:b/>
          <w:sz w:val="18"/>
          <w:szCs w:val="18"/>
        </w:rPr>
      </w:pPr>
      <w:r w:rsidRPr="009C3A78">
        <w:rPr>
          <w:b/>
          <w:sz w:val="18"/>
          <w:szCs w:val="18"/>
        </w:rPr>
        <w:t>Elaboração própria</w:t>
      </w:r>
      <w:r w:rsidR="009C3A78" w:rsidRPr="009C3A78">
        <w:rPr>
          <w:b/>
          <w:sz w:val="18"/>
          <w:szCs w:val="18"/>
        </w:rPr>
        <w:t xml:space="preserve">. Fontes: </w:t>
      </w:r>
      <w:r w:rsidR="009C3A78" w:rsidRPr="009C3A78">
        <w:rPr>
          <w:sz w:val="18"/>
          <w:szCs w:val="18"/>
        </w:rPr>
        <w:t xml:space="preserve">ALMEIDA, Mansueto. </w:t>
      </w:r>
      <w:r w:rsidR="009C3A78" w:rsidRPr="009C3A78">
        <w:rPr>
          <w:i/>
          <w:sz w:val="18"/>
          <w:szCs w:val="18"/>
        </w:rPr>
        <w:t>Desafios da real política industrial brasileira do século XXI.</w:t>
      </w:r>
      <w:r w:rsidR="009C3A78" w:rsidRPr="009C3A78">
        <w:rPr>
          <w:sz w:val="18"/>
          <w:szCs w:val="18"/>
        </w:rPr>
        <w:t xml:space="preserve"> Op. cit., NÓVOA, Luis Fernando. O Brasil e seu “desdobramento”... Op. cit., e pesquisas na internet</w:t>
      </w:r>
      <w:r w:rsidR="009C3A78">
        <w:rPr>
          <w:sz w:val="18"/>
          <w:szCs w:val="18"/>
        </w:rPr>
        <w:t>.</w:t>
      </w:r>
    </w:p>
    <w:p w:rsidR="00FD610C" w:rsidRDefault="00FD610C" w:rsidP="00412ADF">
      <w:pPr>
        <w:pStyle w:val="NormalWeb"/>
        <w:spacing w:before="240" w:beforeAutospacing="0" w:after="0" w:afterAutospacing="0" w:line="360" w:lineRule="auto"/>
        <w:ind w:firstLine="708"/>
        <w:jc w:val="both"/>
      </w:pPr>
      <w:r>
        <w:t>Das 21 empresas transnacionais em apenas 5 não encontramos registros de recebimentos de recursos monetários do BNDES</w:t>
      </w:r>
      <w:r w:rsidR="00651886">
        <w:t xml:space="preserve"> durante os governos Lula da Silva</w:t>
      </w:r>
      <w:r>
        <w:t>: BM&amp;FBOVESPA, Arko Advice Pesquisas, Sucocítrico Cutrale e as líderes do setor bancário-financeiro, Itaú-Unibanco e Bradesco. Todas as demais mantiveram, durante  o período, vínculos orgânicos com o BNDES, seja através de participações acionárias diretas do Banco nestes grupos e firmas (7 casos), seja através de empréstimos tomados (15 casos) e, para o caso de 6 firmas e grupos, ambos os mecanismos de vínculos prevaleceram. Ademais, 5 grupos e firmas transnacionalizados que não mantinham relação direta com o BNDES na forma de participação acionária, apresentavam, na sua carteira de acionistas, investimentos de fundos públicos (Previ, Funcef e Petros) e da Petrobrás.</w:t>
      </w:r>
    </w:p>
    <w:p w:rsidR="00FD610C" w:rsidRDefault="00FD610C" w:rsidP="00FD610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O importante a reter é que o CDES, por sua própria configuração compósita e </w:t>
      </w:r>
      <w:r w:rsidR="00BF39B1">
        <w:rPr>
          <w:rFonts w:ascii="Times New Roman" w:hAnsi="Times New Roman"/>
          <w:sz w:val="24"/>
          <w:szCs w:val="24"/>
        </w:rPr>
        <w:t xml:space="preserve">base social predominante, evidenciava e autorizava </w:t>
      </w:r>
      <w:r>
        <w:rPr>
          <w:rFonts w:ascii="Times New Roman" w:hAnsi="Times New Roman"/>
          <w:sz w:val="24"/>
          <w:szCs w:val="24"/>
        </w:rPr>
        <w:t>a continuidade e o aprofundamento das tendências monopolistas e expansionistas  presentes na economia brasileira. Durante o período de investigação desta pesquisa, estas tendências jamais foram postas em xeque. Na verdade, programaticamente, o incentivo do Estado aos monopólios brasileiros (sub)imperialistas anunciava-se no primeiro conjunto coletivo de documentos do Conselho, ainda em 2003: as Cartas de Concertação, objeto de estudo do Capítulo 3.</w:t>
      </w:r>
    </w:p>
    <w:p w:rsidR="00FD610C" w:rsidRDefault="00FD610C" w:rsidP="00FD610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Assim, por exemplo, na 2ª Carta de Concertação, </w:t>
      </w:r>
      <w:r>
        <w:rPr>
          <w:rFonts w:ascii="Times New Roman" w:hAnsi="Times New Roman"/>
          <w:i/>
          <w:sz w:val="24"/>
          <w:szCs w:val="24"/>
        </w:rPr>
        <w:t xml:space="preserve">Ação pelo Progresso e Inclusão </w:t>
      </w:r>
      <w:r w:rsidRPr="000714C7">
        <w:rPr>
          <w:rFonts w:ascii="Times New Roman" w:hAnsi="Times New Roman"/>
          <w:i/>
          <w:sz w:val="24"/>
          <w:szCs w:val="24"/>
        </w:rPr>
        <w:t>Social</w:t>
      </w:r>
      <w:r>
        <w:rPr>
          <w:rFonts w:ascii="Times New Roman" w:hAnsi="Times New Roman"/>
          <w:i/>
          <w:sz w:val="24"/>
          <w:szCs w:val="24"/>
        </w:rPr>
        <w:t xml:space="preserve">, </w:t>
      </w:r>
      <w:r>
        <w:rPr>
          <w:rFonts w:ascii="Times New Roman" w:hAnsi="Times New Roman"/>
          <w:sz w:val="24"/>
          <w:szCs w:val="24"/>
        </w:rPr>
        <w:t xml:space="preserve">de abril de 2003, verifica-se, no item “e”, a busca por uma “política industrial que fortaleça o consumo interno e </w:t>
      </w:r>
      <w:r>
        <w:rPr>
          <w:rFonts w:ascii="Times New Roman" w:hAnsi="Times New Roman"/>
          <w:i/>
          <w:sz w:val="24"/>
          <w:szCs w:val="24"/>
        </w:rPr>
        <w:t>induza o surgimento de fortes empresas de expressão multinacional</w:t>
      </w:r>
      <w:r>
        <w:rPr>
          <w:rFonts w:ascii="Times New Roman" w:hAnsi="Times New Roman"/>
          <w:sz w:val="24"/>
          <w:szCs w:val="24"/>
        </w:rPr>
        <w:t xml:space="preserve">”. Em junho de 2003, por ocasião da aprovação da 3ª Carta de Concertação, </w:t>
      </w:r>
      <w:r>
        <w:rPr>
          <w:rFonts w:ascii="Times New Roman" w:hAnsi="Times New Roman"/>
          <w:i/>
          <w:sz w:val="24"/>
          <w:szCs w:val="24"/>
        </w:rPr>
        <w:t>Fundamentos para um Novo Contrato Social,</w:t>
      </w:r>
      <w:r>
        <w:rPr>
          <w:rFonts w:ascii="Times New Roman" w:hAnsi="Times New Roman"/>
          <w:sz w:val="24"/>
          <w:szCs w:val="24"/>
        </w:rPr>
        <w:t xml:space="preserve"> lê-se: “a política externa deve ser capaz de fortalecer o mercado interno e </w:t>
      </w:r>
      <w:r w:rsidRPr="00B45C91">
        <w:rPr>
          <w:rFonts w:ascii="Times New Roman" w:hAnsi="Times New Roman"/>
          <w:i/>
          <w:sz w:val="24"/>
          <w:szCs w:val="24"/>
        </w:rPr>
        <w:t>impulsionar a criação e consolidação de grupos econômicos privados e empresas de interesse público com capacidade de disputar globalmente</w:t>
      </w:r>
      <w:r>
        <w:rPr>
          <w:rFonts w:ascii="Times New Roman" w:hAnsi="Times New Roman"/>
          <w:sz w:val="24"/>
          <w:szCs w:val="24"/>
        </w:rPr>
        <w:t>”.</w:t>
      </w:r>
      <w:r>
        <w:rPr>
          <w:rStyle w:val="Refdenotaderodap"/>
          <w:rFonts w:ascii="Times New Roman" w:hAnsi="Times New Roman"/>
          <w:sz w:val="24"/>
          <w:szCs w:val="24"/>
        </w:rPr>
        <w:footnoteReference w:id="354"/>
      </w:r>
    </w:p>
    <w:p w:rsidR="00FD610C" w:rsidRDefault="00FD610C" w:rsidP="00FD610C">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Em outro importante documento intitulado “Enunciados Estratégicos para o Desenvolvimento” (EED), publicado em 2006, evidencia-se o esforço em apresentar uma política externa supostamente “generosa” com os países da América do Sul, acompanhada, contudo, de um perfil “ambicioso” quanto à “abertura de novos mercados”:</w:t>
      </w:r>
    </w:p>
    <w:p w:rsidR="00FD610C" w:rsidRPr="00511DCE" w:rsidRDefault="00FD610C" w:rsidP="00FD610C">
      <w:pPr>
        <w:autoSpaceDE w:val="0"/>
        <w:autoSpaceDN w:val="0"/>
        <w:adjustRightInd w:val="0"/>
        <w:spacing w:after="0" w:line="240" w:lineRule="auto"/>
        <w:ind w:left="2268"/>
        <w:jc w:val="both"/>
        <w:rPr>
          <w:rFonts w:ascii="Times New Roman" w:hAnsi="Times New Roman"/>
          <w:sz w:val="20"/>
          <w:szCs w:val="20"/>
        </w:rPr>
      </w:pPr>
      <w:r w:rsidRPr="00511DCE">
        <w:rPr>
          <w:rFonts w:ascii="Times New Roman" w:hAnsi="Times New Roman"/>
          <w:sz w:val="20"/>
          <w:szCs w:val="20"/>
        </w:rPr>
        <w:t xml:space="preserve">O desenvolvimento econômico do país deve ser focado simultaneamente na expansãodos mercados interno e externo. No tocante ao mercado externo, há de se levar em contaque num mundo globalizado o país deve buscar alianças estratégicas regionais emultiregionais para melhorar a competitividade externa. </w:t>
      </w:r>
      <w:r w:rsidRPr="00850428">
        <w:rPr>
          <w:rFonts w:ascii="Times New Roman" w:hAnsi="Times New Roman"/>
          <w:b/>
          <w:sz w:val="20"/>
          <w:szCs w:val="20"/>
        </w:rPr>
        <w:t>A política externa deve ser ambiciosa de forma a garantir a abertura de novos mercados e perseguir a redução das assimetrias econômicas e sociais no âmbito da América do Sul</w:t>
      </w:r>
      <w:r>
        <w:rPr>
          <w:rFonts w:ascii="Times New Roman" w:hAnsi="Times New Roman"/>
          <w:sz w:val="20"/>
          <w:szCs w:val="20"/>
        </w:rPr>
        <w:t>.</w:t>
      </w:r>
      <w:r>
        <w:rPr>
          <w:rStyle w:val="Refdenotaderodap"/>
          <w:rFonts w:ascii="Times New Roman" w:hAnsi="Times New Roman"/>
          <w:sz w:val="20"/>
          <w:szCs w:val="20"/>
        </w:rPr>
        <w:footnoteReference w:id="355"/>
      </w:r>
    </w:p>
    <w:p w:rsidR="00FD610C" w:rsidRDefault="00FD610C" w:rsidP="00FD610C">
      <w:pPr>
        <w:pStyle w:val="NormalWeb"/>
        <w:spacing w:before="0" w:beforeAutospacing="0" w:after="0" w:afterAutospacing="0" w:line="360" w:lineRule="auto"/>
        <w:jc w:val="both"/>
      </w:pPr>
      <w:r>
        <w:tab/>
      </w:r>
    </w:p>
    <w:p w:rsidR="00E61118" w:rsidRPr="00E40ED2" w:rsidRDefault="002F7E94" w:rsidP="002F7E94">
      <w:pPr>
        <w:pStyle w:val="NormalWeb"/>
        <w:spacing w:before="0" w:beforeAutospacing="0" w:after="240" w:afterAutospacing="0" w:line="360" w:lineRule="auto"/>
        <w:ind w:firstLine="708"/>
        <w:jc w:val="both"/>
      </w:pPr>
      <w:r>
        <w:t>O</w:t>
      </w:r>
      <w:r w:rsidR="00E61118" w:rsidRPr="00E40ED2">
        <w:t xml:space="preserve"> último documento produzido pelo CDES no período alcançado por esta pesquisa, a Agenda para um Novo Ciclo de Desenvolvimento (ANC), produzida em 2010, trazia como estratégias propositivas dos conselheiros </w:t>
      </w:r>
      <w:r w:rsidR="00E40ED2" w:rsidRPr="00E40ED2">
        <w:t>pelo menos</w:t>
      </w:r>
      <w:r w:rsidR="00942240" w:rsidRPr="00E40ED2">
        <w:t xml:space="preserve"> dois</w:t>
      </w:r>
      <w:r w:rsidR="00E61118" w:rsidRPr="00E40ED2">
        <w:t xml:space="preserve"> pontos que se referiam de forma direta </w:t>
      </w:r>
      <w:r w:rsidR="00E40ED2" w:rsidRPr="00E40ED2">
        <w:t>ao fomento</w:t>
      </w:r>
      <w:r w:rsidR="00E61118" w:rsidRPr="00E40ED2">
        <w:t xml:space="preserve"> da expansão da internacionalização de </w:t>
      </w:r>
      <w:r w:rsidR="006B4417">
        <w:t>empresas brasileira</w:t>
      </w:r>
      <w:r w:rsidR="00E61118" w:rsidRPr="00E40ED2">
        <w:t>s:</w:t>
      </w:r>
    </w:p>
    <w:p w:rsidR="00E61118" w:rsidRPr="00E40ED2" w:rsidRDefault="00E61118" w:rsidP="00942240">
      <w:pPr>
        <w:pStyle w:val="NormalWeb"/>
        <w:spacing w:before="0" w:beforeAutospacing="0" w:after="0" w:afterAutospacing="0"/>
        <w:ind w:left="2268"/>
        <w:jc w:val="both"/>
        <w:rPr>
          <w:sz w:val="20"/>
          <w:szCs w:val="20"/>
        </w:rPr>
      </w:pPr>
      <w:r w:rsidRPr="00E40ED2">
        <w:rPr>
          <w:sz w:val="20"/>
          <w:szCs w:val="20"/>
        </w:rPr>
        <w:t xml:space="preserve">7. </w:t>
      </w:r>
      <w:r w:rsidRPr="00E40ED2">
        <w:rPr>
          <w:b/>
          <w:sz w:val="20"/>
          <w:szCs w:val="20"/>
        </w:rPr>
        <w:t>Fortalecer a internacionalização das empresas brasileiras</w:t>
      </w:r>
      <w:r w:rsidRPr="00E40ED2">
        <w:rPr>
          <w:sz w:val="20"/>
          <w:szCs w:val="20"/>
        </w:rPr>
        <w:t>, com presença, de maneira especial, na Ásia, América Latina, Caribe e África, mercados em expansão e nos quais o Brasil tem maiores vantagens competitivas.</w:t>
      </w:r>
    </w:p>
    <w:p w:rsidR="00942240" w:rsidRPr="00E40ED2" w:rsidRDefault="00E61118" w:rsidP="00942240">
      <w:pPr>
        <w:pStyle w:val="NormalWeb"/>
        <w:spacing w:before="0" w:beforeAutospacing="0" w:after="0" w:afterAutospacing="0"/>
        <w:ind w:left="2268"/>
        <w:jc w:val="both"/>
        <w:rPr>
          <w:sz w:val="20"/>
          <w:szCs w:val="20"/>
        </w:rPr>
      </w:pPr>
      <w:r w:rsidRPr="00E40ED2">
        <w:rPr>
          <w:sz w:val="20"/>
          <w:szCs w:val="20"/>
        </w:rPr>
        <w:t>(...)</w:t>
      </w:r>
    </w:p>
    <w:p w:rsidR="00942240" w:rsidRPr="00942240" w:rsidRDefault="00942240" w:rsidP="00942240">
      <w:pPr>
        <w:pStyle w:val="NormalWeb"/>
        <w:spacing w:before="0" w:beforeAutospacing="0" w:after="240" w:afterAutospacing="0"/>
        <w:ind w:left="2268"/>
        <w:jc w:val="both"/>
        <w:rPr>
          <w:color w:val="FF0000"/>
          <w:sz w:val="20"/>
          <w:szCs w:val="20"/>
        </w:rPr>
      </w:pPr>
      <w:r w:rsidRPr="00E40ED2">
        <w:rPr>
          <w:sz w:val="20"/>
          <w:szCs w:val="20"/>
        </w:rPr>
        <w:t xml:space="preserve">10. Criar sinergia entre o investimento público, comandado pelas estatais, e o privado, </w:t>
      </w:r>
      <w:r w:rsidRPr="00E40ED2">
        <w:rPr>
          <w:b/>
          <w:sz w:val="20"/>
          <w:szCs w:val="20"/>
        </w:rPr>
        <w:t>com o objetivo de criar grupos nacionais dotados de poder financeiro, com capacidade de competição nos mercados mundiais</w:t>
      </w:r>
      <w:r w:rsidRPr="00E40ED2">
        <w:rPr>
          <w:sz w:val="20"/>
          <w:szCs w:val="20"/>
        </w:rPr>
        <w:t>, comprometidos com as metas de desenvolvimento do País.</w:t>
      </w:r>
      <w:r w:rsidRPr="00E40ED2">
        <w:rPr>
          <w:rStyle w:val="Refdenotaderodap"/>
          <w:sz w:val="20"/>
          <w:szCs w:val="20"/>
        </w:rPr>
        <w:footnoteReference w:id="356"/>
      </w:r>
    </w:p>
    <w:p w:rsidR="00FD610C" w:rsidRDefault="00FD610C" w:rsidP="0025356B">
      <w:pPr>
        <w:pStyle w:val="NormalWeb"/>
        <w:spacing w:before="0" w:beforeAutospacing="0" w:after="0" w:afterAutospacing="0" w:line="360" w:lineRule="auto"/>
        <w:ind w:firstLine="708"/>
        <w:jc w:val="both"/>
      </w:pPr>
      <w:r>
        <w:t xml:space="preserve">Como claramente se nota, o CDES foi também um dos espaços no aparato estatal em que o projeto expansionista do capital-imperialismo brasileiro teve guarida e sedimentação, não por esforço e obra de uma suposta </w:t>
      </w:r>
      <w:r w:rsidR="00BF39B1">
        <w:t>burocracia autonomizada</w:t>
      </w:r>
      <w:r>
        <w:t>, mas ao contrário, pela aliança dos atores sociais em presença: representantes do grande monopólio transnacionalizado, da cúpula sindical cutista e de intelectuais e ativistas pró-PT, animados, como vimos, pelo próprio Presidente República. Tal aliança, contudo, não eximia críticas, por exemplo, do conselheiro Arthur Henrique (Presidente da CUT) não quanto ao apoio do BNDES aos grupos transnacionalizados, mas precisamente às relações trabalhistas que o empresariado travava com os trabalhadores de outros países:</w:t>
      </w:r>
    </w:p>
    <w:p w:rsidR="00FD610C" w:rsidRDefault="00FD610C" w:rsidP="00FD610C">
      <w:pPr>
        <w:pStyle w:val="NormalWeb"/>
        <w:spacing w:before="0" w:beforeAutospacing="0" w:after="0" w:afterAutospacing="0"/>
        <w:ind w:left="2268"/>
        <w:jc w:val="both"/>
        <w:rPr>
          <w:sz w:val="20"/>
          <w:szCs w:val="20"/>
        </w:rPr>
      </w:pPr>
      <w:r w:rsidRPr="00395D4F">
        <w:rPr>
          <w:sz w:val="20"/>
          <w:szCs w:val="20"/>
        </w:rPr>
        <w:t xml:space="preserve">(...) o BNDES deve ampliar mais o “S” de social. </w:t>
      </w:r>
      <w:r w:rsidRPr="00850428">
        <w:rPr>
          <w:b/>
          <w:sz w:val="20"/>
          <w:szCs w:val="20"/>
        </w:rPr>
        <w:t>Não tenho nada contra investimentos em grandes empresas internacionais brasileiras que estão atuando no exterior</w:t>
      </w:r>
      <w:r w:rsidRPr="00395D4F">
        <w:rPr>
          <w:sz w:val="20"/>
          <w:szCs w:val="20"/>
        </w:rPr>
        <w:t>. Mas não podemos ter uma grande empresa brasileira, como a Vale do Rio Doce, investindo no exterior e aplicando políticas trabalhistas lá foram que condenamos internamente. São coisas que precisamos começar a enxergar e alertar</w:t>
      </w:r>
      <w:r>
        <w:rPr>
          <w:sz w:val="20"/>
          <w:szCs w:val="20"/>
        </w:rPr>
        <w:t>.</w:t>
      </w:r>
      <w:r>
        <w:rPr>
          <w:rStyle w:val="Refdenotaderodap"/>
          <w:sz w:val="20"/>
          <w:szCs w:val="20"/>
        </w:rPr>
        <w:footnoteReference w:id="357"/>
      </w:r>
    </w:p>
    <w:p w:rsidR="00FD610C" w:rsidRDefault="00FD610C" w:rsidP="00E40ED2">
      <w:pPr>
        <w:pStyle w:val="NormalWeb"/>
        <w:spacing w:before="240" w:beforeAutospacing="0" w:after="240" w:afterAutospacing="0" w:line="360" w:lineRule="auto"/>
        <w:jc w:val="both"/>
      </w:pPr>
      <w:r>
        <w:tab/>
        <w:t>O conselheiro Cézar Brito (Presidente da Comissão de Relações Internacionais da OAB), por sua vez, reconhecia tanto os frutos colhidos quanto as tensões engendradas pela política externa brasileira, mas as imputava às decorrências do crescimento que o país atravessava:</w:t>
      </w:r>
    </w:p>
    <w:p w:rsidR="00FD610C" w:rsidRDefault="00FD610C" w:rsidP="00FD610C">
      <w:pPr>
        <w:pStyle w:val="NormalWeb"/>
        <w:spacing w:before="0" w:beforeAutospacing="0" w:after="240" w:afterAutospacing="0"/>
        <w:ind w:left="2268"/>
        <w:jc w:val="both"/>
        <w:rPr>
          <w:sz w:val="20"/>
          <w:szCs w:val="20"/>
        </w:rPr>
      </w:pPr>
      <w:r w:rsidRPr="00CF1FDF">
        <w:rPr>
          <w:sz w:val="20"/>
          <w:szCs w:val="20"/>
        </w:rPr>
        <w:t xml:space="preserve">Então, é exatamente essa mudança de foco na política econômica, alinhando-se com outros mercados, que fez com que o Brasil resistisse à crise que atingiu fortemente os Estados Unidos. (...) Claro que ela não gera só virtude. (...) isso também traz revés; especialmente quando candidatos a presidente [de países da América Latina ] prometem romper os contratos com o Brasil. </w:t>
      </w:r>
      <w:r w:rsidRPr="00CF1FDF">
        <w:rPr>
          <w:b/>
          <w:sz w:val="20"/>
          <w:szCs w:val="20"/>
        </w:rPr>
        <w:t>É que essa nova postura faz o Brasil também ser entendido como imperialista. Mas esta é a conseq</w:t>
      </w:r>
      <w:r w:rsidR="005913F9">
        <w:rPr>
          <w:b/>
          <w:sz w:val="20"/>
          <w:szCs w:val="20"/>
        </w:rPr>
        <w:t>u</w:t>
      </w:r>
      <w:r w:rsidRPr="00CF1FDF">
        <w:rPr>
          <w:b/>
          <w:sz w:val="20"/>
          <w:szCs w:val="20"/>
        </w:rPr>
        <w:t>ência do crescimento político, estratégico, econômico e social do Brasil</w:t>
      </w:r>
      <w:r w:rsidRPr="00CF1FDF">
        <w:rPr>
          <w:sz w:val="20"/>
          <w:szCs w:val="20"/>
        </w:rPr>
        <w:t>. Ela se assemelha, com as devidas proporções, à mesma reação que nós tínhamos quando o FMI aqui vinha para ditar suas políticas. Então este é o revés que o Brasil está enfrentando, por ser o mais forte economicamente da América Latina e sócio majoritário do Mercosul</w:t>
      </w:r>
      <w:r>
        <w:rPr>
          <w:sz w:val="20"/>
          <w:szCs w:val="20"/>
        </w:rPr>
        <w:t>.</w:t>
      </w:r>
      <w:r>
        <w:rPr>
          <w:rStyle w:val="Refdenotaderodap"/>
          <w:sz w:val="20"/>
          <w:szCs w:val="20"/>
        </w:rPr>
        <w:footnoteReference w:id="358"/>
      </w:r>
    </w:p>
    <w:p w:rsidR="00FD610C" w:rsidRPr="00951955" w:rsidRDefault="00FD610C" w:rsidP="00FD610C">
      <w:pPr>
        <w:pStyle w:val="NormalWeb"/>
        <w:spacing w:before="0" w:beforeAutospacing="0" w:after="0" w:afterAutospacing="0" w:line="360" w:lineRule="auto"/>
        <w:jc w:val="both"/>
        <w:rPr>
          <w:sz w:val="20"/>
          <w:szCs w:val="20"/>
        </w:rPr>
      </w:pPr>
      <w:r>
        <w:tab/>
        <w:t>Inexistiam, portanto, no CDES, registros individuais ou coletivos de manifestações ou posições contrárias ao fomento e ao papel subimperialista brasileiro.</w:t>
      </w:r>
    </w:p>
    <w:p w:rsidR="00CE3680" w:rsidRPr="005217FA" w:rsidRDefault="00CE3680" w:rsidP="00CE3680">
      <w:pPr>
        <w:pStyle w:val="NormalWeb"/>
        <w:spacing w:before="240" w:beforeAutospacing="0" w:after="240" w:afterAutospacing="0" w:line="360" w:lineRule="auto"/>
        <w:jc w:val="both"/>
        <w:rPr>
          <w:b/>
        </w:rPr>
      </w:pPr>
      <w:r>
        <w:rPr>
          <w:b/>
        </w:rPr>
        <w:t>2.8 - O CDES como baluarte da “democratização às avessas”</w:t>
      </w:r>
    </w:p>
    <w:p w:rsidR="00CE3680" w:rsidRPr="00340412" w:rsidRDefault="00CE3680" w:rsidP="00CE3680">
      <w:pPr>
        <w:tabs>
          <w:tab w:val="left" w:pos="0"/>
        </w:tabs>
        <w:spacing w:after="0" w:line="360" w:lineRule="auto"/>
        <w:jc w:val="both"/>
        <w:rPr>
          <w:rFonts w:ascii="Times New Roman" w:hAnsi="Times New Roman"/>
          <w:sz w:val="24"/>
          <w:szCs w:val="24"/>
        </w:rPr>
      </w:pPr>
      <w:r w:rsidRPr="00340412">
        <w:rPr>
          <w:rFonts w:ascii="Times New Roman" w:hAnsi="Times New Roman"/>
          <w:sz w:val="24"/>
          <w:szCs w:val="24"/>
        </w:rPr>
        <w:tab/>
      </w:r>
      <w:r>
        <w:rPr>
          <w:rFonts w:ascii="Times New Roman" w:hAnsi="Times New Roman"/>
          <w:sz w:val="24"/>
          <w:szCs w:val="24"/>
        </w:rPr>
        <w:t>N</w:t>
      </w:r>
      <w:r w:rsidRPr="00340412">
        <w:rPr>
          <w:rFonts w:ascii="Times New Roman" w:hAnsi="Times New Roman"/>
          <w:sz w:val="24"/>
          <w:szCs w:val="24"/>
        </w:rPr>
        <w:t xml:space="preserve">ão existe qualquer pesquisa, estudo ou análise historiográfica sobre o Conselho de Desenvolvimento Econômico Social a partir de uma posição que considere as classes e frações de classes que o compõem, tampouco as formas organizativas da sociedade civil burguesas a elas coligadas. O arcabouço teórico-metodológico aqui adotado para o estudo das relações entre Estado e Sociedade Civil no capitalismo contemporâneo alinha-se à tradição marxista e ao pensamento gramsciano particularmente. Como se sabe, o corpo teórico e metodológico imbrica-se intimamente e informa a elaboração de hipóteses e o trato com as fontes primárias.  Portanto, nossa pesquisa credencia-se pela </w:t>
      </w:r>
      <w:r w:rsidRPr="00340412">
        <w:rPr>
          <w:rFonts w:ascii="Times New Roman" w:hAnsi="Times New Roman"/>
          <w:i/>
          <w:sz w:val="24"/>
          <w:szCs w:val="24"/>
        </w:rPr>
        <w:t>originalidade</w:t>
      </w:r>
      <w:r w:rsidRPr="00340412">
        <w:rPr>
          <w:rFonts w:ascii="Times New Roman" w:hAnsi="Times New Roman"/>
          <w:sz w:val="24"/>
          <w:szCs w:val="24"/>
        </w:rPr>
        <w:t xml:space="preserve"> no estudo do CDES e </w:t>
      </w:r>
      <w:r w:rsidRPr="00340412">
        <w:rPr>
          <w:rFonts w:ascii="Times New Roman" w:hAnsi="Times New Roman"/>
          <w:i/>
          <w:sz w:val="24"/>
          <w:szCs w:val="24"/>
        </w:rPr>
        <w:t xml:space="preserve">contraria </w:t>
      </w:r>
      <w:r w:rsidRPr="00340412">
        <w:rPr>
          <w:rFonts w:ascii="Times New Roman" w:hAnsi="Times New Roman"/>
          <w:sz w:val="24"/>
          <w:szCs w:val="24"/>
        </w:rPr>
        <w:t>abordagens de escopo liberais (em geral neoinstitucionalistas</w:t>
      </w:r>
      <w:r>
        <w:rPr>
          <w:rFonts w:ascii="Times New Roman" w:hAnsi="Times New Roman"/>
          <w:sz w:val="24"/>
          <w:szCs w:val="24"/>
        </w:rPr>
        <w:t>)</w:t>
      </w:r>
      <w:r w:rsidRPr="00340412">
        <w:rPr>
          <w:rFonts w:ascii="Times New Roman" w:hAnsi="Times New Roman"/>
          <w:sz w:val="24"/>
          <w:szCs w:val="24"/>
        </w:rPr>
        <w:t xml:space="preserve"> sobre as relações entre Estado e Sociedade Civil e, por outro lado, </w:t>
      </w:r>
      <w:r w:rsidRPr="00340412">
        <w:rPr>
          <w:rFonts w:ascii="Times New Roman" w:hAnsi="Times New Roman"/>
          <w:i/>
          <w:sz w:val="24"/>
          <w:szCs w:val="24"/>
        </w:rPr>
        <w:t>questiona</w:t>
      </w:r>
      <w:r w:rsidRPr="00340412">
        <w:rPr>
          <w:rFonts w:ascii="Times New Roman" w:hAnsi="Times New Roman"/>
          <w:sz w:val="24"/>
          <w:szCs w:val="24"/>
        </w:rPr>
        <w:t xml:space="preserve"> as que o enxergam como </w:t>
      </w:r>
      <w:r w:rsidRPr="00340412">
        <w:rPr>
          <w:rFonts w:ascii="Times New Roman" w:hAnsi="Times New Roman"/>
          <w:i/>
          <w:sz w:val="24"/>
          <w:szCs w:val="24"/>
        </w:rPr>
        <w:t>lócus</w:t>
      </w:r>
      <w:r w:rsidRPr="00340412">
        <w:rPr>
          <w:rFonts w:ascii="Times New Roman" w:hAnsi="Times New Roman"/>
          <w:sz w:val="24"/>
          <w:szCs w:val="24"/>
        </w:rPr>
        <w:t xml:space="preserve"> de avanço das formas participativas e de democratização do Estado e de “democratização da democracia”. </w:t>
      </w:r>
    </w:p>
    <w:p w:rsidR="00CE3680" w:rsidRPr="00340412" w:rsidRDefault="00CE3680" w:rsidP="00CE3680">
      <w:pPr>
        <w:tabs>
          <w:tab w:val="left" w:pos="0"/>
        </w:tabs>
        <w:spacing w:after="0" w:line="360" w:lineRule="auto"/>
        <w:jc w:val="both"/>
        <w:rPr>
          <w:rFonts w:ascii="Times New Roman" w:hAnsi="Times New Roman"/>
          <w:sz w:val="24"/>
          <w:szCs w:val="24"/>
        </w:rPr>
      </w:pPr>
      <w:r w:rsidRPr="00340412">
        <w:rPr>
          <w:rFonts w:ascii="Times New Roman" w:hAnsi="Times New Roman"/>
          <w:sz w:val="24"/>
          <w:szCs w:val="24"/>
        </w:rPr>
        <w:tab/>
        <w:t xml:space="preserve">É de difícil sustentação que o CDES se caracterizava como uma arena voltada a “democratização do Estado” e é ainda mais difícil a comprovação </w:t>
      </w:r>
      <w:r>
        <w:rPr>
          <w:rFonts w:ascii="Times New Roman" w:hAnsi="Times New Roman"/>
          <w:sz w:val="24"/>
          <w:szCs w:val="24"/>
        </w:rPr>
        <w:t xml:space="preserve">de </w:t>
      </w:r>
      <w:r w:rsidRPr="00340412">
        <w:rPr>
          <w:rFonts w:ascii="Times New Roman" w:hAnsi="Times New Roman"/>
          <w:sz w:val="24"/>
          <w:szCs w:val="24"/>
        </w:rPr>
        <w:t xml:space="preserve">que ele seria uma plataforma de acolhimento e atendimento das demandas dos setores populares. Os analistas e pesquisadores do CDES o estudaram a partir do que </w:t>
      </w:r>
      <w:r w:rsidRPr="00340412">
        <w:rPr>
          <w:rFonts w:ascii="Times New Roman" w:hAnsi="Times New Roman"/>
          <w:i/>
          <w:sz w:val="24"/>
          <w:szCs w:val="24"/>
        </w:rPr>
        <w:t>ele diz ser e não efetivamente do que ele é</w:t>
      </w:r>
      <w:r w:rsidRPr="00340412">
        <w:rPr>
          <w:rFonts w:ascii="Times New Roman" w:hAnsi="Times New Roman"/>
          <w:sz w:val="24"/>
          <w:szCs w:val="24"/>
        </w:rPr>
        <w:t xml:space="preserve">: não investigaram o </w:t>
      </w:r>
      <w:r w:rsidRPr="00340412">
        <w:rPr>
          <w:rFonts w:ascii="Times New Roman" w:hAnsi="Times New Roman"/>
          <w:i/>
          <w:sz w:val="24"/>
          <w:szCs w:val="24"/>
        </w:rPr>
        <w:t>conteúdo social</w:t>
      </w:r>
      <w:r w:rsidRPr="00340412">
        <w:rPr>
          <w:rFonts w:ascii="Times New Roman" w:hAnsi="Times New Roman"/>
          <w:sz w:val="24"/>
          <w:szCs w:val="24"/>
        </w:rPr>
        <w:t xml:space="preserve"> do Conselho – as classes e frações de classes da sociedade brasileira ali representadas e o peso político-econômico que elas, organizadas sob forma de monopólios e através de robustos aparelhos privados de hegemonia, expressavam na correlação de forças sociais do capitalismo no Brasil na primeira década do século XXI. Não o fizeram, muito provavelmente, porque as concepções de sociedade civil e de Estado que os informam estão ancoradas na matriz liberal: ao Estado, preferem concebê-lo como um ente que “paira” sobre a sociedade e dela o faz refém, à sociedade civil corresponde o império da “solidariedade”, da busca pelo “bem comum” através da participação “voluntarista”, “desinteressada” e “responsável”. Ao assim enxergar, </w:t>
      </w:r>
      <w:r>
        <w:rPr>
          <w:rFonts w:ascii="Times New Roman" w:hAnsi="Times New Roman"/>
          <w:sz w:val="24"/>
          <w:szCs w:val="24"/>
        </w:rPr>
        <w:t>estes estudos</w:t>
      </w:r>
      <w:r w:rsidRPr="00340412">
        <w:rPr>
          <w:rFonts w:ascii="Times New Roman" w:hAnsi="Times New Roman"/>
          <w:sz w:val="24"/>
          <w:szCs w:val="24"/>
        </w:rPr>
        <w:t xml:space="preserve"> desconsideram as análises de classe, ofuscando o entendimento das lutas e disputas entre as classes e frações de classe organizadas em ambas as esferas.</w:t>
      </w:r>
    </w:p>
    <w:p w:rsidR="00CE3680" w:rsidRDefault="00CE3680" w:rsidP="00CE3680">
      <w:pPr>
        <w:tabs>
          <w:tab w:val="left" w:pos="0"/>
        </w:tabs>
        <w:spacing w:after="0" w:line="360" w:lineRule="auto"/>
        <w:jc w:val="both"/>
        <w:rPr>
          <w:rFonts w:ascii="Times New Roman" w:hAnsi="Times New Roman"/>
          <w:sz w:val="24"/>
          <w:szCs w:val="24"/>
        </w:rPr>
      </w:pPr>
      <w:r w:rsidRPr="00340412">
        <w:rPr>
          <w:rFonts w:ascii="Times New Roman" w:hAnsi="Times New Roman"/>
          <w:sz w:val="24"/>
          <w:szCs w:val="24"/>
        </w:rPr>
        <w:tab/>
        <w:t>Buscando escapar desta miopia teórica, perscrutamos a fundo a composição social do Conselho e vislumbramos fortíssimas assimetrias representativas entre os grupos sociais que o compunha</w:t>
      </w:r>
      <w:r w:rsidR="00A4005E">
        <w:rPr>
          <w:rFonts w:ascii="Times New Roman" w:hAnsi="Times New Roman"/>
          <w:sz w:val="24"/>
          <w:szCs w:val="24"/>
        </w:rPr>
        <w:t>m</w:t>
      </w:r>
      <w:r w:rsidRPr="00340412">
        <w:rPr>
          <w:rFonts w:ascii="Times New Roman" w:hAnsi="Times New Roman"/>
          <w:sz w:val="24"/>
          <w:szCs w:val="24"/>
        </w:rPr>
        <w:t xml:space="preserve">.A considerar que as Plenárias – e, por conseguinte, os Grupos de Trabalho, os Grupos de Acompanhamento e outras instâncias internas do Conselho – continham superconcentração de megaempresários que representavam os setores mais avançados do capitalismo brasileiro como, então, defender a hipótese de “democratização”? </w:t>
      </w:r>
    </w:p>
    <w:p w:rsidR="00CE3680" w:rsidRPr="00340412"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Estudos como os da Profª Sonia Regina de Mendonça nos remetem à precocidade da ampliação do Estado no Brasil, ainda na Primeira República, em que frações dominantes agrárias, organizadas em torno de dois aparelhos privados de hegemonia – a Sociedade Nacional de Agricultura (SNA) e a Sociedade Rural Brasileira (SRB) -, disputavam a inscrição e articulação de seus projetos de hegemonia na ossatura do Estado restrito (especialmente no Ministério da Agricultura).</w:t>
      </w:r>
      <w:r>
        <w:rPr>
          <w:rStyle w:val="Refdenotaderodap"/>
          <w:rFonts w:ascii="Times New Roman" w:hAnsi="Times New Roman"/>
          <w:sz w:val="24"/>
          <w:szCs w:val="24"/>
        </w:rPr>
        <w:footnoteReference w:id="359"/>
      </w:r>
      <w:r>
        <w:rPr>
          <w:rFonts w:ascii="Times New Roman" w:hAnsi="Times New Roman"/>
          <w:sz w:val="24"/>
          <w:szCs w:val="24"/>
        </w:rPr>
        <w:t xml:space="preserve"> Suas pesquisas mostram que, d</w:t>
      </w:r>
      <w:r w:rsidRPr="00340412">
        <w:rPr>
          <w:rFonts w:ascii="Times New Roman" w:hAnsi="Times New Roman"/>
          <w:sz w:val="24"/>
          <w:szCs w:val="24"/>
        </w:rPr>
        <w:t>esde muito cedo</w:t>
      </w:r>
      <w:r>
        <w:rPr>
          <w:rFonts w:ascii="Times New Roman" w:hAnsi="Times New Roman"/>
          <w:sz w:val="24"/>
          <w:szCs w:val="24"/>
        </w:rPr>
        <w:t>,</w:t>
      </w:r>
      <w:r w:rsidRPr="00340412">
        <w:rPr>
          <w:rFonts w:ascii="Times New Roman" w:hAnsi="Times New Roman"/>
          <w:sz w:val="24"/>
          <w:szCs w:val="24"/>
        </w:rPr>
        <w:t xml:space="preserve"> o Estado capitalista no Brasil abriga amplos setores </w:t>
      </w:r>
      <w:r>
        <w:rPr>
          <w:rFonts w:ascii="Times New Roman" w:hAnsi="Times New Roman"/>
          <w:sz w:val="24"/>
          <w:szCs w:val="24"/>
        </w:rPr>
        <w:t xml:space="preserve">da burguesia agrária. </w:t>
      </w:r>
      <w:r w:rsidRPr="00340412">
        <w:rPr>
          <w:rFonts w:ascii="Times New Roman" w:hAnsi="Times New Roman"/>
          <w:sz w:val="24"/>
          <w:szCs w:val="24"/>
        </w:rPr>
        <w:t xml:space="preserve">Por que acreditaríamos que chegaria a vez dos setores populares com a ascensão do PT ao comando do governo federal, nos reveses de trajetórias e nas dramáticas circunstâncias em que a “vitória na derrota” ocorreu? Tornar-se-ia vigorosa a antecipação da hipótese de “democratização do Estado” via conselhos (ao menos no que tange ao CDES), tomada a partir de experiências locais das administrações petistas (e mesmo aí há </w:t>
      </w:r>
      <w:r w:rsidR="006B01E0">
        <w:rPr>
          <w:rFonts w:ascii="Times New Roman" w:hAnsi="Times New Roman"/>
          <w:sz w:val="24"/>
          <w:szCs w:val="24"/>
        </w:rPr>
        <w:t>muitas controvérsi</w:t>
      </w:r>
      <w:r w:rsidRPr="00340412">
        <w:rPr>
          <w:rFonts w:ascii="Times New Roman" w:hAnsi="Times New Roman"/>
          <w:sz w:val="24"/>
          <w:szCs w:val="24"/>
        </w:rPr>
        <w:t xml:space="preserve">as), desconsiderando a conformação e organização classista em seu interior? </w:t>
      </w:r>
    </w:p>
    <w:p w:rsidR="00CE3680" w:rsidRPr="00340412" w:rsidRDefault="00CE3680" w:rsidP="00CE3680">
      <w:pPr>
        <w:tabs>
          <w:tab w:val="left" w:pos="0"/>
        </w:tabs>
        <w:spacing w:after="0" w:line="360" w:lineRule="auto"/>
        <w:jc w:val="both"/>
        <w:rPr>
          <w:rFonts w:ascii="Times New Roman" w:hAnsi="Times New Roman"/>
          <w:sz w:val="24"/>
          <w:szCs w:val="24"/>
        </w:rPr>
      </w:pPr>
      <w:r w:rsidRPr="00340412">
        <w:rPr>
          <w:rFonts w:ascii="Times New Roman" w:hAnsi="Times New Roman"/>
          <w:sz w:val="24"/>
          <w:szCs w:val="24"/>
        </w:rPr>
        <w:tab/>
        <w:t xml:space="preserve">A menos que se pense que políticas públicas voltadas ao crescimento da economia capitalista e a decorrente satisfação dos interesses de acumulação do capital seja condição </w:t>
      </w:r>
      <w:r w:rsidRPr="00340412">
        <w:rPr>
          <w:rFonts w:ascii="Times New Roman" w:hAnsi="Times New Roman"/>
          <w:i/>
          <w:sz w:val="24"/>
          <w:szCs w:val="24"/>
        </w:rPr>
        <w:t xml:space="preserve">necessária </w:t>
      </w:r>
      <w:r w:rsidRPr="00340412">
        <w:rPr>
          <w:rFonts w:ascii="Times New Roman" w:hAnsi="Times New Roman"/>
          <w:sz w:val="24"/>
          <w:szCs w:val="24"/>
        </w:rPr>
        <w:t xml:space="preserve">e </w:t>
      </w:r>
      <w:r w:rsidRPr="00340412">
        <w:rPr>
          <w:rFonts w:ascii="Times New Roman" w:hAnsi="Times New Roman"/>
          <w:i/>
          <w:sz w:val="24"/>
          <w:szCs w:val="24"/>
        </w:rPr>
        <w:t xml:space="preserve">suficiente </w:t>
      </w:r>
      <w:r w:rsidRPr="00340412">
        <w:rPr>
          <w:rFonts w:ascii="Times New Roman" w:hAnsi="Times New Roman"/>
          <w:sz w:val="24"/>
          <w:szCs w:val="24"/>
        </w:rPr>
        <w:t>para a melhoria das condições de vida e de trabalho das classes subalternas, não há razão para acreditar que o CDES representou um avanço no atendimento das demandas distributivistas dos trabalhadores.  Ofereço aqui três exemplos, todos discutidos e aprovados pelo Conselho: a Reforma da Previdência, as Parcerias Público-Privadas (PPP’s) e o Programa de Aceleração do Crescimento (PAC). As entidades patronais solicitaram e aplaudiram quando os governos Lula da Silva as implantaram:</w:t>
      </w:r>
    </w:p>
    <w:p w:rsidR="00CE3680" w:rsidRPr="006A114F" w:rsidRDefault="00CE3680" w:rsidP="00CE3680">
      <w:pPr>
        <w:spacing w:after="0" w:line="240" w:lineRule="auto"/>
        <w:ind w:left="2268"/>
        <w:jc w:val="both"/>
        <w:rPr>
          <w:rFonts w:ascii="Times New Roman" w:hAnsi="Times New Roman"/>
          <w:sz w:val="20"/>
          <w:szCs w:val="20"/>
        </w:rPr>
      </w:pPr>
      <w:r w:rsidRPr="006A114F">
        <w:rPr>
          <w:rFonts w:ascii="Times New Roman" w:hAnsi="Times New Roman"/>
          <w:sz w:val="20"/>
          <w:szCs w:val="20"/>
        </w:rPr>
        <w:t>Em suma, o País precisa urgentemente expandir sua taxa de investimento. A luz no fim do túnel surge com a PPP. Postergar a aprovação da lei das parcerias pode gerar uma crise econômica e social que ninguém sabe ao certo as conseq</w:t>
      </w:r>
      <w:r w:rsidR="005913F9">
        <w:rPr>
          <w:rFonts w:ascii="Times New Roman" w:hAnsi="Times New Roman"/>
          <w:sz w:val="20"/>
          <w:szCs w:val="20"/>
        </w:rPr>
        <w:t>u</w:t>
      </w:r>
      <w:r w:rsidRPr="006A114F">
        <w:rPr>
          <w:rFonts w:ascii="Times New Roman" w:hAnsi="Times New Roman"/>
          <w:sz w:val="20"/>
          <w:szCs w:val="20"/>
        </w:rPr>
        <w:t>ências. A questão demanda uma solução rápida por parte do Congresso e do governo federal. E que venha logo</w:t>
      </w:r>
      <w:r>
        <w:rPr>
          <w:rFonts w:ascii="Times New Roman" w:hAnsi="Times New Roman"/>
          <w:sz w:val="20"/>
          <w:szCs w:val="20"/>
        </w:rPr>
        <w:t>..</w:t>
      </w:r>
      <w:r>
        <w:rPr>
          <w:rStyle w:val="Refdenotaderodap"/>
          <w:rFonts w:ascii="Times New Roman" w:hAnsi="Times New Roman"/>
          <w:sz w:val="20"/>
          <w:szCs w:val="20"/>
        </w:rPr>
        <w:footnoteReference w:id="360"/>
      </w:r>
    </w:p>
    <w:p w:rsidR="00CE3680" w:rsidRPr="006A114F" w:rsidRDefault="00CE3680" w:rsidP="00CE3680">
      <w:pPr>
        <w:spacing w:after="0" w:line="240" w:lineRule="auto"/>
        <w:ind w:left="2268"/>
        <w:jc w:val="both"/>
        <w:rPr>
          <w:rFonts w:ascii="Times New Roman" w:hAnsi="Times New Roman"/>
          <w:sz w:val="20"/>
          <w:szCs w:val="20"/>
        </w:rPr>
      </w:pPr>
    </w:p>
    <w:p w:rsidR="00CE3680" w:rsidRPr="006A114F" w:rsidRDefault="00CE3680" w:rsidP="00CE3680">
      <w:pPr>
        <w:spacing w:line="240" w:lineRule="auto"/>
        <w:ind w:left="2268"/>
        <w:jc w:val="both"/>
        <w:rPr>
          <w:rFonts w:ascii="Times New Roman" w:hAnsi="Times New Roman"/>
          <w:sz w:val="20"/>
          <w:szCs w:val="20"/>
        </w:rPr>
      </w:pPr>
      <w:r w:rsidRPr="006A114F">
        <w:rPr>
          <w:rFonts w:ascii="Times New Roman" w:hAnsi="Times New Roman"/>
          <w:sz w:val="20"/>
          <w:szCs w:val="20"/>
        </w:rPr>
        <w:t xml:space="preserve">Para a </w:t>
      </w:r>
      <w:r w:rsidR="000834BC">
        <w:rPr>
          <w:rFonts w:ascii="Times New Roman" w:hAnsi="Times New Roman"/>
          <w:sz w:val="20"/>
          <w:szCs w:val="20"/>
        </w:rPr>
        <w:t>FIESP</w:t>
      </w:r>
      <w:r w:rsidRPr="006A114F">
        <w:rPr>
          <w:rFonts w:ascii="Times New Roman" w:hAnsi="Times New Roman"/>
          <w:sz w:val="20"/>
          <w:szCs w:val="20"/>
        </w:rPr>
        <w:t xml:space="preserve">, o Programa de Aceleração do Crescimento, anunciado pelo presidente Lula em final de janeiro, merece toda a aprovação. (...) Nos últimos dois anos e meio (...) Skaf tem pregado, insistentemente, a necessidade de o Brasil crescer. (...) Propostas nesta direção foram desenvolvidas em conjunto pela </w:t>
      </w:r>
      <w:r w:rsidR="000834BC">
        <w:rPr>
          <w:rFonts w:ascii="Times New Roman" w:hAnsi="Times New Roman"/>
          <w:sz w:val="20"/>
          <w:szCs w:val="20"/>
        </w:rPr>
        <w:t>FIESP</w:t>
      </w:r>
      <w:r w:rsidRPr="006A114F">
        <w:rPr>
          <w:rFonts w:ascii="Times New Roman" w:hAnsi="Times New Roman"/>
          <w:sz w:val="20"/>
          <w:szCs w:val="20"/>
        </w:rPr>
        <w:t xml:space="preserve"> e pelo Iedi ao longo de 2006. Pouco antes das eleições de outubro, as sugestões foram entregues aos congressistas e candidatos ao governo estadual e à Presidência da República. Muitas estão contempladas no PAC</w:t>
      </w:r>
      <w:r>
        <w:rPr>
          <w:rFonts w:ascii="Times New Roman" w:hAnsi="Times New Roman"/>
          <w:sz w:val="20"/>
          <w:szCs w:val="20"/>
        </w:rPr>
        <w:t>.</w:t>
      </w:r>
      <w:r>
        <w:rPr>
          <w:rStyle w:val="Refdenotaderodap"/>
          <w:rFonts w:ascii="Times New Roman" w:hAnsi="Times New Roman"/>
          <w:sz w:val="20"/>
          <w:szCs w:val="20"/>
        </w:rPr>
        <w:footnoteReference w:id="361"/>
      </w:r>
    </w:p>
    <w:p w:rsidR="00CE3680" w:rsidRDefault="00CE3680" w:rsidP="00CE3680">
      <w:pPr>
        <w:autoSpaceDE w:val="0"/>
        <w:autoSpaceDN w:val="0"/>
        <w:adjustRightInd w:val="0"/>
        <w:spacing w:after="0" w:line="360" w:lineRule="auto"/>
        <w:jc w:val="both"/>
        <w:rPr>
          <w:rFonts w:ascii="Times New Roman" w:hAnsi="Times New Roman"/>
          <w:sz w:val="24"/>
          <w:szCs w:val="24"/>
        </w:rPr>
      </w:pPr>
      <w:r w:rsidRPr="00340412">
        <w:rPr>
          <w:rFonts w:ascii="Times New Roman" w:hAnsi="Times New Roman"/>
          <w:sz w:val="24"/>
          <w:szCs w:val="24"/>
        </w:rPr>
        <w:tab/>
        <w:t>A captura da democracia realizada pelo e no CDES não se refere apenas à lógica quantitativa “1 conselheiro = 1 voto” e, por isso, a média de 46 empresários num total de 90 conselheiros comprometeria uma suposta eficácia democrática. Este argumento é verdadeiro, ainda que seja insuficiente: a) a super-representação garantia a eles maior força e coesão política e social interna para propor pautas, defender posições, direcionar encaminhamentos, ocupar espaços decisivos; b) muitos militavam nas mesmas entidades de classe na sociedade civil, promoviam e frequentavam lugares-comuns de sociabilidade (palestras, seminários, eventos sociais etc), compartilhavam atuações em outras agências estatais, interli</w:t>
      </w:r>
      <w:r>
        <w:rPr>
          <w:rFonts w:ascii="Times New Roman" w:hAnsi="Times New Roman"/>
          <w:sz w:val="24"/>
          <w:szCs w:val="24"/>
        </w:rPr>
        <w:t>gavam-se, como pudemos comprovar</w:t>
      </w:r>
      <w:r w:rsidRPr="00340412">
        <w:rPr>
          <w:rFonts w:ascii="Times New Roman" w:hAnsi="Times New Roman"/>
          <w:sz w:val="24"/>
          <w:szCs w:val="24"/>
        </w:rPr>
        <w:t>, numa teia de participações acionárias próprias do mundo corporativo, permitido convivências próximas nos conselhos de administração, nas reuniões de diretorias e de negócios etc.</w:t>
      </w:r>
    </w:p>
    <w:p w:rsidR="00CE3680" w:rsidRDefault="00CE3680" w:rsidP="00CE3680">
      <w:pPr>
        <w:spacing w:after="0" w:line="360" w:lineRule="auto"/>
        <w:ind w:firstLine="708"/>
        <w:jc w:val="both"/>
        <w:rPr>
          <w:rFonts w:ascii="Times New Roman" w:hAnsi="Times New Roman"/>
          <w:sz w:val="24"/>
          <w:szCs w:val="24"/>
        </w:rPr>
      </w:pPr>
      <w:r>
        <w:rPr>
          <w:rFonts w:ascii="Times New Roman" w:hAnsi="Times New Roman"/>
          <w:sz w:val="24"/>
          <w:szCs w:val="24"/>
        </w:rPr>
        <w:t>Ex-sindicalistas gestores de fundos de pensão, grandes banqueiros ou prepostos nacionais e estrangeiros, proprietários de grandes grupos privados industriais e comerciais, sem esquecer a presença - minoritária, é verdade, mas nem por isso sem importância - do agronegócio, dirigentes de empresas estatais, debateram, formularam e se articularam no “Conselhão do Lula” as linhas-mestras da atuação econômica e social do Estado no curto, médio e longo prazo. De fato, o CDES não era a única arena de articulação destes atores no interior do Estado, mas trazia como peculiaridade um projeto de convencimento em que o formato da democracia passava necessariamente pela formulação de uma engenharia institucional a qual seu conteúdo precisava contemplar os interesses da grande burguesia monopolista e se converter em “interesses gerais” pela via do Estado.</w:t>
      </w:r>
    </w:p>
    <w:p w:rsidR="00CE3680" w:rsidRPr="00340412" w:rsidRDefault="00CE3680" w:rsidP="00CE3680">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P</w:t>
      </w:r>
      <w:r w:rsidRPr="00340412">
        <w:rPr>
          <w:rFonts w:ascii="Times New Roman" w:hAnsi="Times New Roman"/>
          <w:sz w:val="24"/>
          <w:szCs w:val="24"/>
        </w:rPr>
        <w:t>ermitimo-nos, portanto, reafirmar a hipótese que se trata de um Conselho burguês-empresarial, ainda que houvesse presença minoritária de setores das classes populares, mas convencidos em participarem da construção de um espaço cuja amplitude democrática tinha limites bem precisos e projetos mais ou menos definidos.</w:t>
      </w:r>
    </w:p>
    <w:p w:rsidR="00CE3680" w:rsidRDefault="00CE3680" w:rsidP="00CE3680"/>
    <w:p w:rsidR="003228BC" w:rsidRDefault="003228BC" w:rsidP="00BA78E3">
      <w:pPr>
        <w:jc w:val="center"/>
        <w:rPr>
          <w:rFonts w:ascii="Times New Roman" w:hAnsi="Times New Roman"/>
          <w:b/>
          <w:color w:val="FF0000"/>
          <w:sz w:val="24"/>
          <w:szCs w:val="24"/>
        </w:rPr>
      </w:pPr>
    </w:p>
    <w:p w:rsidR="003228BC" w:rsidRDefault="003228BC" w:rsidP="00BA78E3">
      <w:pPr>
        <w:jc w:val="center"/>
        <w:rPr>
          <w:rFonts w:ascii="Times New Roman" w:hAnsi="Times New Roman"/>
          <w:b/>
          <w:color w:val="FF0000"/>
          <w:sz w:val="24"/>
          <w:szCs w:val="24"/>
        </w:rPr>
      </w:pPr>
    </w:p>
    <w:p w:rsidR="003228BC" w:rsidRDefault="003228BC" w:rsidP="00BA78E3">
      <w:pPr>
        <w:jc w:val="center"/>
        <w:rPr>
          <w:rFonts w:ascii="Times New Roman" w:hAnsi="Times New Roman"/>
          <w:b/>
          <w:color w:val="FF0000"/>
          <w:sz w:val="24"/>
          <w:szCs w:val="24"/>
        </w:rPr>
      </w:pPr>
    </w:p>
    <w:p w:rsidR="003228BC" w:rsidRDefault="003228BC" w:rsidP="00BA78E3">
      <w:pPr>
        <w:jc w:val="center"/>
        <w:rPr>
          <w:rFonts w:ascii="Times New Roman" w:hAnsi="Times New Roman"/>
          <w:b/>
          <w:color w:val="FF0000"/>
          <w:sz w:val="24"/>
          <w:szCs w:val="24"/>
        </w:rPr>
      </w:pPr>
    </w:p>
    <w:p w:rsidR="003228BC" w:rsidRDefault="003228BC" w:rsidP="00BA78E3">
      <w:pPr>
        <w:jc w:val="center"/>
        <w:rPr>
          <w:rFonts w:ascii="Times New Roman" w:hAnsi="Times New Roman"/>
          <w:b/>
          <w:color w:val="FF0000"/>
          <w:sz w:val="24"/>
          <w:szCs w:val="24"/>
        </w:rPr>
      </w:pPr>
    </w:p>
    <w:p w:rsidR="003228BC" w:rsidRDefault="003228BC" w:rsidP="00BA78E3">
      <w:pPr>
        <w:jc w:val="center"/>
        <w:rPr>
          <w:rFonts w:ascii="Times New Roman" w:hAnsi="Times New Roman"/>
          <w:b/>
          <w:color w:val="FF0000"/>
          <w:sz w:val="24"/>
          <w:szCs w:val="24"/>
        </w:rPr>
      </w:pPr>
    </w:p>
    <w:p w:rsidR="003228BC" w:rsidRDefault="003228BC" w:rsidP="00BA78E3">
      <w:pPr>
        <w:jc w:val="center"/>
        <w:rPr>
          <w:rFonts w:ascii="Times New Roman" w:hAnsi="Times New Roman"/>
          <w:b/>
          <w:color w:val="FF0000"/>
          <w:sz w:val="24"/>
          <w:szCs w:val="24"/>
        </w:rPr>
      </w:pPr>
    </w:p>
    <w:p w:rsidR="003228BC" w:rsidRDefault="003228BC" w:rsidP="00BA78E3">
      <w:pPr>
        <w:jc w:val="center"/>
        <w:rPr>
          <w:rFonts w:ascii="Times New Roman" w:hAnsi="Times New Roman"/>
          <w:b/>
          <w:color w:val="FF0000"/>
          <w:sz w:val="24"/>
          <w:szCs w:val="24"/>
        </w:rPr>
      </w:pPr>
    </w:p>
    <w:p w:rsidR="003228BC" w:rsidRDefault="003228BC" w:rsidP="00BA78E3">
      <w:pPr>
        <w:jc w:val="center"/>
        <w:rPr>
          <w:rFonts w:ascii="Times New Roman" w:hAnsi="Times New Roman"/>
          <w:b/>
          <w:color w:val="FF0000"/>
          <w:sz w:val="24"/>
          <w:szCs w:val="24"/>
        </w:rPr>
      </w:pPr>
    </w:p>
    <w:p w:rsidR="00886A40" w:rsidRPr="002E6389" w:rsidRDefault="00886A40" w:rsidP="00BA78E3">
      <w:pPr>
        <w:jc w:val="center"/>
        <w:rPr>
          <w:rFonts w:ascii="Times New Roman" w:hAnsi="Times New Roman"/>
          <w:b/>
          <w:sz w:val="24"/>
          <w:szCs w:val="24"/>
        </w:rPr>
      </w:pPr>
      <w:r w:rsidRPr="002E6389">
        <w:rPr>
          <w:rFonts w:ascii="Times New Roman" w:hAnsi="Times New Roman"/>
          <w:b/>
          <w:sz w:val="24"/>
          <w:szCs w:val="24"/>
        </w:rPr>
        <w:t>CAPÍTULO 3</w:t>
      </w:r>
      <w:r w:rsidR="00303FA9" w:rsidRPr="002E6389">
        <w:rPr>
          <w:rFonts w:ascii="Times New Roman" w:hAnsi="Times New Roman"/>
          <w:b/>
          <w:sz w:val="24"/>
          <w:szCs w:val="24"/>
        </w:rPr>
        <w:t xml:space="preserve"> – </w:t>
      </w:r>
      <w:r w:rsidR="008E4EE7" w:rsidRPr="002E6389">
        <w:rPr>
          <w:rFonts w:ascii="Times New Roman" w:hAnsi="Times New Roman"/>
          <w:b/>
          <w:sz w:val="24"/>
          <w:szCs w:val="24"/>
        </w:rPr>
        <w:t>O DESENVOLVIMENTO EM DEBATE: AS LINHAS DE CLIVAGENS</w:t>
      </w:r>
      <w:r w:rsidR="00020455" w:rsidRPr="002E6389">
        <w:rPr>
          <w:rFonts w:ascii="Times New Roman" w:hAnsi="Times New Roman"/>
          <w:b/>
          <w:sz w:val="24"/>
          <w:szCs w:val="24"/>
        </w:rPr>
        <w:t xml:space="preserve"> E A </w:t>
      </w:r>
      <w:r w:rsidR="004B1828" w:rsidRPr="002E6389">
        <w:rPr>
          <w:rFonts w:ascii="Times New Roman" w:hAnsi="Times New Roman"/>
          <w:b/>
          <w:sz w:val="24"/>
          <w:szCs w:val="24"/>
        </w:rPr>
        <w:t>MONTAGEM</w:t>
      </w:r>
      <w:r w:rsidR="00020455" w:rsidRPr="002E6389">
        <w:rPr>
          <w:rFonts w:ascii="Times New Roman" w:hAnsi="Times New Roman"/>
          <w:b/>
          <w:sz w:val="24"/>
          <w:szCs w:val="24"/>
        </w:rPr>
        <w:t xml:space="preserve"> DA HEGEMONIA </w:t>
      </w:r>
      <w:r w:rsidR="00BA78E3" w:rsidRPr="002E6389">
        <w:rPr>
          <w:rFonts w:ascii="Times New Roman" w:hAnsi="Times New Roman"/>
          <w:b/>
          <w:sz w:val="24"/>
          <w:szCs w:val="24"/>
        </w:rPr>
        <w:t xml:space="preserve">SOCIAL-LIBERAL </w:t>
      </w:r>
      <w:r w:rsidR="00020455" w:rsidRPr="002E6389">
        <w:rPr>
          <w:rFonts w:ascii="Times New Roman" w:hAnsi="Times New Roman"/>
          <w:b/>
          <w:sz w:val="24"/>
          <w:szCs w:val="24"/>
        </w:rPr>
        <w:t xml:space="preserve">DO GRANDE CAPITAL </w:t>
      </w:r>
      <w:r w:rsidR="00CA4C79" w:rsidRPr="002E6389">
        <w:rPr>
          <w:rFonts w:ascii="Times New Roman" w:hAnsi="Times New Roman"/>
          <w:b/>
          <w:sz w:val="24"/>
          <w:szCs w:val="24"/>
        </w:rPr>
        <w:t xml:space="preserve">PRODUTOR DE VALOR </w:t>
      </w:r>
      <w:r w:rsidR="00020455" w:rsidRPr="002E6389">
        <w:rPr>
          <w:rFonts w:ascii="Times New Roman" w:hAnsi="Times New Roman"/>
          <w:b/>
          <w:sz w:val="24"/>
          <w:szCs w:val="24"/>
        </w:rPr>
        <w:t>NO CDES</w:t>
      </w:r>
      <w:r w:rsidR="00BA78E3" w:rsidRPr="002E6389">
        <w:rPr>
          <w:rFonts w:ascii="Times New Roman" w:hAnsi="Times New Roman"/>
          <w:b/>
          <w:sz w:val="24"/>
          <w:szCs w:val="24"/>
        </w:rPr>
        <w:t xml:space="preserve"> (2003-200</w:t>
      </w:r>
      <w:r w:rsidR="00741A5B" w:rsidRPr="002E6389">
        <w:rPr>
          <w:rFonts w:ascii="Times New Roman" w:hAnsi="Times New Roman"/>
          <w:b/>
          <w:sz w:val="24"/>
          <w:szCs w:val="24"/>
        </w:rPr>
        <w:t>6</w:t>
      </w:r>
      <w:r w:rsidR="00BA78E3" w:rsidRPr="002E6389">
        <w:rPr>
          <w:rFonts w:ascii="Times New Roman" w:hAnsi="Times New Roman"/>
          <w:b/>
          <w:sz w:val="24"/>
          <w:szCs w:val="24"/>
        </w:rPr>
        <w:t>)</w:t>
      </w:r>
    </w:p>
    <w:p w:rsidR="00BA78E3" w:rsidRPr="002E6389" w:rsidRDefault="00BA78E3" w:rsidP="00BA78E3">
      <w:pPr>
        <w:jc w:val="center"/>
        <w:rPr>
          <w:rFonts w:ascii="Times New Roman" w:hAnsi="Times New Roman"/>
          <w:b/>
          <w:sz w:val="24"/>
          <w:szCs w:val="24"/>
        </w:rPr>
      </w:pPr>
    </w:p>
    <w:p w:rsidR="00303FA9" w:rsidRDefault="00303FA9" w:rsidP="00303FA9">
      <w:pPr>
        <w:spacing w:before="240"/>
        <w:ind w:left="2268"/>
        <w:jc w:val="right"/>
        <w:rPr>
          <w:rFonts w:ascii="Times New Roman" w:hAnsi="Times New Roman"/>
          <w:sz w:val="20"/>
          <w:szCs w:val="20"/>
        </w:rPr>
      </w:pPr>
      <w:r w:rsidRPr="003F6F30">
        <w:rPr>
          <w:rFonts w:ascii="Times New Roman" w:hAnsi="Times New Roman"/>
          <w:i/>
          <w:sz w:val="20"/>
          <w:szCs w:val="20"/>
        </w:rPr>
        <w:t>O País está melhor porque o sistema financeiro está mais sólido, porque as indústrias estão melhorando os seus lucros e, principalmente, porque esses avanços estão chegando na casa e na mesa dos trabalhadores, que hoje têm empregos mais estáveis e salários melhores. (...) Na verdade, precisamos trabalhar para melhorar a qualidade do nosso gasto, diminuindo as despesas de custeio para investir mais em infra-estrutura e ter condições de reduzir a carga tributária. Assim, o governo estimula diretamente o desenvolvimento e abre espaço para o setor privado crescer, crescer mais e gerar empregos. Cumpre, então, colocar o País definitivamente na rota do crescimento de longo prazo</w:t>
      </w:r>
      <w:r w:rsidRPr="003F6F30">
        <w:rPr>
          <w:rFonts w:ascii="Times New Roman" w:hAnsi="Times New Roman"/>
          <w:sz w:val="20"/>
          <w:szCs w:val="20"/>
        </w:rPr>
        <w:t>. (</w:t>
      </w:r>
      <w:r>
        <w:rPr>
          <w:rFonts w:ascii="Times New Roman" w:hAnsi="Times New Roman"/>
          <w:sz w:val="20"/>
          <w:szCs w:val="20"/>
        </w:rPr>
        <w:t xml:space="preserve">Discurso do </w:t>
      </w:r>
      <w:r w:rsidRPr="003F6F30">
        <w:rPr>
          <w:rFonts w:ascii="Times New Roman" w:hAnsi="Times New Roman"/>
          <w:sz w:val="20"/>
          <w:szCs w:val="20"/>
        </w:rPr>
        <w:t>Presidente Lula da Silva na 19ª Reunião Plenária do CDES, 24/08/2006)</w:t>
      </w:r>
    </w:p>
    <w:p w:rsidR="00303FA9" w:rsidRPr="00154C2F" w:rsidRDefault="00303FA9" w:rsidP="00303FA9">
      <w:pPr>
        <w:pStyle w:val="PargrafodaLista"/>
        <w:numPr>
          <w:ilvl w:val="1"/>
          <w:numId w:val="9"/>
        </w:numPr>
        <w:spacing w:before="240" w:after="0" w:line="360" w:lineRule="auto"/>
        <w:jc w:val="both"/>
        <w:rPr>
          <w:rFonts w:ascii="Times New Roman" w:hAnsi="Times New Roman"/>
          <w:b/>
          <w:sz w:val="24"/>
          <w:szCs w:val="24"/>
        </w:rPr>
      </w:pPr>
      <w:r w:rsidRPr="00154C2F">
        <w:rPr>
          <w:rFonts w:ascii="Times New Roman" w:hAnsi="Times New Roman"/>
          <w:b/>
          <w:sz w:val="24"/>
          <w:szCs w:val="24"/>
        </w:rPr>
        <w:t>– Introdução</w:t>
      </w:r>
    </w:p>
    <w:p w:rsidR="00303FA9" w:rsidRPr="0035230A" w:rsidRDefault="00303FA9" w:rsidP="00303FA9">
      <w:pPr>
        <w:spacing w:after="0" w:line="360" w:lineRule="auto"/>
        <w:jc w:val="both"/>
        <w:rPr>
          <w:rFonts w:ascii="Times New Roman" w:hAnsi="Times New Roman"/>
          <w:b/>
          <w:sz w:val="24"/>
          <w:szCs w:val="24"/>
        </w:rPr>
      </w:pP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 xml:space="preserve">Não é exagero afirmar que o eixo articulador do conjunto de preocupações e problemáticas dos variados, distintos e complexos temas que balizava os documentos, discussões e eventos promovidos pelo CDES estava diretamente relacionado à superação dos mecanismos de entraves, aos desafios colocados e às direções a serem assumidas na elaboração do denominado “desenvolvimento sustentável”. Como arena formuladora e propositiva no interior do aparato estatal, os conselheiros do CDES, ainda que cientes das limitações intrínsecas do alcance das proposições por eles emanadas (seu caráter não vinculante e de assessoria restrita à Presidência da República), buscavam o reconhecimento de que suas aspirações e demandas expressassem os anseios da “vontade geral”, senão de “toda a nação”, ao menos daqueles que tinham apostado na “esperança da mudança” quando da eleição de Lula da Silva à Presidência, em 2002. </w:t>
      </w:r>
    </w:p>
    <w:p w:rsidR="00303FA9" w:rsidRDefault="00303FA9" w:rsidP="00303FA9">
      <w:pPr>
        <w:spacing w:after="0" w:line="360" w:lineRule="auto"/>
        <w:jc w:val="both"/>
        <w:rPr>
          <w:rFonts w:ascii="Times New Roman" w:hAnsi="Times New Roman"/>
          <w:sz w:val="24"/>
          <w:szCs w:val="24"/>
        </w:rPr>
      </w:pPr>
      <w:r>
        <w:rPr>
          <w:rFonts w:ascii="Times New Roman" w:hAnsi="Times New Roman"/>
          <w:sz w:val="24"/>
          <w:szCs w:val="24"/>
        </w:rPr>
        <w:tab/>
        <w:t xml:space="preserve">Neste prisma, o desafio que se coloca neste capítulo será o de tentar pôr em relevo o </w:t>
      </w:r>
      <w:r>
        <w:rPr>
          <w:rFonts w:ascii="Times New Roman" w:hAnsi="Times New Roman"/>
          <w:i/>
          <w:sz w:val="24"/>
          <w:szCs w:val="24"/>
        </w:rPr>
        <w:t xml:space="preserve">conteúdo de um projeto de sociabilidade </w:t>
      </w:r>
      <w:r w:rsidR="00AF782D">
        <w:rPr>
          <w:rFonts w:ascii="Times New Roman" w:hAnsi="Times New Roman"/>
          <w:i/>
          <w:sz w:val="24"/>
          <w:szCs w:val="24"/>
        </w:rPr>
        <w:t xml:space="preserve">social-liberal </w:t>
      </w:r>
      <w:r>
        <w:rPr>
          <w:rFonts w:ascii="Times New Roman" w:hAnsi="Times New Roman"/>
          <w:i/>
          <w:sz w:val="24"/>
          <w:szCs w:val="24"/>
        </w:rPr>
        <w:t>que se pretend</w:t>
      </w:r>
      <w:r w:rsidR="00FE30AE">
        <w:rPr>
          <w:rFonts w:ascii="Times New Roman" w:hAnsi="Times New Roman"/>
          <w:i/>
          <w:sz w:val="24"/>
          <w:szCs w:val="24"/>
        </w:rPr>
        <w:t>e</w:t>
      </w:r>
      <w:r>
        <w:rPr>
          <w:rFonts w:ascii="Times New Roman" w:hAnsi="Times New Roman"/>
          <w:i/>
          <w:sz w:val="24"/>
          <w:szCs w:val="24"/>
        </w:rPr>
        <w:t xml:space="preserve"> hegemônico</w:t>
      </w:r>
      <w:r>
        <w:rPr>
          <w:rFonts w:ascii="Times New Roman" w:hAnsi="Times New Roman"/>
          <w:sz w:val="24"/>
          <w:szCs w:val="24"/>
        </w:rPr>
        <w:t xml:space="preserve"> para a realidade brasileira, </w:t>
      </w:r>
      <w:r w:rsidR="00530429">
        <w:rPr>
          <w:rFonts w:ascii="Times New Roman" w:hAnsi="Times New Roman"/>
          <w:sz w:val="24"/>
          <w:szCs w:val="24"/>
        </w:rPr>
        <w:t xml:space="preserve">que </w:t>
      </w:r>
      <w:r w:rsidR="00530429" w:rsidRPr="00530429">
        <w:rPr>
          <w:rFonts w:ascii="Times New Roman" w:hAnsi="Times New Roman"/>
          <w:i/>
          <w:sz w:val="24"/>
          <w:szCs w:val="24"/>
        </w:rPr>
        <w:t>atravessa</w:t>
      </w:r>
      <w:r>
        <w:rPr>
          <w:rFonts w:ascii="Times New Roman" w:hAnsi="Times New Roman"/>
          <w:sz w:val="24"/>
          <w:szCs w:val="24"/>
        </w:rPr>
        <w:t xml:space="preserve">o âmbito do CDES, </w:t>
      </w:r>
      <w:r w:rsidR="00530429" w:rsidRPr="00AF782D">
        <w:rPr>
          <w:rFonts w:ascii="Times New Roman" w:hAnsi="Times New Roman"/>
          <w:i/>
          <w:sz w:val="24"/>
          <w:szCs w:val="24"/>
        </w:rPr>
        <w:t>mas a ele de fato não se limita</w:t>
      </w:r>
      <w:r w:rsidR="00530429">
        <w:rPr>
          <w:rFonts w:ascii="Times New Roman" w:hAnsi="Times New Roman"/>
          <w:sz w:val="24"/>
          <w:szCs w:val="24"/>
        </w:rPr>
        <w:t xml:space="preserve"> e que se encontrava</w:t>
      </w:r>
      <w:r>
        <w:rPr>
          <w:rFonts w:ascii="Times New Roman" w:hAnsi="Times New Roman"/>
          <w:sz w:val="24"/>
          <w:szCs w:val="24"/>
        </w:rPr>
        <w:t xml:space="preserve"> em íntima conexão com as aspirações das associações da sociedade civil nele representadas, </w:t>
      </w:r>
      <w:r w:rsidR="000E70D1">
        <w:rPr>
          <w:rFonts w:ascii="Times New Roman" w:hAnsi="Times New Roman"/>
          <w:sz w:val="24"/>
          <w:szCs w:val="24"/>
        </w:rPr>
        <w:t>sob a direção das entidades patronais.</w:t>
      </w:r>
      <w:r w:rsidR="00DE4698" w:rsidRPr="00C33FA2">
        <w:rPr>
          <w:rFonts w:ascii="Times New Roman" w:hAnsi="Times New Roman"/>
          <w:sz w:val="24"/>
          <w:szCs w:val="24"/>
        </w:rPr>
        <w:t xml:space="preserve">A atuação da burguesia brasileira no CDES não significou o abandono projetivo de suas trincheiras na sociedade civil, mas encontrou nele mais um espaço de operacionalização </w:t>
      </w:r>
      <w:r w:rsidR="008B547C" w:rsidRPr="00C33FA2">
        <w:rPr>
          <w:rFonts w:ascii="Times New Roman" w:hAnsi="Times New Roman"/>
          <w:sz w:val="24"/>
          <w:szCs w:val="24"/>
        </w:rPr>
        <w:t>do exercício da hegemonia</w:t>
      </w:r>
      <w:r w:rsidR="00DE4698" w:rsidRPr="00C33FA2">
        <w:rPr>
          <w:rFonts w:ascii="Times New Roman" w:hAnsi="Times New Roman"/>
          <w:sz w:val="24"/>
          <w:szCs w:val="24"/>
        </w:rPr>
        <w:t xml:space="preserve"> intraburguesa e </w:t>
      </w:r>
      <w:r w:rsidR="005B6DE9">
        <w:rPr>
          <w:rFonts w:ascii="Times New Roman" w:hAnsi="Times New Roman"/>
          <w:sz w:val="24"/>
          <w:szCs w:val="24"/>
        </w:rPr>
        <w:t xml:space="preserve">perante </w:t>
      </w:r>
      <w:r w:rsidR="00DE4698" w:rsidRPr="00C33FA2">
        <w:rPr>
          <w:rFonts w:ascii="Times New Roman" w:hAnsi="Times New Roman"/>
          <w:sz w:val="24"/>
          <w:szCs w:val="24"/>
        </w:rPr>
        <w:t>os demais grupos sociais representados.</w:t>
      </w:r>
      <w:r>
        <w:rPr>
          <w:rFonts w:ascii="Times New Roman" w:hAnsi="Times New Roman"/>
          <w:sz w:val="24"/>
          <w:szCs w:val="24"/>
        </w:rPr>
        <w:t xml:space="preserve">Para tanto, é preciso escrutinar </w:t>
      </w:r>
      <w:r w:rsidR="00FE30AE">
        <w:rPr>
          <w:rFonts w:ascii="Times New Roman" w:hAnsi="Times New Roman"/>
          <w:sz w:val="24"/>
          <w:szCs w:val="24"/>
        </w:rPr>
        <w:t xml:space="preserve">alguns </w:t>
      </w:r>
      <w:r>
        <w:rPr>
          <w:rFonts w:ascii="Times New Roman" w:hAnsi="Times New Roman"/>
          <w:sz w:val="24"/>
          <w:szCs w:val="24"/>
        </w:rPr>
        <w:t>aspecto</w:t>
      </w:r>
      <w:r w:rsidR="00FE30AE">
        <w:rPr>
          <w:rFonts w:ascii="Times New Roman" w:hAnsi="Times New Roman"/>
          <w:sz w:val="24"/>
          <w:szCs w:val="24"/>
        </w:rPr>
        <w:t>s</w:t>
      </w:r>
      <w:r>
        <w:rPr>
          <w:rFonts w:ascii="Times New Roman" w:hAnsi="Times New Roman"/>
          <w:sz w:val="24"/>
          <w:szCs w:val="24"/>
        </w:rPr>
        <w:t xml:space="preserve"> em especial: o que se entend</w:t>
      </w:r>
      <w:r w:rsidR="00FE30AE">
        <w:rPr>
          <w:rFonts w:ascii="Times New Roman" w:hAnsi="Times New Roman"/>
          <w:sz w:val="24"/>
          <w:szCs w:val="24"/>
        </w:rPr>
        <w:t>ia</w:t>
      </w:r>
      <w:r>
        <w:rPr>
          <w:rFonts w:ascii="Times New Roman" w:hAnsi="Times New Roman"/>
          <w:sz w:val="24"/>
          <w:szCs w:val="24"/>
        </w:rPr>
        <w:t xml:space="preserve"> e quais </w:t>
      </w:r>
      <w:r w:rsidR="00FE30AE">
        <w:rPr>
          <w:rFonts w:ascii="Times New Roman" w:hAnsi="Times New Roman"/>
          <w:sz w:val="24"/>
          <w:szCs w:val="24"/>
        </w:rPr>
        <w:t>eram</w:t>
      </w:r>
      <w:r>
        <w:rPr>
          <w:rFonts w:ascii="Times New Roman" w:hAnsi="Times New Roman"/>
          <w:sz w:val="24"/>
          <w:szCs w:val="24"/>
        </w:rPr>
        <w:t xml:space="preserve"> os caminhos </w:t>
      </w:r>
      <w:r w:rsidR="00020455">
        <w:rPr>
          <w:rFonts w:ascii="Times New Roman" w:hAnsi="Times New Roman"/>
          <w:sz w:val="24"/>
          <w:szCs w:val="24"/>
        </w:rPr>
        <w:t>para alcançar o “desenvolvimento com equidade</w:t>
      </w:r>
      <w:r>
        <w:rPr>
          <w:rFonts w:ascii="Times New Roman" w:hAnsi="Times New Roman"/>
          <w:sz w:val="24"/>
          <w:szCs w:val="24"/>
        </w:rPr>
        <w:t xml:space="preserve">” do país e como </w:t>
      </w:r>
      <w:r w:rsidR="00020455">
        <w:rPr>
          <w:rFonts w:ascii="Times New Roman" w:hAnsi="Times New Roman"/>
          <w:sz w:val="24"/>
          <w:szCs w:val="24"/>
        </w:rPr>
        <w:t xml:space="preserve">o tema do desenvolvimento se </w:t>
      </w:r>
      <w:r>
        <w:rPr>
          <w:rFonts w:ascii="Times New Roman" w:hAnsi="Times New Roman"/>
          <w:sz w:val="24"/>
          <w:szCs w:val="24"/>
        </w:rPr>
        <w:t>relaciona</w:t>
      </w:r>
      <w:r w:rsidR="00FE30AE">
        <w:rPr>
          <w:rFonts w:ascii="Times New Roman" w:hAnsi="Times New Roman"/>
          <w:sz w:val="24"/>
          <w:szCs w:val="24"/>
        </w:rPr>
        <w:t>va</w:t>
      </w:r>
      <w:r>
        <w:rPr>
          <w:rFonts w:ascii="Times New Roman" w:hAnsi="Times New Roman"/>
          <w:sz w:val="24"/>
          <w:szCs w:val="24"/>
        </w:rPr>
        <w:t xml:space="preserve"> ao </w:t>
      </w:r>
      <w:r w:rsidR="00020455">
        <w:rPr>
          <w:rFonts w:ascii="Times New Roman" w:hAnsi="Times New Roman"/>
          <w:sz w:val="24"/>
          <w:szCs w:val="24"/>
        </w:rPr>
        <w:t>da</w:t>
      </w:r>
      <w:r w:rsidR="004F6F38">
        <w:rPr>
          <w:rFonts w:ascii="Times New Roman" w:hAnsi="Times New Roman"/>
          <w:sz w:val="24"/>
          <w:szCs w:val="24"/>
        </w:rPr>
        <w:t>s</w:t>
      </w:r>
      <w:r>
        <w:rPr>
          <w:rFonts w:ascii="Times New Roman" w:hAnsi="Times New Roman"/>
          <w:sz w:val="24"/>
          <w:szCs w:val="24"/>
        </w:rPr>
        <w:t>“desigualdade</w:t>
      </w:r>
      <w:r w:rsidR="004F6F38">
        <w:rPr>
          <w:rFonts w:ascii="Times New Roman" w:hAnsi="Times New Roman"/>
          <w:sz w:val="24"/>
          <w:szCs w:val="24"/>
        </w:rPr>
        <w:t>s</w:t>
      </w:r>
      <w:r w:rsidR="00020455">
        <w:rPr>
          <w:rFonts w:ascii="Times New Roman" w:hAnsi="Times New Roman"/>
          <w:sz w:val="24"/>
          <w:szCs w:val="24"/>
        </w:rPr>
        <w:t>” ou “iniquidade</w:t>
      </w:r>
      <w:r w:rsidR="004F6F38">
        <w:rPr>
          <w:rFonts w:ascii="Times New Roman" w:hAnsi="Times New Roman"/>
          <w:sz w:val="24"/>
          <w:szCs w:val="24"/>
        </w:rPr>
        <w:t>s</w:t>
      </w:r>
      <w:r>
        <w:rPr>
          <w:rFonts w:ascii="Times New Roman" w:hAnsi="Times New Roman"/>
          <w:sz w:val="24"/>
          <w:szCs w:val="24"/>
        </w:rPr>
        <w:t>” sociais</w:t>
      </w:r>
      <w:r w:rsidR="00020455">
        <w:rPr>
          <w:rFonts w:ascii="Times New Roman" w:hAnsi="Times New Roman"/>
          <w:sz w:val="24"/>
          <w:szCs w:val="24"/>
        </w:rPr>
        <w:t>.</w:t>
      </w:r>
    </w:p>
    <w:p w:rsidR="00303FA9" w:rsidRPr="00F6213C" w:rsidRDefault="00303FA9" w:rsidP="00F6213C">
      <w:pPr>
        <w:spacing w:after="0" w:line="360" w:lineRule="auto"/>
        <w:ind w:firstLine="708"/>
        <w:jc w:val="both"/>
        <w:rPr>
          <w:rFonts w:ascii="Times New Roman" w:hAnsi="Times New Roman"/>
          <w:i/>
          <w:color w:val="FF0000"/>
          <w:sz w:val="24"/>
          <w:szCs w:val="24"/>
        </w:rPr>
      </w:pPr>
      <w:r>
        <w:rPr>
          <w:rFonts w:ascii="Times New Roman" w:hAnsi="Times New Roman"/>
          <w:sz w:val="24"/>
          <w:szCs w:val="24"/>
        </w:rPr>
        <w:t xml:space="preserve">Temos razões suficientes para sustentar como hipótese de trabalho que o </w:t>
      </w:r>
      <w:r w:rsidRPr="00D45313">
        <w:rPr>
          <w:rFonts w:ascii="Times New Roman" w:hAnsi="Times New Roman"/>
          <w:sz w:val="24"/>
          <w:szCs w:val="24"/>
        </w:rPr>
        <w:t xml:space="preserve">projeto </w:t>
      </w:r>
      <w:r>
        <w:rPr>
          <w:rFonts w:ascii="Times New Roman" w:hAnsi="Times New Roman"/>
          <w:sz w:val="24"/>
          <w:szCs w:val="24"/>
        </w:rPr>
        <w:t xml:space="preserve">aludido, (re)produzido ou (re)elaborado no interior do CDES, </w:t>
      </w:r>
      <w:r w:rsidR="00F6213C">
        <w:rPr>
          <w:rFonts w:ascii="Times New Roman" w:hAnsi="Times New Roman"/>
          <w:i/>
          <w:sz w:val="24"/>
          <w:szCs w:val="24"/>
        </w:rPr>
        <w:t xml:space="preserve">no período em que o estudamos, </w:t>
      </w:r>
      <w:r>
        <w:rPr>
          <w:rFonts w:ascii="Times New Roman" w:hAnsi="Times New Roman"/>
          <w:sz w:val="24"/>
          <w:szCs w:val="24"/>
        </w:rPr>
        <w:t>não apenas traduz</w:t>
      </w:r>
      <w:r w:rsidR="00FE30AE">
        <w:rPr>
          <w:rFonts w:ascii="Times New Roman" w:hAnsi="Times New Roman"/>
          <w:sz w:val="24"/>
          <w:szCs w:val="24"/>
        </w:rPr>
        <w:t>ia</w:t>
      </w:r>
      <w:r>
        <w:rPr>
          <w:rFonts w:ascii="Times New Roman" w:hAnsi="Times New Roman"/>
          <w:sz w:val="24"/>
          <w:szCs w:val="24"/>
        </w:rPr>
        <w:t>, mas também refina</w:t>
      </w:r>
      <w:r w:rsidR="00FE30AE">
        <w:rPr>
          <w:rFonts w:ascii="Times New Roman" w:hAnsi="Times New Roman"/>
          <w:sz w:val="24"/>
          <w:szCs w:val="24"/>
        </w:rPr>
        <w:t>va</w:t>
      </w:r>
      <w:r>
        <w:rPr>
          <w:rFonts w:ascii="Times New Roman" w:hAnsi="Times New Roman"/>
          <w:sz w:val="24"/>
          <w:szCs w:val="24"/>
        </w:rPr>
        <w:t xml:space="preserve">, e sobretudo </w:t>
      </w:r>
      <w:r w:rsidRPr="00C33FA2">
        <w:rPr>
          <w:rFonts w:ascii="Times New Roman" w:hAnsi="Times New Roman"/>
          <w:i/>
          <w:sz w:val="24"/>
          <w:szCs w:val="24"/>
        </w:rPr>
        <w:t>busca</w:t>
      </w:r>
      <w:r w:rsidR="00FE30AE">
        <w:rPr>
          <w:rFonts w:ascii="Times New Roman" w:hAnsi="Times New Roman"/>
          <w:i/>
          <w:sz w:val="24"/>
          <w:szCs w:val="24"/>
        </w:rPr>
        <w:t>va</w:t>
      </w:r>
      <w:r w:rsidR="00416E82" w:rsidRPr="00C33FA2">
        <w:rPr>
          <w:rFonts w:ascii="Times New Roman" w:hAnsi="Times New Roman"/>
          <w:i/>
          <w:sz w:val="24"/>
          <w:szCs w:val="24"/>
        </w:rPr>
        <w:t>a montagem paulatina</w:t>
      </w:r>
      <w:r w:rsidR="00F6213C" w:rsidRPr="00C33FA2">
        <w:rPr>
          <w:rFonts w:ascii="Times New Roman" w:hAnsi="Times New Roman"/>
          <w:i/>
          <w:sz w:val="24"/>
          <w:szCs w:val="24"/>
        </w:rPr>
        <w:t xml:space="preserve"> eem constante maturação das formas de exercício da hegemonia</w:t>
      </w:r>
      <w:r w:rsidRPr="00C33FA2">
        <w:rPr>
          <w:rFonts w:ascii="Times New Roman" w:hAnsi="Times New Roman"/>
          <w:sz w:val="24"/>
          <w:szCs w:val="24"/>
        </w:rPr>
        <w:t xml:space="preserve"> (no sentido de gramsciano de obter o consenso ativo sob dada direção) </w:t>
      </w:r>
      <w:r w:rsidR="00F6213C" w:rsidRPr="00C33FA2">
        <w:rPr>
          <w:rFonts w:ascii="Times New Roman" w:hAnsi="Times New Roman"/>
          <w:sz w:val="24"/>
          <w:szCs w:val="24"/>
        </w:rPr>
        <w:t xml:space="preserve">por meio do atendimento das </w:t>
      </w:r>
      <w:r w:rsidRPr="00C33FA2">
        <w:rPr>
          <w:rFonts w:ascii="Times New Roman" w:hAnsi="Times New Roman"/>
          <w:sz w:val="24"/>
          <w:szCs w:val="24"/>
        </w:rPr>
        <w:t>demandas caras às associações empresariais da sociedade civil</w:t>
      </w:r>
      <w:r w:rsidR="00CA4C79" w:rsidRPr="00C33FA2">
        <w:rPr>
          <w:rFonts w:ascii="Times New Roman" w:hAnsi="Times New Roman"/>
          <w:sz w:val="24"/>
          <w:szCs w:val="24"/>
        </w:rPr>
        <w:t xml:space="preserve"> representativas </w:t>
      </w:r>
      <w:r w:rsidR="003228BC" w:rsidRPr="00C33FA2">
        <w:rPr>
          <w:rFonts w:ascii="Times New Roman" w:hAnsi="Times New Roman"/>
          <w:sz w:val="24"/>
          <w:szCs w:val="24"/>
        </w:rPr>
        <w:t>de setores ligados ao</w:t>
      </w:r>
      <w:r w:rsidR="00CA4C79" w:rsidRPr="00C33FA2">
        <w:rPr>
          <w:rFonts w:ascii="Times New Roman" w:hAnsi="Times New Roman"/>
          <w:i/>
          <w:sz w:val="24"/>
          <w:szCs w:val="24"/>
        </w:rPr>
        <w:t xml:space="preserve"> grande capital produtor de valor</w:t>
      </w:r>
      <w:r w:rsidRPr="00C33FA2">
        <w:rPr>
          <w:rFonts w:ascii="Times New Roman" w:hAnsi="Times New Roman"/>
          <w:sz w:val="24"/>
          <w:szCs w:val="24"/>
        </w:rPr>
        <w:t xml:space="preserve">. </w:t>
      </w:r>
      <w:r>
        <w:rPr>
          <w:rFonts w:ascii="Times New Roman" w:hAnsi="Times New Roman"/>
          <w:sz w:val="24"/>
          <w:szCs w:val="24"/>
        </w:rPr>
        <w:t xml:space="preserve">Durante o primeiro governo Lula da Silva, o CDES se qualificava como uma espécie de “oficina”, de “laboratório”, ou melhor, de “incubadora” </w:t>
      </w:r>
      <w:r>
        <w:rPr>
          <w:rFonts w:ascii="Times New Roman" w:hAnsi="Times New Roman"/>
          <w:i/>
          <w:sz w:val="24"/>
          <w:szCs w:val="24"/>
        </w:rPr>
        <w:t xml:space="preserve">ex </w:t>
      </w:r>
      <w:r w:rsidRPr="001A0F36">
        <w:rPr>
          <w:rFonts w:ascii="Times New Roman" w:hAnsi="Times New Roman"/>
          <w:i/>
          <w:sz w:val="24"/>
          <w:szCs w:val="24"/>
        </w:rPr>
        <w:t>ante</w:t>
      </w:r>
      <w:r>
        <w:rPr>
          <w:rFonts w:ascii="Times New Roman" w:hAnsi="Times New Roman"/>
          <w:i/>
          <w:sz w:val="24"/>
          <w:szCs w:val="24"/>
        </w:rPr>
        <w:t>:</w:t>
      </w:r>
      <w:r>
        <w:rPr>
          <w:rFonts w:ascii="Times New Roman" w:hAnsi="Times New Roman"/>
          <w:sz w:val="24"/>
          <w:szCs w:val="24"/>
        </w:rPr>
        <w:t xml:space="preserve"> os debates, resoluções e documentos dele derivados robusteciam a proposta de reexame lateral do modelo de crescimento então vigente, em que o</w:t>
      </w:r>
      <w:r w:rsidR="00E008CD">
        <w:rPr>
          <w:rFonts w:ascii="Times New Roman" w:hAnsi="Times New Roman"/>
          <w:sz w:val="24"/>
          <w:szCs w:val="24"/>
        </w:rPr>
        <w:t xml:space="preserve"> auto</w:t>
      </w:r>
      <w:r w:rsidR="00530429">
        <w:rPr>
          <w:rFonts w:ascii="Times New Roman" w:hAnsi="Times New Roman"/>
          <w:sz w:val="24"/>
          <w:szCs w:val="24"/>
        </w:rPr>
        <w:t>denominado</w:t>
      </w:r>
      <w:r>
        <w:rPr>
          <w:rFonts w:ascii="Times New Roman" w:hAnsi="Times New Roman"/>
          <w:sz w:val="24"/>
          <w:szCs w:val="24"/>
        </w:rPr>
        <w:t xml:space="preserve"> “setor produtivo”</w:t>
      </w:r>
      <w:r w:rsidR="008B547C">
        <w:rPr>
          <w:rFonts w:ascii="Times New Roman" w:hAnsi="Times New Roman"/>
          <w:sz w:val="24"/>
          <w:szCs w:val="24"/>
        </w:rPr>
        <w:t>,</w:t>
      </w:r>
      <w:r w:rsidR="00530429">
        <w:rPr>
          <w:rStyle w:val="Refdenotaderodap"/>
          <w:rFonts w:ascii="Times New Roman" w:hAnsi="Times New Roman"/>
          <w:sz w:val="24"/>
          <w:szCs w:val="24"/>
        </w:rPr>
        <w:footnoteReference w:id="362"/>
      </w:r>
      <w:r>
        <w:rPr>
          <w:rFonts w:ascii="Times New Roman" w:hAnsi="Times New Roman"/>
          <w:sz w:val="24"/>
          <w:szCs w:val="24"/>
        </w:rPr>
        <w:t xml:space="preserve"> por meio das lideranças das associações patronais representad</w:t>
      </w:r>
      <w:r w:rsidR="00FC4B8E">
        <w:rPr>
          <w:rFonts w:ascii="Times New Roman" w:hAnsi="Times New Roman"/>
          <w:sz w:val="24"/>
          <w:szCs w:val="24"/>
        </w:rPr>
        <w:t xml:space="preserve">as, tentava se posicionar comosetor </w:t>
      </w:r>
      <w:r>
        <w:rPr>
          <w:rFonts w:ascii="Times New Roman" w:hAnsi="Times New Roman"/>
          <w:sz w:val="24"/>
          <w:szCs w:val="24"/>
        </w:rPr>
        <w:t>privilegiad</w:t>
      </w:r>
      <w:r w:rsidR="00FC4B8E">
        <w:rPr>
          <w:rFonts w:ascii="Times New Roman" w:hAnsi="Times New Roman"/>
          <w:sz w:val="24"/>
          <w:szCs w:val="24"/>
        </w:rPr>
        <w:t>o</w:t>
      </w:r>
      <w:r>
        <w:rPr>
          <w:rFonts w:ascii="Times New Roman" w:hAnsi="Times New Roman"/>
          <w:sz w:val="24"/>
          <w:szCs w:val="24"/>
        </w:rPr>
        <w:t xml:space="preserve"> na apropriação de excedentes de valor, seja através da realocação em seu favor da massa de recursos estatais e do fundo público (sob a forma de investimentos em infraestrutura, financiamentos à juros subsidiados, incentivos e desonerações tributárias, etc), e/ou seja através de políticas sociais (sob a forma de programas de qualificação de </w:t>
      </w:r>
      <w:r w:rsidR="00D056BE">
        <w:rPr>
          <w:rFonts w:ascii="Times New Roman" w:hAnsi="Times New Roman"/>
          <w:sz w:val="24"/>
          <w:szCs w:val="24"/>
        </w:rPr>
        <w:t>mão de obra</w:t>
      </w:r>
      <w:r>
        <w:rPr>
          <w:rFonts w:ascii="Times New Roman" w:hAnsi="Times New Roman"/>
          <w:sz w:val="24"/>
          <w:szCs w:val="24"/>
        </w:rPr>
        <w:t xml:space="preserve"> e de privatização do ensino superior – ProUni</w:t>
      </w:r>
      <w:r>
        <w:rPr>
          <w:rStyle w:val="Refdenotaderodap"/>
          <w:rFonts w:ascii="Times New Roman" w:hAnsi="Times New Roman"/>
          <w:sz w:val="24"/>
          <w:szCs w:val="24"/>
        </w:rPr>
        <w:footnoteReference w:id="363"/>
      </w:r>
      <w:r>
        <w:rPr>
          <w:rFonts w:ascii="Times New Roman" w:hAnsi="Times New Roman"/>
          <w:sz w:val="24"/>
          <w:szCs w:val="24"/>
        </w:rPr>
        <w:t>/Fies/ReUni, de investimentos habitacionais e saneamento básico, de programas focalizados de transferência de rendas, de formas de incentivos ao aumento do consumo interno, de política de crédito consignado, de aumento real do salário mínimo,  etc).</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 xml:space="preserve">Todo este processo é recheado de contradições, em especial no que tange às políticas sociais, posto que não é falseador o argumento de que elas procuravam responder (de forma precarizada, parcelizada e ressignificada) aos anseios das lutas populares de longa data. O desafio é pensar de que forma seu </w:t>
      </w:r>
      <w:r>
        <w:rPr>
          <w:rFonts w:ascii="Times New Roman" w:hAnsi="Times New Roman"/>
          <w:i/>
          <w:sz w:val="24"/>
          <w:szCs w:val="24"/>
        </w:rPr>
        <w:t>processo de elaboração</w:t>
      </w:r>
      <w:r>
        <w:rPr>
          <w:rFonts w:ascii="Times New Roman" w:hAnsi="Times New Roman"/>
          <w:sz w:val="24"/>
          <w:szCs w:val="24"/>
        </w:rPr>
        <w:t xml:space="preserve"> foi direcionado para a ampliação e aceleração da reprodução do ciclo do capital, o que exigiu formas brutais de supressão de direitos universais, de aprofundamento da dependência e de subsunção real dos trabalhadores </w:t>
      </w:r>
      <w:r w:rsidR="00960C62">
        <w:rPr>
          <w:rFonts w:ascii="Times New Roman" w:hAnsi="Times New Roman"/>
          <w:sz w:val="24"/>
          <w:szCs w:val="24"/>
        </w:rPr>
        <w:t>a</w:t>
      </w:r>
      <w:r>
        <w:rPr>
          <w:rFonts w:ascii="Times New Roman" w:hAnsi="Times New Roman"/>
          <w:sz w:val="24"/>
          <w:szCs w:val="24"/>
        </w:rPr>
        <w:t xml:space="preserve">o mercado </w:t>
      </w:r>
      <w:r w:rsidR="00960C62">
        <w:rPr>
          <w:rFonts w:ascii="Times New Roman" w:hAnsi="Times New Roman"/>
          <w:sz w:val="24"/>
          <w:szCs w:val="24"/>
        </w:rPr>
        <w:t xml:space="preserve">e subordinação ao Estado </w:t>
      </w:r>
      <w:r>
        <w:rPr>
          <w:rFonts w:ascii="Times New Roman" w:hAnsi="Times New Roman"/>
          <w:sz w:val="24"/>
          <w:szCs w:val="24"/>
        </w:rPr>
        <w:t xml:space="preserve">no capitalismo contemporâneo, em suma, de radical mercantilização da vida social. Por outro lado, sem dúvida as contradições radicam também na suposição de que existam, no capitalismo do século XXI, agentes </w:t>
      </w:r>
      <w:r w:rsidR="00F6213C">
        <w:rPr>
          <w:rFonts w:ascii="Times New Roman" w:hAnsi="Times New Roman"/>
          <w:sz w:val="24"/>
          <w:szCs w:val="24"/>
        </w:rPr>
        <w:t xml:space="preserve">e setores </w:t>
      </w:r>
      <w:r>
        <w:rPr>
          <w:rFonts w:ascii="Times New Roman" w:hAnsi="Times New Roman"/>
          <w:sz w:val="24"/>
          <w:szCs w:val="24"/>
        </w:rPr>
        <w:t>econômicos da fração produtiva do capital (remeto à função “P” da fórmula M-D...P...M’-D’), simultaneamente criadora e apropriadora do valor, traduzidos desafortunadamente como “burguesia industrial”, sem que estejam entrelaçados, de forma mais ou menos orgânica – a depender da magnitude do capital e das relações com Estado - com as demais formas específicas de funcionamento do capital em geral.</w:t>
      </w:r>
    </w:p>
    <w:p w:rsidR="006B6A05"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Ciente desta exigência e conformação orgânica do capitalismo atual, neste capítulo, es</w:t>
      </w:r>
      <w:r w:rsidR="00572133">
        <w:rPr>
          <w:rFonts w:ascii="Times New Roman" w:hAnsi="Times New Roman"/>
          <w:sz w:val="24"/>
          <w:szCs w:val="24"/>
        </w:rPr>
        <w:t>s</w:t>
      </w:r>
      <w:r>
        <w:rPr>
          <w:rFonts w:ascii="Times New Roman" w:hAnsi="Times New Roman"/>
          <w:sz w:val="24"/>
          <w:szCs w:val="24"/>
        </w:rPr>
        <w:t xml:space="preserve">a tensão será exposta e examinada à luz do que os agentes econômicos e sociais </w:t>
      </w:r>
      <w:r w:rsidRPr="00A22CEC">
        <w:rPr>
          <w:rFonts w:ascii="Times New Roman" w:hAnsi="Times New Roman"/>
          <w:i/>
          <w:sz w:val="24"/>
          <w:szCs w:val="24"/>
        </w:rPr>
        <w:t>verbaliza</w:t>
      </w:r>
      <w:r>
        <w:rPr>
          <w:rFonts w:ascii="Times New Roman" w:hAnsi="Times New Roman"/>
          <w:i/>
          <w:sz w:val="24"/>
          <w:szCs w:val="24"/>
        </w:rPr>
        <w:t>va</w:t>
      </w:r>
      <w:r w:rsidRPr="00A22CEC">
        <w:rPr>
          <w:rFonts w:ascii="Times New Roman" w:hAnsi="Times New Roman"/>
          <w:i/>
          <w:sz w:val="24"/>
          <w:szCs w:val="24"/>
        </w:rPr>
        <w:t>m nas plenárias</w:t>
      </w:r>
      <w:r>
        <w:rPr>
          <w:rFonts w:ascii="Times New Roman" w:hAnsi="Times New Roman"/>
          <w:sz w:val="24"/>
          <w:szCs w:val="24"/>
        </w:rPr>
        <w:t xml:space="preserve">, isto é, como </w:t>
      </w:r>
      <w:r>
        <w:rPr>
          <w:rFonts w:ascii="Times New Roman" w:hAnsi="Times New Roman"/>
          <w:i/>
          <w:sz w:val="24"/>
          <w:szCs w:val="24"/>
        </w:rPr>
        <w:t>porta-vozes das entidades da sociedade civil d</w:t>
      </w:r>
      <w:r w:rsidR="00FC4B8E">
        <w:rPr>
          <w:rFonts w:ascii="Times New Roman" w:hAnsi="Times New Roman"/>
          <w:i/>
          <w:sz w:val="24"/>
          <w:szCs w:val="24"/>
        </w:rPr>
        <w:t>os setores das</w:t>
      </w:r>
      <w:r>
        <w:rPr>
          <w:rFonts w:ascii="Times New Roman" w:hAnsi="Times New Roman"/>
          <w:i/>
          <w:sz w:val="24"/>
          <w:szCs w:val="24"/>
        </w:rPr>
        <w:t xml:space="preserve"> frações de classes às quais pertenciam, </w:t>
      </w:r>
      <w:r>
        <w:rPr>
          <w:rFonts w:ascii="Times New Roman" w:hAnsi="Times New Roman"/>
          <w:sz w:val="24"/>
          <w:szCs w:val="24"/>
        </w:rPr>
        <w:t xml:space="preserve">o que </w:t>
      </w:r>
      <w:r w:rsidRPr="00A22CEC">
        <w:rPr>
          <w:rFonts w:ascii="Times New Roman" w:hAnsi="Times New Roman"/>
          <w:i/>
          <w:sz w:val="24"/>
          <w:szCs w:val="24"/>
        </w:rPr>
        <w:t>não necessariamente</w:t>
      </w:r>
      <w:r>
        <w:rPr>
          <w:rFonts w:ascii="Times New Roman" w:hAnsi="Times New Roman"/>
          <w:sz w:val="24"/>
          <w:szCs w:val="24"/>
        </w:rPr>
        <w:t xml:space="preserve"> os posicionavam, nesta situação em particular, como </w:t>
      </w:r>
      <w:r w:rsidRPr="002E7E4F">
        <w:rPr>
          <w:rFonts w:ascii="Times New Roman" w:hAnsi="Times New Roman"/>
          <w:i/>
          <w:sz w:val="24"/>
          <w:szCs w:val="24"/>
        </w:rPr>
        <w:t xml:space="preserve">tradutores </w:t>
      </w:r>
      <w:r w:rsidRPr="008069A0">
        <w:rPr>
          <w:rFonts w:ascii="Times New Roman" w:hAnsi="Times New Roman"/>
          <w:i/>
          <w:sz w:val="24"/>
          <w:szCs w:val="24"/>
        </w:rPr>
        <w:t xml:space="preserve">dos interesses </w:t>
      </w:r>
      <w:r>
        <w:rPr>
          <w:rFonts w:ascii="Times New Roman" w:hAnsi="Times New Roman"/>
          <w:i/>
          <w:sz w:val="24"/>
          <w:szCs w:val="24"/>
        </w:rPr>
        <w:t xml:space="preserve">diretos e </w:t>
      </w:r>
      <w:r w:rsidRPr="008069A0">
        <w:rPr>
          <w:rFonts w:ascii="Times New Roman" w:hAnsi="Times New Roman"/>
          <w:i/>
          <w:sz w:val="24"/>
          <w:szCs w:val="24"/>
        </w:rPr>
        <w:t>imediatos</w:t>
      </w:r>
      <w:r>
        <w:rPr>
          <w:rFonts w:ascii="Times New Roman" w:hAnsi="Times New Roman"/>
          <w:sz w:val="24"/>
          <w:szCs w:val="24"/>
        </w:rPr>
        <w:t xml:space="preserve"> das teias corporativas as quais suas empresas e grupos econômicos se envolviam</w:t>
      </w:r>
      <w:r w:rsidR="001D2AC3">
        <w:rPr>
          <w:rFonts w:ascii="Times New Roman" w:hAnsi="Times New Roman"/>
          <w:sz w:val="24"/>
          <w:szCs w:val="24"/>
        </w:rPr>
        <w:t>, as quais incluíam, como mostrado no capitulo anterior, a interpenetração com o capital portador de juros (monetário).</w:t>
      </w:r>
    </w:p>
    <w:p w:rsidR="005029C3" w:rsidRDefault="006B6A05" w:rsidP="00303FA9">
      <w:pPr>
        <w:spacing w:after="0" w:line="360" w:lineRule="auto"/>
        <w:ind w:firstLine="708"/>
        <w:jc w:val="both"/>
        <w:rPr>
          <w:rFonts w:ascii="Times New Roman" w:hAnsi="Times New Roman"/>
          <w:sz w:val="24"/>
          <w:szCs w:val="24"/>
        </w:rPr>
      </w:pPr>
      <w:r>
        <w:rPr>
          <w:rFonts w:ascii="Times New Roman" w:hAnsi="Times New Roman"/>
          <w:sz w:val="24"/>
          <w:szCs w:val="24"/>
        </w:rPr>
        <w:t>Em muitos momentos do</w:t>
      </w:r>
      <w:r w:rsidR="000E70D1">
        <w:rPr>
          <w:rFonts w:ascii="Times New Roman" w:hAnsi="Times New Roman"/>
          <w:sz w:val="24"/>
          <w:szCs w:val="24"/>
        </w:rPr>
        <w:t xml:space="preserve"> capítulo intenciona</w:t>
      </w:r>
      <w:r>
        <w:rPr>
          <w:rFonts w:ascii="Times New Roman" w:hAnsi="Times New Roman"/>
          <w:sz w:val="24"/>
          <w:szCs w:val="24"/>
        </w:rPr>
        <w:t>mosestudar os processos de elaboração d</w:t>
      </w:r>
      <w:r w:rsidR="000E70D1">
        <w:rPr>
          <w:rFonts w:ascii="Times New Roman" w:hAnsi="Times New Roman"/>
          <w:sz w:val="24"/>
          <w:szCs w:val="24"/>
        </w:rPr>
        <w:t>os programas</w:t>
      </w:r>
      <w:r>
        <w:rPr>
          <w:rFonts w:ascii="Times New Roman" w:hAnsi="Times New Roman"/>
          <w:sz w:val="24"/>
          <w:szCs w:val="24"/>
        </w:rPr>
        <w:t xml:space="preserve"> voltados aos debates acerca do “desenvolvimento com equidade”</w:t>
      </w:r>
      <w:r w:rsidR="0076460F">
        <w:rPr>
          <w:rFonts w:ascii="Times New Roman" w:hAnsi="Times New Roman"/>
          <w:sz w:val="24"/>
          <w:szCs w:val="24"/>
        </w:rPr>
        <w:t>,</w:t>
      </w:r>
      <w:r>
        <w:rPr>
          <w:rFonts w:ascii="Times New Roman" w:hAnsi="Times New Roman"/>
          <w:sz w:val="24"/>
          <w:szCs w:val="24"/>
        </w:rPr>
        <w:t xml:space="preserve"> sob a perspectiva de realçar os embates e clivagens pela </w:t>
      </w:r>
      <w:r w:rsidRPr="00FC4B8E">
        <w:rPr>
          <w:rFonts w:ascii="Times New Roman" w:hAnsi="Times New Roman"/>
          <w:i/>
          <w:sz w:val="24"/>
          <w:szCs w:val="24"/>
        </w:rPr>
        <w:t>busca</w:t>
      </w:r>
      <w:r>
        <w:rPr>
          <w:rFonts w:ascii="Times New Roman" w:hAnsi="Times New Roman"/>
          <w:sz w:val="24"/>
          <w:szCs w:val="24"/>
        </w:rPr>
        <w:t xml:space="preserve"> da </w:t>
      </w:r>
      <w:r w:rsidR="000E70D1">
        <w:rPr>
          <w:rFonts w:ascii="Times New Roman" w:hAnsi="Times New Roman"/>
          <w:sz w:val="24"/>
          <w:szCs w:val="24"/>
        </w:rPr>
        <w:t>hegemonia</w:t>
      </w:r>
      <w:r>
        <w:rPr>
          <w:rFonts w:ascii="Times New Roman" w:hAnsi="Times New Roman"/>
          <w:sz w:val="24"/>
          <w:szCs w:val="24"/>
        </w:rPr>
        <w:t xml:space="preserve"> no interior do CDES. Em outros, principalmente no que tange ao estudo dos Documentos Estratégicos, o objetivo permanece, mas como </w:t>
      </w:r>
      <w:r w:rsidR="005029C3">
        <w:rPr>
          <w:rFonts w:ascii="Times New Roman" w:hAnsi="Times New Roman"/>
          <w:sz w:val="24"/>
          <w:szCs w:val="24"/>
        </w:rPr>
        <w:t xml:space="preserve">se </w:t>
      </w:r>
      <w:r>
        <w:rPr>
          <w:rFonts w:ascii="Times New Roman" w:hAnsi="Times New Roman"/>
          <w:sz w:val="24"/>
          <w:szCs w:val="24"/>
        </w:rPr>
        <w:t>trata de documentação oriunda de um “</w:t>
      </w:r>
      <w:r w:rsidR="0076460F">
        <w:rPr>
          <w:rFonts w:ascii="Times New Roman" w:hAnsi="Times New Roman"/>
          <w:sz w:val="24"/>
          <w:szCs w:val="24"/>
        </w:rPr>
        <w:t>acordo</w:t>
      </w:r>
      <w:r>
        <w:rPr>
          <w:rFonts w:ascii="Times New Roman" w:hAnsi="Times New Roman"/>
          <w:sz w:val="24"/>
          <w:szCs w:val="24"/>
        </w:rPr>
        <w:t xml:space="preserve"> coletivo”</w:t>
      </w:r>
      <w:r w:rsidR="0076460F">
        <w:rPr>
          <w:rFonts w:ascii="Times New Roman" w:hAnsi="Times New Roman"/>
          <w:sz w:val="24"/>
          <w:szCs w:val="24"/>
        </w:rPr>
        <w:t xml:space="preserve"> (ou melhor, resultante da operacionalização da hegemonia)</w:t>
      </w:r>
      <w:r w:rsidR="005029C3">
        <w:rPr>
          <w:rFonts w:ascii="Times New Roman" w:hAnsi="Times New Roman"/>
          <w:sz w:val="24"/>
          <w:szCs w:val="24"/>
        </w:rPr>
        <w:t xml:space="preserve">, torna-se difícil estudar </w:t>
      </w:r>
      <w:r w:rsidR="00FC4B8E">
        <w:rPr>
          <w:rFonts w:ascii="Times New Roman" w:hAnsi="Times New Roman"/>
          <w:sz w:val="24"/>
          <w:szCs w:val="24"/>
        </w:rPr>
        <w:t xml:space="preserve">e explicitar </w:t>
      </w:r>
      <w:r w:rsidR="005029C3">
        <w:rPr>
          <w:rFonts w:ascii="Times New Roman" w:hAnsi="Times New Roman"/>
          <w:sz w:val="24"/>
          <w:szCs w:val="24"/>
        </w:rPr>
        <w:t xml:space="preserve">as tensões e os embates em sua </w:t>
      </w:r>
      <w:r w:rsidR="00FC4B8E">
        <w:rPr>
          <w:rFonts w:ascii="Times New Roman" w:hAnsi="Times New Roman"/>
          <w:sz w:val="24"/>
          <w:szCs w:val="24"/>
        </w:rPr>
        <w:t>dinâmica real</w:t>
      </w:r>
      <w:r w:rsidR="00613DB1">
        <w:rPr>
          <w:rFonts w:ascii="Times New Roman" w:hAnsi="Times New Roman"/>
          <w:sz w:val="24"/>
          <w:szCs w:val="24"/>
        </w:rPr>
        <w:t>, exigindo estudar seu conteúdo</w:t>
      </w:r>
      <w:r w:rsidR="00FC4B8E">
        <w:rPr>
          <w:rFonts w:ascii="Times New Roman" w:hAnsi="Times New Roman"/>
          <w:sz w:val="24"/>
          <w:szCs w:val="24"/>
        </w:rPr>
        <w:t>.</w:t>
      </w:r>
      <w:r w:rsidR="005029C3">
        <w:rPr>
          <w:rFonts w:ascii="Times New Roman" w:hAnsi="Times New Roman"/>
          <w:sz w:val="24"/>
          <w:szCs w:val="24"/>
        </w:rPr>
        <w:t xml:space="preserve"> Mesmo assim, se percebe, na documentação de que resultam, quais </w:t>
      </w:r>
      <w:r w:rsidR="00FC4B8E">
        <w:rPr>
          <w:rFonts w:ascii="Times New Roman" w:hAnsi="Times New Roman"/>
          <w:sz w:val="24"/>
          <w:szCs w:val="24"/>
        </w:rPr>
        <w:t xml:space="preserve">setores econômicos </w:t>
      </w:r>
      <w:r w:rsidR="00613DB1">
        <w:rPr>
          <w:rFonts w:ascii="Times New Roman" w:hAnsi="Times New Roman"/>
          <w:sz w:val="24"/>
          <w:szCs w:val="24"/>
        </w:rPr>
        <w:t>e sociais conseguiram lograr êxito no acolhimento de suas demandas ou reivindicações.</w:t>
      </w:r>
    </w:p>
    <w:p w:rsidR="00303FA9" w:rsidRPr="00A03547"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 xml:space="preserve">No plano das ocorrências mais explícitas dos embates no CDES, destacaremos os debates acerca da política econômica no primeiro mandato de Lula da Silva, dos altos </w:t>
      </w:r>
      <w:r>
        <w:rPr>
          <w:rFonts w:ascii="Times New Roman" w:hAnsi="Times New Roman"/>
          <w:i/>
          <w:sz w:val="24"/>
          <w:szCs w:val="24"/>
        </w:rPr>
        <w:t xml:space="preserve">spreads </w:t>
      </w:r>
      <w:r>
        <w:rPr>
          <w:rFonts w:ascii="Times New Roman" w:hAnsi="Times New Roman"/>
          <w:sz w:val="24"/>
          <w:szCs w:val="24"/>
        </w:rPr>
        <w:t>bancários e da ampliação da composição do Conselho Monetário Nacional. Foram situações evidentes de tensões</w:t>
      </w:r>
      <w:r w:rsidR="00691380">
        <w:rPr>
          <w:rFonts w:ascii="Times New Roman" w:hAnsi="Times New Roman"/>
          <w:sz w:val="24"/>
          <w:szCs w:val="24"/>
        </w:rPr>
        <w:t xml:space="preserve">, clivagens, </w:t>
      </w:r>
      <w:r>
        <w:rPr>
          <w:rFonts w:ascii="Times New Roman" w:hAnsi="Times New Roman"/>
          <w:sz w:val="24"/>
          <w:szCs w:val="24"/>
        </w:rPr>
        <w:t xml:space="preserve">conflitos entre </w:t>
      </w:r>
      <w:r w:rsidR="00691380">
        <w:rPr>
          <w:rFonts w:ascii="Times New Roman" w:hAnsi="Times New Roman"/>
          <w:sz w:val="24"/>
          <w:szCs w:val="24"/>
        </w:rPr>
        <w:t>os representantes d</w:t>
      </w:r>
      <w:r w:rsidR="008F17C6">
        <w:rPr>
          <w:rFonts w:ascii="Times New Roman" w:hAnsi="Times New Roman"/>
          <w:sz w:val="24"/>
          <w:szCs w:val="24"/>
        </w:rPr>
        <w:t>os setores das</w:t>
      </w:r>
      <w:r>
        <w:rPr>
          <w:rFonts w:ascii="Times New Roman" w:hAnsi="Times New Roman"/>
          <w:sz w:val="24"/>
          <w:szCs w:val="24"/>
        </w:rPr>
        <w:t xml:space="preserve"> frações do capital em presença, </w:t>
      </w:r>
      <w:r w:rsidR="0071250D">
        <w:rPr>
          <w:rFonts w:ascii="Times New Roman" w:hAnsi="Times New Roman"/>
          <w:sz w:val="24"/>
          <w:szCs w:val="24"/>
        </w:rPr>
        <w:t>ocasiões em que</w:t>
      </w:r>
      <w:r w:rsidR="008F17C6">
        <w:rPr>
          <w:rFonts w:ascii="Times New Roman" w:hAnsi="Times New Roman"/>
          <w:sz w:val="24"/>
          <w:szCs w:val="24"/>
        </w:rPr>
        <w:t>os que</w:t>
      </w:r>
      <w:r w:rsidR="00960C62">
        <w:rPr>
          <w:rFonts w:ascii="Times New Roman" w:hAnsi="Times New Roman"/>
          <w:sz w:val="24"/>
          <w:szCs w:val="24"/>
        </w:rPr>
        <w:t xml:space="preserve"> se organiza</w:t>
      </w:r>
      <w:r w:rsidR="003155B5">
        <w:rPr>
          <w:rFonts w:ascii="Times New Roman" w:hAnsi="Times New Roman"/>
          <w:sz w:val="24"/>
          <w:szCs w:val="24"/>
        </w:rPr>
        <w:t>vam</w:t>
      </w:r>
      <w:r w:rsidR="00960C62">
        <w:rPr>
          <w:rFonts w:ascii="Times New Roman" w:hAnsi="Times New Roman"/>
          <w:i/>
          <w:sz w:val="24"/>
          <w:szCs w:val="24"/>
        </w:rPr>
        <w:t xml:space="preserve">em nome </w:t>
      </w:r>
      <w:r w:rsidR="00960C62">
        <w:rPr>
          <w:rFonts w:ascii="Times New Roman" w:hAnsi="Times New Roman"/>
          <w:sz w:val="24"/>
          <w:szCs w:val="24"/>
        </w:rPr>
        <w:t>do “setor produtivo”</w:t>
      </w:r>
      <w:r>
        <w:rPr>
          <w:rFonts w:ascii="Times New Roman" w:hAnsi="Times New Roman"/>
          <w:sz w:val="24"/>
          <w:szCs w:val="24"/>
        </w:rPr>
        <w:t>, majoritário em termos de conselheiros e de entid</w:t>
      </w:r>
      <w:r w:rsidR="00960C62">
        <w:rPr>
          <w:rFonts w:ascii="Times New Roman" w:hAnsi="Times New Roman"/>
          <w:sz w:val="24"/>
          <w:szCs w:val="24"/>
        </w:rPr>
        <w:t>ades representativas, fortaleceram</w:t>
      </w:r>
      <w:r>
        <w:rPr>
          <w:rFonts w:ascii="Times New Roman" w:hAnsi="Times New Roman"/>
          <w:sz w:val="24"/>
          <w:szCs w:val="24"/>
        </w:rPr>
        <w:t xml:space="preserve"> a coesão interna, obtendo o consenso ativo interpares nas suas principais demandas e também frente às lideranças de alguns setores subalternos minoritários ali instalados, contando, para tanto, com o apoio ou com a aliança, nos referidos momentos, do setor sindical laboral.</w:t>
      </w:r>
    </w:p>
    <w:p w:rsidR="00303FA9" w:rsidRPr="004B6CBE"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 xml:space="preserve">Sob o realce destas considerações, pode-se afirmar que foi apenas a partir de 2007 que começou a tomar corpo e a ser propagado entre os meios acadêmicos, nos ministérios e agências estatais de formulação de políticas públicas e nas publicações especializadas, ainda de forma muito difusa e teoricamente pouco consistente, uma dada </w:t>
      </w:r>
      <w:r w:rsidRPr="00D45313">
        <w:rPr>
          <w:rFonts w:ascii="Times New Roman" w:hAnsi="Times New Roman"/>
          <w:sz w:val="24"/>
          <w:szCs w:val="24"/>
        </w:rPr>
        <w:t>pauta econômica</w:t>
      </w:r>
      <w:r>
        <w:rPr>
          <w:rFonts w:ascii="Times New Roman" w:hAnsi="Times New Roman"/>
          <w:sz w:val="24"/>
          <w:szCs w:val="24"/>
        </w:rPr>
        <w:t xml:space="preserve"> e social, com aportes ideológicos pouco originais, supostamente crítica e/ou alternativa ao neoliberalismo, cujo programa se auto</w:t>
      </w:r>
      <w:r w:rsidR="00E008CD">
        <w:rPr>
          <w:rFonts w:ascii="Times New Roman" w:hAnsi="Times New Roman"/>
          <w:sz w:val="24"/>
          <w:szCs w:val="24"/>
        </w:rPr>
        <w:t>r</w:t>
      </w:r>
      <w:r>
        <w:rPr>
          <w:rFonts w:ascii="Times New Roman" w:hAnsi="Times New Roman"/>
          <w:sz w:val="24"/>
          <w:szCs w:val="24"/>
        </w:rPr>
        <w:t xml:space="preserve">reivindicava como “novo-desenvolvimentista”. Para nós, restam poucas dúvidas de que aspectos importantes deste programa foram embrionariamente </w:t>
      </w:r>
      <w:r w:rsidR="003155B5">
        <w:rPr>
          <w:rFonts w:ascii="Times New Roman" w:hAnsi="Times New Roman"/>
          <w:sz w:val="24"/>
          <w:szCs w:val="24"/>
        </w:rPr>
        <w:t>discutidos</w:t>
      </w:r>
      <w:r>
        <w:rPr>
          <w:rFonts w:ascii="Times New Roman" w:hAnsi="Times New Roman"/>
          <w:sz w:val="24"/>
          <w:szCs w:val="24"/>
        </w:rPr>
        <w:t xml:space="preserve"> e </w:t>
      </w:r>
      <w:r w:rsidR="003155B5">
        <w:rPr>
          <w:rFonts w:ascii="Times New Roman" w:hAnsi="Times New Roman"/>
          <w:sz w:val="24"/>
          <w:szCs w:val="24"/>
        </w:rPr>
        <w:t>aparados</w:t>
      </w:r>
      <w:r w:rsidR="005029C3">
        <w:rPr>
          <w:rFonts w:ascii="Times New Roman" w:hAnsi="Times New Roman"/>
          <w:i/>
          <w:sz w:val="24"/>
          <w:szCs w:val="24"/>
        </w:rPr>
        <w:t xml:space="preserve">também </w:t>
      </w:r>
      <w:r>
        <w:rPr>
          <w:rFonts w:ascii="Times New Roman" w:hAnsi="Times New Roman"/>
          <w:sz w:val="24"/>
          <w:szCs w:val="24"/>
        </w:rPr>
        <w:t xml:space="preserve">a partir das produções realizadas no interior do Conselho </w:t>
      </w:r>
      <w:r>
        <w:rPr>
          <w:rFonts w:ascii="Times New Roman" w:hAnsi="Times New Roman"/>
          <w:i/>
          <w:sz w:val="24"/>
          <w:szCs w:val="24"/>
        </w:rPr>
        <w:t>desde 2003</w:t>
      </w:r>
      <w:r>
        <w:rPr>
          <w:rFonts w:ascii="Times New Roman" w:hAnsi="Times New Roman"/>
          <w:sz w:val="24"/>
          <w:szCs w:val="24"/>
        </w:rPr>
        <w:t>.</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No estudo do tem</w:t>
      </w:r>
      <w:r w:rsidR="005029C3">
        <w:rPr>
          <w:rFonts w:ascii="Times New Roman" w:hAnsi="Times New Roman"/>
          <w:sz w:val="24"/>
          <w:szCs w:val="24"/>
        </w:rPr>
        <w:t>a</w:t>
      </w:r>
      <w:r>
        <w:rPr>
          <w:rFonts w:ascii="Times New Roman" w:hAnsi="Times New Roman"/>
          <w:sz w:val="24"/>
          <w:szCs w:val="24"/>
        </w:rPr>
        <w:t xml:space="preserve"> do “desenvolvimento</w:t>
      </w:r>
      <w:r w:rsidR="00691380">
        <w:rPr>
          <w:rFonts w:ascii="Times New Roman" w:hAnsi="Times New Roman"/>
          <w:sz w:val="24"/>
          <w:szCs w:val="24"/>
        </w:rPr>
        <w:t xml:space="preserve"> com equidade</w:t>
      </w:r>
      <w:r>
        <w:rPr>
          <w:rFonts w:ascii="Times New Roman" w:hAnsi="Times New Roman"/>
          <w:sz w:val="24"/>
          <w:szCs w:val="24"/>
        </w:rPr>
        <w:t xml:space="preserve">” no CDES é preciso </w:t>
      </w:r>
      <w:r w:rsidR="005029C3">
        <w:rPr>
          <w:rFonts w:ascii="Times New Roman" w:hAnsi="Times New Roman"/>
          <w:sz w:val="24"/>
          <w:szCs w:val="24"/>
        </w:rPr>
        <w:t>firmar</w:t>
      </w:r>
      <w:r>
        <w:rPr>
          <w:rFonts w:ascii="Times New Roman" w:hAnsi="Times New Roman"/>
          <w:sz w:val="24"/>
          <w:szCs w:val="24"/>
        </w:rPr>
        <w:t xml:space="preserve"> uma observação crucial: afastemos do horizonte a busca de definições fechadas ou taxativas e de proposições unânimes, não controversas. As tensões e contradições estavam sempre presentes, </w:t>
      </w:r>
      <w:r w:rsidR="00567AD8">
        <w:rPr>
          <w:rFonts w:ascii="Times New Roman" w:hAnsi="Times New Roman"/>
          <w:sz w:val="24"/>
          <w:szCs w:val="24"/>
        </w:rPr>
        <w:t xml:space="preserve">marcadamente no período 2003-2006, </w:t>
      </w:r>
      <w:r>
        <w:rPr>
          <w:rFonts w:ascii="Times New Roman" w:hAnsi="Times New Roman"/>
          <w:sz w:val="24"/>
          <w:szCs w:val="24"/>
        </w:rPr>
        <w:t>especialmente em debates sobre temas de grand</w:t>
      </w:r>
      <w:r w:rsidR="00572133">
        <w:rPr>
          <w:rFonts w:ascii="Times New Roman" w:hAnsi="Times New Roman"/>
          <w:sz w:val="24"/>
          <w:szCs w:val="24"/>
        </w:rPr>
        <w:t>e relevância econômica e social.</w:t>
      </w:r>
      <w:r>
        <w:rPr>
          <w:rFonts w:ascii="Times New Roman" w:hAnsi="Times New Roman"/>
          <w:sz w:val="24"/>
          <w:szCs w:val="24"/>
        </w:rPr>
        <w:t xml:space="preserve"> Isto aparece, como veremos, às claras nas leituras das Atas das Reuniões Plenárias do CDES, cujas intervenções e posicionamentos individuais ou de grupos de conselheiros (não necessariamente pertencente ao mesmo segmento social) refletiam coalizões e discordâncias entre os próprios conselheiros e, principalmente, entre estes e os ministros de Estado. </w:t>
      </w:r>
    </w:p>
    <w:p w:rsidR="00C24830" w:rsidRDefault="00483DE9" w:rsidP="00303FA9">
      <w:pPr>
        <w:spacing w:after="0" w:line="360" w:lineRule="auto"/>
        <w:ind w:firstLine="708"/>
        <w:jc w:val="both"/>
        <w:rPr>
          <w:rFonts w:ascii="Times New Roman" w:hAnsi="Times New Roman"/>
          <w:sz w:val="24"/>
          <w:szCs w:val="24"/>
        </w:rPr>
      </w:pPr>
      <w:r>
        <w:rPr>
          <w:rFonts w:ascii="Times New Roman" w:hAnsi="Times New Roman"/>
          <w:sz w:val="24"/>
          <w:szCs w:val="24"/>
        </w:rPr>
        <w:t>O</w:t>
      </w:r>
      <w:r w:rsidR="00303FA9">
        <w:rPr>
          <w:rFonts w:ascii="Times New Roman" w:hAnsi="Times New Roman"/>
          <w:sz w:val="24"/>
          <w:szCs w:val="24"/>
        </w:rPr>
        <w:t xml:space="preserve"> CDES expedia várias moções à Presidência da República, publicava Cartas de Concertação, relatórios e pareceres, divulgava documentos de orientação estratégica cujos conteúdos revelavam </w:t>
      </w:r>
      <w:r w:rsidR="00303FA9">
        <w:rPr>
          <w:rFonts w:ascii="Times New Roman" w:hAnsi="Times New Roman"/>
          <w:i/>
          <w:sz w:val="24"/>
          <w:szCs w:val="24"/>
        </w:rPr>
        <w:t xml:space="preserve">o resultado </w:t>
      </w:r>
      <w:r w:rsidR="00303FA9">
        <w:rPr>
          <w:rFonts w:ascii="Times New Roman" w:hAnsi="Times New Roman"/>
          <w:sz w:val="24"/>
          <w:szCs w:val="24"/>
        </w:rPr>
        <w:t xml:space="preserve">ou </w:t>
      </w:r>
      <w:r w:rsidR="00095250">
        <w:rPr>
          <w:rFonts w:ascii="Times New Roman" w:hAnsi="Times New Roman"/>
          <w:sz w:val="24"/>
          <w:szCs w:val="24"/>
        </w:rPr>
        <w:t>–</w:t>
      </w:r>
      <w:r w:rsidR="00303FA9">
        <w:rPr>
          <w:rFonts w:ascii="Times New Roman" w:hAnsi="Times New Roman"/>
          <w:sz w:val="24"/>
          <w:szCs w:val="24"/>
        </w:rPr>
        <w:t xml:space="preserve"> utilizando a denominação que lhe é própria </w:t>
      </w:r>
      <w:r w:rsidR="00095250">
        <w:rPr>
          <w:rFonts w:ascii="Times New Roman" w:hAnsi="Times New Roman"/>
          <w:sz w:val="24"/>
          <w:szCs w:val="24"/>
        </w:rPr>
        <w:t>–</w:t>
      </w:r>
      <w:r w:rsidR="00303FA9">
        <w:rPr>
          <w:rFonts w:ascii="Times New Roman" w:hAnsi="Times New Roman"/>
          <w:sz w:val="24"/>
          <w:szCs w:val="24"/>
        </w:rPr>
        <w:t xml:space="preserve"> o </w:t>
      </w:r>
      <w:r w:rsidR="00303FA9">
        <w:rPr>
          <w:rFonts w:ascii="Times New Roman" w:hAnsi="Times New Roman"/>
          <w:i/>
          <w:sz w:val="24"/>
          <w:szCs w:val="24"/>
        </w:rPr>
        <w:t>consenso</w:t>
      </w:r>
      <w:r w:rsidR="00303FA9">
        <w:rPr>
          <w:rFonts w:ascii="Times New Roman" w:hAnsi="Times New Roman"/>
          <w:sz w:val="24"/>
          <w:szCs w:val="24"/>
        </w:rPr>
        <w:t xml:space="preserve"> obtido (ou permitido) daquilo que havia sido objeto de diversas discussões nos Grupos Temáticos, de Acompanhamento e nas próprias reuniões plenárias. Desta maneira, como resultado de um grande “acordo”, “consenso”, “pacto” ou “contrato” social entre os vários segmentos presentes no CDES, isto é, como expressão do esforço de elaboração de um “intelectual coletivo” </w:t>
      </w:r>
      <w:r w:rsidR="00303FA9" w:rsidRPr="002910B4">
        <w:rPr>
          <w:rFonts w:ascii="Times New Roman" w:hAnsi="Times New Roman"/>
          <w:i/>
          <w:sz w:val="24"/>
          <w:szCs w:val="24"/>
        </w:rPr>
        <w:t>em formação</w:t>
      </w:r>
      <w:r w:rsidR="00303FA9">
        <w:rPr>
          <w:rFonts w:ascii="Times New Roman" w:hAnsi="Times New Roman"/>
          <w:sz w:val="24"/>
          <w:szCs w:val="24"/>
        </w:rPr>
        <w:t xml:space="preserve">, seus documentos publicizavam diretrizes e estratégias para os problemas que assolavam o país </w:t>
      </w:r>
      <w:r w:rsidR="00303FA9" w:rsidRPr="00CB7A32">
        <w:rPr>
          <w:rFonts w:ascii="Times New Roman" w:hAnsi="Times New Roman"/>
          <w:i/>
          <w:sz w:val="24"/>
          <w:szCs w:val="24"/>
        </w:rPr>
        <w:t>desde a perspectiva social-liberal</w:t>
      </w:r>
      <w:r w:rsidR="00303FA9">
        <w:rPr>
          <w:rFonts w:ascii="Times New Roman" w:hAnsi="Times New Roman"/>
          <w:sz w:val="24"/>
          <w:szCs w:val="24"/>
        </w:rPr>
        <w:t>, o que contribuía para o ofuscamento das tensões internas existentes, mas também, por outro lado, para os limites e alcances de um projeto que pretendia se legitimar apoiando-se numa dada coalizão de classes.</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 xml:space="preserve">Tendo em vista atender a estas preocupações, vale a pena mencionar algumas fontes primárias utilizadas que, por serem próprias do CDES, comumente não são conhecidas e/ou divulgadas. De fundamental importância para a nossa investigação foram os Documentos de Orientação Estratégica. Eles </w:t>
      </w:r>
      <w:r w:rsidRPr="005D1B3D">
        <w:rPr>
          <w:rFonts w:ascii="Times New Roman" w:hAnsi="Times New Roman"/>
          <w:sz w:val="24"/>
          <w:szCs w:val="24"/>
        </w:rPr>
        <w:t xml:space="preserve">podem ser caracterizados como guias, propostas ou até mesmo princípios tanto para a concertação e/ou pactuação entre os diferentes </w:t>
      </w:r>
      <w:r w:rsidR="005029C3">
        <w:rPr>
          <w:rFonts w:ascii="Times New Roman" w:hAnsi="Times New Roman"/>
          <w:sz w:val="24"/>
          <w:szCs w:val="24"/>
        </w:rPr>
        <w:t>segmentos</w:t>
      </w:r>
      <w:r w:rsidRPr="005D1B3D">
        <w:rPr>
          <w:rFonts w:ascii="Times New Roman" w:hAnsi="Times New Roman"/>
          <w:sz w:val="24"/>
          <w:szCs w:val="24"/>
        </w:rPr>
        <w:t xml:space="preserve"> sociais representados no Conselho quanto para </w:t>
      </w:r>
      <w:r>
        <w:rPr>
          <w:rFonts w:ascii="Times New Roman" w:hAnsi="Times New Roman"/>
          <w:sz w:val="24"/>
          <w:szCs w:val="24"/>
        </w:rPr>
        <w:t xml:space="preserve">a </w:t>
      </w:r>
      <w:r w:rsidRPr="005D1B3D">
        <w:rPr>
          <w:rFonts w:ascii="Times New Roman" w:hAnsi="Times New Roman"/>
          <w:sz w:val="24"/>
          <w:szCs w:val="24"/>
        </w:rPr>
        <w:t>construção de uma plataforma de ação orientadora das políti</w:t>
      </w:r>
      <w:r>
        <w:rPr>
          <w:rFonts w:ascii="Times New Roman" w:hAnsi="Times New Roman"/>
          <w:sz w:val="24"/>
          <w:szCs w:val="24"/>
        </w:rPr>
        <w:t>cas públicas governamentais. Eram</w:t>
      </w:r>
      <w:r w:rsidRPr="005D1B3D">
        <w:rPr>
          <w:rFonts w:ascii="Times New Roman" w:hAnsi="Times New Roman"/>
          <w:sz w:val="24"/>
          <w:szCs w:val="24"/>
        </w:rPr>
        <w:t xml:space="preserve"> documentos </w:t>
      </w:r>
      <w:r>
        <w:rPr>
          <w:rFonts w:ascii="Times New Roman" w:hAnsi="Times New Roman"/>
          <w:sz w:val="24"/>
          <w:szCs w:val="24"/>
        </w:rPr>
        <w:t xml:space="preserve">que </w:t>
      </w:r>
      <w:r w:rsidRPr="005D1B3D">
        <w:rPr>
          <w:rFonts w:ascii="Times New Roman" w:hAnsi="Times New Roman"/>
          <w:sz w:val="24"/>
          <w:szCs w:val="24"/>
        </w:rPr>
        <w:t>visa</w:t>
      </w:r>
      <w:r>
        <w:rPr>
          <w:rFonts w:ascii="Times New Roman" w:hAnsi="Times New Roman"/>
          <w:sz w:val="24"/>
          <w:szCs w:val="24"/>
        </w:rPr>
        <w:t>va</w:t>
      </w:r>
      <w:r w:rsidRPr="005D1B3D">
        <w:rPr>
          <w:rFonts w:ascii="Times New Roman" w:hAnsi="Times New Roman"/>
          <w:sz w:val="24"/>
          <w:szCs w:val="24"/>
        </w:rPr>
        <w:t xml:space="preserve">m estabelecer parâmetros mínimos, basilares, de um projeto de hegemonia </w:t>
      </w:r>
      <w:r w:rsidR="00A71977">
        <w:rPr>
          <w:rFonts w:ascii="Times New Roman" w:hAnsi="Times New Roman"/>
          <w:sz w:val="24"/>
          <w:szCs w:val="24"/>
        </w:rPr>
        <w:t>sob direção do grande empresariado</w:t>
      </w:r>
      <w:r w:rsidRPr="005D1B3D">
        <w:rPr>
          <w:rFonts w:ascii="Times New Roman" w:hAnsi="Times New Roman"/>
          <w:sz w:val="24"/>
          <w:szCs w:val="24"/>
        </w:rPr>
        <w:t xml:space="preserve"> em </w:t>
      </w:r>
      <w:r w:rsidR="00A71977">
        <w:rPr>
          <w:rFonts w:ascii="Times New Roman" w:hAnsi="Times New Roman"/>
          <w:sz w:val="24"/>
          <w:szCs w:val="24"/>
        </w:rPr>
        <w:t>constante (re)</w:t>
      </w:r>
      <w:r w:rsidRPr="005D1B3D">
        <w:rPr>
          <w:rFonts w:ascii="Times New Roman" w:hAnsi="Times New Roman"/>
          <w:sz w:val="24"/>
          <w:szCs w:val="24"/>
        </w:rPr>
        <w:t>definição, ancorado no propalado “desenvolvimento sustentável”.</w:t>
      </w:r>
    </w:p>
    <w:p w:rsidR="00691380" w:rsidRDefault="00303FA9" w:rsidP="00691380">
      <w:pPr>
        <w:spacing w:after="0" w:line="360" w:lineRule="auto"/>
        <w:ind w:firstLine="708"/>
        <w:jc w:val="both"/>
        <w:rPr>
          <w:rFonts w:ascii="Times New Roman" w:hAnsi="Times New Roman"/>
          <w:sz w:val="24"/>
          <w:szCs w:val="24"/>
        </w:rPr>
      </w:pPr>
      <w:r>
        <w:rPr>
          <w:rFonts w:ascii="Times New Roman" w:hAnsi="Times New Roman"/>
          <w:sz w:val="24"/>
          <w:szCs w:val="24"/>
        </w:rPr>
        <w:t xml:space="preserve">Utilizamos, neste estudo, três principais Documentos de Orientação Estratégica produzidos pelo CDES durante o primeiro governo Lula da Silva: </w:t>
      </w:r>
      <w:r w:rsidRPr="007B16B7">
        <w:rPr>
          <w:rFonts w:ascii="Times New Roman" w:hAnsi="Times New Roman"/>
          <w:i/>
          <w:sz w:val="24"/>
          <w:szCs w:val="24"/>
        </w:rPr>
        <w:t>as Cartas de Concertação, a Agenda Nacional de Desenvolvimento (AND) e os Enunciados Estratégicos para o Desenvolvimento</w:t>
      </w:r>
      <w:r w:rsidRPr="009566B4">
        <w:rPr>
          <w:rFonts w:ascii="Times New Roman" w:hAnsi="Times New Roman"/>
          <w:i/>
          <w:sz w:val="24"/>
          <w:szCs w:val="24"/>
        </w:rPr>
        <w:t>(EED)</w:t>
      </w:r>
      <w:r>
        <w:rPr>
          <w:rFonts w:ascii="Times New Roman" w:hAnsi="Times New Roman"/>
          <w:sz w:val="24"/>
          <w:szCs w:val="24"/>
        </w:rPr>
        <w:t xml:space="preserve">. Além destas, outras fontes primárias também foram examinadas: lançamos mão </w:t>
      </w:r>
      <w:r>
        <w:rPr>
          <w:rFonts w:ascii="Times New Roman" w:hAnsi="Times New Roman"/>
          <w:i/>
          <w:sz w:val="24"/>
          <w:szCs w:val="24"/>
        </w:rPr>
        <w:t xml:space="preserve">extensivamente </w:t>
      </w:r>
      <w:r>
        <w:rPr>
          <w:rFonts w:ascii="Times New Roman" w:hAnsi="Times New Roman"/>
          <w:sz w:val="24"/>
          <w:szCs w:val="24"/>
        </w:rPr>
        <w:t>das primeiras vinte Atas das Reuniões Plenárias, de algumas Moções dirigidas ao Presidente de República e de publicações de Anais de eventos promovidos pelo CDES</w:t>
      </w:r>
      <w:r w:rsidR="00691380">
        <w:rPr>
          <w:rFonts w:ascii="Times New Roman" w:hAnsi="Times New Roman"/>
          <w:sz w:val="24"/>
          <w:szCs w:val="24"/>
        </w:rPr>
        <w:t>, principalmente do evento denominado “Diálogo Social, Alavanca para o Desenvolvimento”, realizado em 2004.</w:t>
      </w:r>
      <w:r>
        <w:rPr>
          <w:rFonts w:ascii="Times New Roman" w:hAnsi="Times New Roman"/>
          <w:sz w:val="24"/>
          <w:szCs w:val="24"/>
        </w:rPr>
        <w:t xml:space="preserve"> Todas elas compõem o </w:t>
      </w:r>
      <w:r w:rsidRPr="007B16B7">
        <w:rPr>
          <w:rFonts w:ascii="Times New Roman" w:hAnsi="Times New Roman"/>
          <w:i/>
          <w:sz w:val="24"/>
          <w:szCs w:val="24"/>
        </w:rPr>
        <w:t>corpus</w:t>
      </w:r>
      <w:r>
        <w:rPr>
          <w:rFonts w:ascii="Times New Roman" w:hAnsi="Times New Roman"/>
          <w:sz w:val="24"/>
          <w:szCs w:val="24"/>
        </w:rPr>
        <w:t xml:space="preserve"> documental do Conselho, cobrindo todo o período do primeiro governo de Lula da Silva, e seu estudo torna-se imprescindível para perquirir o </w:t>
      </w:r>
      <w:r w:rsidR="00C47C03">
        <w:rPr>
          <w:rFonts w:ascii="Times New Roman" w:hAnsi="Times New Roman"/>
          <w:sz w:val="24"/>
          <w:szCs w:val="24"/>
        </w:rPr>
        <w:t>rearranjo sob novas condições s</w:t>
      </w:r>
      <w:r w:rsidR="00CA0999">
        <w:rPr>
          <w:rFonts w:ascii="Times New Roman" w:hAnsi="Times New Roman"/>
          <w:sz w:val="24"/>
          <w:szCs w:val="24"/>
        </w:rPr>
        <w:t>o</w:t>
      </w:r>
      <w:r w:rsidR="00C47C03">
        <w:rPr>
          <w:rFonts w:ascii="Times New Roman" w:hAnsi="Times New Roman"/>
          <w:sz w:val="24"/>
          <w:szCs w:val="24"/>
        </w:rPr>
        <w:t xml:space="preserve">ciopolíticas </w:t>
      </w:r>
      <w:r w:rsidR="00B632A6">
        <w:rPr>
          <w:rFonts w:ascii="Times New Roman" w:hAnsi="Times New Roman"/>
          <w:sz w:val="24"/>
          <w:szCs w:val="24"/>
        </w:rPr>
        <w:t>e</w:t>
      </w:r>
      <w:r w:rsidR="00C47C03">
        <w:rPr>
          <w:rFonts w:ascii="Times New Roman" w:hAnsi="Times New Roman"/>
          <w:sz w:val="24"/>
          <w:szCs w:val="24"/>
        </w:rPr>
        <w:t xml:space="preserve"> partidárias</w:t>
      </w:r>
      <w:r w:rsidR="00B632A6">
        <w:rPr>
          <w:rFonts w:ascii="Times New Roman" w:hAnsi="Times New Roman"/>
          <w:sz w:val="24"/>
          <w:szCs w:val="24"/>
        </w:rPr>
        <w:t xml:space="preserve"> (com ascensão do PT ao governo federal)</w:t>
      </w:r>
      <w:r w:rsidR="00C47C03">
        <w:rPr>
          <w:rFonts w:ascii="Times New Roman" w:hAnsi="Times New Roman"/>
          <w:sz w:val="24"/>
          <w:szCs w:val="24"/>
        </w:rPr>
        <w:t xml:space="preserve"> da hegemonia social-liberal</w:t>
      </w:r>
      <w:r>
        <w:rPr>
          <w:rFonts w:ascii="Times New Roman" w:hAnsi="Times New Roman"/>
          <w:sz w:val="24"/>
          <w:szCs w:val="24"/>
        </w:rPr>
        <w:t>.</w:t>
      </w:r>
    </w:p>
    <w:p w:rsidR="0071250D" w:rsidRPr="00C33FA2" w:rsidRDefault="0071250D" w:rsidP="00691380">
      <w:pPr>
        <w:spacing w:after="0" w:line="360" w:lineRule="auto"/>
        <w:ind w:firstLine="708"/>
        <w:jc w:val="both"/>
        <w:rPr>
          <w:rFonts w:ascii="Times New Roman" w:hAnsi="Times New Roman"/>
          <w:sz w:val="24"/>
          <w:szCs w:val="24"/>
        </w:rPr>
      </w:pPr>
      <w:r w:rsidRPr="00C33FA2">
        <w:rPr>
          <w:rFonts w:ascii="Times New Roman" w:hAnsi="Times New Roman"/>
          <w:sz w:val="24"/>
          <w:szCs w:val="24"/>
        </w:rPr>
        <w:t xml:space="preserve">Como o capítulo trabalha com </w:t>
      </w:r>
      <w:r w:rsidR="00EB55BB" w:rsidRPr="00C33FA2">
        <w:rPr>
          <w:rFonts w:ascii="Times New Roman" w:hAnsi="Times New Roman"/>
          <w:sz w:val="24"/>
          <w:szCs w:val="24"/>
        </w:rPr>
        <w:t xml:space="preserve">uma variedade grande </w:t>
      </w:r>
      <w:r w:rsidR="005C2972" w:rsidRPr="00C33FA2">
        <w:rPr>
          <w:rFonts w:ascii="Times New Roman" w:hAnsi="Times New Roman"/>
          <w:sz w:val="24"/>
          <w:szCs w:val="24"/>
        </w:rPr>
        <w:t xml:space="preserve">de </w:t>
      </w:r>
      <w:r w:rsidR="00EB55BB" w:rsidRPr="00C33FA2">
        <w:rPr>
          <w:rFonts w:ascii="Times New Roman" w:hAnsi="Times New Roman"/>
          <w:sz w:val="24"/>
          <w:szCs w:val="24"/>
        </w:rPr>
        <w:t xml:space="preserve">documentos </w:t>
      </w:r>
      <w:r w:rsidR="005C2972" w:rsidRPr="00C33FA2">
        <w:rPr>
          <w:rFonts w:ascii="Times New Roman" w:hAnsi="Times New Roman"/>
          <w:sz w:val="24"/>
          <w:szCs w:val="24"/>
        </w:rPr>
        <w:t>que às vezes se intersecciona</w:t>
      </w:r>
      <w:r w:rsidR="00A71977" w:rsidRPr="00C33FA2">
        <w:rPr>
          <w:rFonts w:ascii="Times New Roman" w:hAnsi="Times New Roman"/>
          <w:sz w:val="24"/>
          <w:szCs w:val="24"/>
        </w:rPr>
        <w:t xml:space="preserve"> ou</w:t>
      </w:r>
      <w:r w:rsidR="005C2972" w:rsidRPr="00C33FA2">
        <w:rPr>
          <w:rFonts w:ascii="Times New Roman" w:hAnsi="Times New Roman"/>
          <w:sz w:val="24"/>
          <w:szCs w:val="24"/>
        </w:rPr>
        <w:t>se superpõe numa mesma temporalidade, e</w:t>
      </w:r>
      <w:r w:rsidR="00F369F9" w:rsidRPr="00C33FA2">
        <w:rPr>
          <w:rFonts w:ascii="Times New Roman" w:hAnsi="Times New Roman"/>
          <w:sz w:val="24"/>
          <w:szCs w:val="24"/>
        </w:rPr>
        <w:t xml:space="preserve"> também</w:t>
      </w:r>
      <w:r w:rsidR="00A71977" w:rsidRPr="00C33FA2">
        <w:rPr>
          <w:rFonts w:ascii="Times New Roman" w:hAnsi="Times New Roman"/>
          <w:sz w:val="24"/>
          <w:szCs w:val="24"/>
        </w:rPr>
        <w:t>trata</w:t>
      </w:r>
      <w:r w:rsidR="00EB55BB" w:rsidRPr="00C33FA2">
        <w:rPr>
          <w:rFonts w:ascii="Times New Roman" w:hAnsi="Times New Roman"/>
          <w:sz w:val="24"/>
          <w:szCs w:val="24"/>
        </w:rPr>
        <w:t xml:space="preserve"> de </w:t>
      </w:r>
      <w:r w:rsidR="005C2972" w:rsidRPr="00C33FA2">
        <w:rPr>
          <w:rFonts w:ascii="Times New Roman" w:hAnsi="Times New Roman"/>
          <w:sz w:val="24"/>
          <w:szCs w:val="24"/>
        </w:rPr>
        <w:t xml:space="preserve">uma gama </w:t>
      </w:r>
      <w:r w:rsidR="00EB55BB" w:rsidRPr="00C33FA2">
        <w:rPr>
          <w:rFonts w:ascii="Times New Roman" w:hAnsi="Times New Roman"/>
          <w:sz w:val="24"/>
          <w:szCs w:val="24"/>
        </w:rPr>
        <w:t>discussões, programas</w:t>
      </w:r>
      <w:r w:rsidR="005C2972" w:rsidRPr="00C33FA2">
        <w:rPr>
          <w:rFonts w:ascii="Times New Roman" w:hAnsi="Times New Roman"/>
          <w:sz w:val="24"/>
          <w:szCs w:val="24"/>
        </w:rPr>
        <w:t xml:space="preserve"> eagendas</w:t>
      </w:r>
      <w:r w:rsidR="00EB55BB" w:rsidRPr="00C33FA2">
        <w:rPr>
          <w:rFonts w:ascii="Times New Roman" w:hAnsi="Times New Roman"/>
          <w:sz w:val="24"/>
          <w:szCs w:val="24"/>
        </w:rPr>
        <w:t>,</w:t>
      </w:r>
      <w:r w:rsidR="005C2972" w:rsidRPr="00C33FA2">
        <w:rPr>
          <w:rFonts w:ascii="Times New Roman" w:hAnsi="Times New Roman"/>
          <w:sz w:val="24"/>
          <w:szCs w:val="24"/>
        </w:rPr>
        <w:t xml:space="preserve"> concluímos que a exposição de uma linha do tempo do CDES </w:t>
      </w:r>
      <w:r w:rsidR="002838D3" w:rsidRPr="00C33FA2">
        <w:rPr>
          <w:rFonts w:ascii="Times New Roman" w:hAnsi="Times New Roman"/>
          <w:sz w:val="24"/>
          <w:szCs w:val="24"/>
        </w:rPr>
        <w:t>facilitaria ao leitor saber o ano em que tal documento ou debate est</w:t>
      </w:r>
      <w:r w:rsidR="00F369F9" w:rsidRPr="00C33FA2">
        <w:rPr>
          <w:rFonts w:ascii="Times New Roman" w:hAnsi="Times New Roman"/>
          <w:sz w:val="24"/>
          <w:szCs w:val="24"/>
        </w:rPr>
        <w:t>ava inserido</w:t>
      </w:r>
      <w:r w:rsidR="002838D3" w:rsidRPr="00C33FA2">
        <w:rPr>
          <w:rFonts w:ascii="Times New Roman" w:hAnsi="Times New Roman"/>
          <w:sz w:val="24"/>
          <w:szCs w:val="24"/>
        </w:rPr>
        <w:t>.</w:t>
      </w:r>
      <w:r w:rsidR="00A71977" w:rsidRPr="00C33FA2">
        <w:rPr>
          <w:rFonts w:ascii="Times New Roman" w:hAnsi="Times New Roman"/>
          <w:sz w:val="24"/>
          <w:szCs w:val="24"/>
        </w:rPr>
        <w:t xml:space="preserve"> Traremos também, preferencialmente </w:t>
      </w:r>
      <w:r w:rsidR="00AB6180" w:rsidRPr="00C33FA2">
        <w:rPr>
          <w:rFonts w:ascii="Times New Roman" w:hAnsi="Times New Roman"/>
          <w:sz w:val="24"/>
          <w:szCs w:val="24"/>
        </w:rPr>
        <w:t>n</w:t>
      </w:r>
      <w:r w:rsidR="00A71977" w:rsidRPr="00C33FA2">
        <w:rPr>
          <w:rFonts w:ascii="Times New Roman" w:hAnsi="Times New Roman"/>
          <w:sz w:val="24"/>
          <w:szCs w:val="24"/>
        </w:rPr>
        <w:t xml:space="preserve">a última linha de cada ano, quando necessário, a </w:t>
      </w:r>
      <w:r w:rsidR="00AB6180" w:rsidRPr="00C33FA2">
        <w:rPr>
          <w:rFonts w:ascii="Times New Roman" w:hAnsi="Times New Roman"/>
          <w:sz w:val="24"/>
          <w:szCs w:val="24"/>
        </w:rPr>
        <w:t>ocorrência de um fato político relevant</w:t>
      </w:r>
      <w:r w:rsidR="00A71977" w:rsidRPr="00C33FA2">
        <w:rPr>
          <w:rFonts w:ascii="Times New Roman" w:hAnsi="Times New Roman"/>
          <w:sz w:val="24"/>
          <w:szCs w:val="24"/>
        </w:rPr>
        <w:t xml:space="preserve">e no país </w:t>
      </w:r>
      <w:r w:rsidR="00AB6180" w:rsidRPr="00C33FA2">
        <w:rPr>
          <w:rFonts w:ascii="Times New Roman" w:hAnsi="Times New Roman"/>
          <w:sz w:val="24"/>
          <w:szCs w:val="24"/>
        </w:rPr>
        <w:t xml:space="preserve">e </w:t>
      </w:r>
      <w:r w:rsidR="00A71977" w:rsidRPr="00C33FA2">
        <w:rPr>
          <w:rFonts w:ascii="Times New Roman" w:hAnsi="Times New Roman"/>
          <w:sz w:val="24"/>
          <w:szCs w:val="24"/>
        </w:rPr>
        <w:t>que influenciou os trabalhos do Conselho.</w:t>
      </w:r>
    </w:p>
    <w:p w:rsidR="0071250D" w:rsidRPr="00C33FA2" w:rsidRDefault="0071250D" w:rsidP="0071250D">
      <w:pPr>
        <w:shd w:val="clear" w:color="auto" w:fill="FFFFFF"/>
        <w:spacing w:before="240" w:line="152" w:lineRule="atLeast"/>
        <w:ind w:left="-130"/>
        <w:jc w:val="center"/>
        <w:rPr>
          <w:rFonts w:ascii="Times New Roman" w:eastAsia="Times New Roman" w:hAnsi="Times New Roman"/>
          <w:b/>
          <w:sz w:val="24"/>
          <w:szCs w:val="24"/>
          <w:lang w:eastAsia="pt-BR"/>
        </w:rPr>
      </w:pPr>
      <w:r w:rsidRPr="00C33FA2">
        <w:rPr>
          <w:rFonts w:ascii="Times New Roman" w:eastAsia="Times New Roman" w:hAnsi="Times New Roman"/>
          <w:b/>
          <w:sz w:val="24"/>
          <w:szCs w:val="24"/>
          <w:lang w:eastAsia="pt-BR"/>
        </w:rPr>
        <w:t>Quadro 3.1 – Linha do Tem</w:t>
      </w:r>
      <w:r w:rsidR="00741A5B" w:rsidRPr="00C33FA2">
        <w:rPr>
          <w:rFonts w:ascii="Times New Roman" w:eastAsia="Times New Roman" w:hAnsi="Times New Roman"/>
          <w:b/>
          <w:sz w:val="24"/>
          <w:szCs w:val="24"/>
          <w:lang w:eastAsia="pt-BR"/>
        </w:rPr>
        <w:t>po Condensada do CDES (2003-2006</w:t>
      </w:r>
      <w:r w:rsidRPr="00C33FA2">
        <w:rPr>
          <w:rFonts w:ascii="Times New Roman" w:eastAsia="Times New Roman" w:hAnsi="Times New Roman"/>
          <w:b/>
          <w:sz w:val="24"/>
          <w:szCs w:val="24"/>
          <w:lang w:eastAsia="pt-BR"/>
        </w:rPr>
        <w:t>)</w:t>
      </w:r>
    </w:p>
    <w:tbl>
      <w:tblPr>
        <w:tblStyle w:val="Tabelacomgrade"/>
        <w:tblW w:w="8505" w:type="dxa"/>
        <w:tblInd w:w="108" w:type="dxa"/>
        <w:tblLayout w:type="fixed"/>
        <w:tblLook w:val="04A0"/>
      </w:tblPr>
      <w:tblGrid>
        <w:gridCol w:w="426"/>
        <w:gridCol w:w="8079"/>
      </w:tblGrid>
      <w:tr w:rsidR="0071250D" w:rsidRPr="00C33FA2" w:rsidTr="00EB55BB">
        <w:trPr>
          <w:cantSplit/>
          <w:trHeight w:val="637"/>
        </w:trPr>
        <w:tc>
          <w:tcPr>
            <w:tcW w:w="426" w:type="dxa"/>
            <w:textDirection w:val="btLr"/>
          </w:tcPr>
          <w:p w:rsidR="0071250D" w:rsidRPr="00C33FA2" w:rsidRDefault="0071250D" w:rsidP="00EB55BB">
            <w:pPr>
              <w:spacing w:after="0" w:line="240" w:lineRule="auto"/>
              <w:ind w:left="113" w:right="113"/>
              <w:rPr>
                <w:rFonts w:ascii="Times New Roman" w:eastAsia="Times New Roman" w:hAnsi="Times New Roman"/>
                <w:b/>
                <w:sz w:val="20"/>
                <w:szCs w:val="20"/>
                <w:lang w:eastAsia="pt-BR"/>
              </w:rPr>
            </w:pPr>
            <w:r w:rsidRPr="00C33FA2">
              <w:rPr>
                <w:rFonts w:ascii="Times New Roman" w:eastAsia="Times New Roman" w:hAnsi="Times New Roman"/>
                <w:b/>
                <w:sz w:val="20"/>
                <w:szCs w:val="20"/>
                <w:lang w:eastAsia="pt-BR"/>
              </w:rPr>
              <w:t>Ano</w:t>
            </w:r>
          </w:p>
        </w:tc>
        <w:tc>
          <w:tcPr>
            <w:tcW w:w="8079" w:type="dxa"/>
          </w:tcPr>
          <w:p w:rsidR="0071250D" w:rsidRPr="00C33FA2" w:rsidRDefault="0071250D" w:rsidP="005742E2">
            <w:pPr>
              <w:spacing w:after="0" w:line="152" w:lineRule="atLeast"/>
              <w:jc w:val="both"/>
              <w:rPr>
                <w:rFonts w:ascii="Times New Roman" w:eastAsia="Times New Roman" w:hAnsi="Times New Roman"/>
                <w:b/>
                <w:sz w:val="24"/>
                <w:szCs w:val="24"/>
                <w:lang w:eastAsia="pt-BR"/>
              </w:rPr>
            </w:pPr>
            <w:r w:rsidRPr="00C33FA2">
              <w:rPr>
                <w:rFonts w:ascii="Times New Roman" w:eastAsia="Times New Roman" w:hAnsi="Times New Roman"/>
                <w:b/>
                <w:sz w:val="24"/>
                <w:szCs w:val="24"/>
                <w:lang w:eastAsia="pt-BR"/>
              </w:rPr>
              <w:t>Agendas e resoluções do Conselho</w:t>
            </w:r>
            <w:r w:rsidR="00A71977" w:rsidRPr="00C33FA2">
              <w:rPr>
                <w:rFonts w:ascii="Times New Roman" w:eastAsia="Times New Roman" w:hAnsi="Times New Roman"/>
                <w:b/>
                <w:sz w:val="24"/>
                <w:szCs w:val="24"/>
                <w:lang w:eastAsia="pt-BR"/>
              </w:rPr>
              <w:t xml:space="preserve"> / Ocorrências políticas relevantes</w:t>
            </w:r>
          </w:p>
        </w:tc>
      </w:tr>
      <w:tr w:rsidR="0071250D" w:rsidRPr="00C33FA2" w:rsidTr="005742E2">
        <w:trPr>
          <w:cantSplit/>
          <w:trHeight w:val="1134"/>
        </w:trPr>
        <w:tc>
          <w:tcPr>
            <w:tcW w:w="426" w:type="dxa"/>
            <w:textDirection w:val="btLr"/>
          </w:tcPr>
          <w:p w:rsidR="0071250D" w:rsidRPr="00C33FA2" w:rsidRDefault="0071250D" w:rsidP="005742E2">
            <w:pPr>
              <w:spacing w:after="0" w:line="152" w:lineRule="atLeast"/>
              <w:ind w:left="113" w:right="113"/>
              <w:jc w:val="center"/>
              <w:rPr>
                <w:rFonts w:ascii="Times New Roman" w:eastAsia="Times New Roman" w:hAnsi="Times New Roman"/>
                <w:b/>
                <w:sz w:val="24"/>
                <w:szCs w:val="24"/>
                <w:lang w:eastAsia="pt-BR"/>
              </w:rPr>
            </w:pPr>
            <w:r w:rsidRPr="00C33FA2">
              <w:rPr>
                <w:rFonts w:ascii="Times New Roman" w:eastAsia="Times New Roman" w:hAnsi="Times New Roman"/>
                <w:b/>
                <w:sz w:val="24"/>
                <w:szCs w:val="24"/>
                <w:lang w:eastAsia="pt-BR"/>
              </w:rPr>
              <w:t>2003</w:t>
            </w:r>
          </w:p>
        </w:tc>
        <w:tc>
          <w:tcPr>
            <w:tcW w:w="8079" w:type="dxa"/>
          </w:tcPr>
          <w:p w:rsidR="0071250D" w:rsidRPr="00C33FA2" w:rsidRDefault="00DB7322" w:rsidP="00FA1601">
            <w:pPr>
              <w:numPr>
                <w:ilvl w:val="0"/>
                <w:numId w:val="22"/>
              </w:numPr>
              <w:shd w:val="clear" w:color="auto" w:fill="FFFFFF"/>
              <w:spacing w:after="0" w:line="152" w:lineRule="atLeast"/>
              <w:ind w:left="230" w:hanging="230"/>
              <w:rPr>
                <w:rFonts w:ascii="Times New Roman" w:eastAsia="Times New Roman" w:hAnsi="Times New Roman"/>
                <w:sz w:val="18"/>
                <w:szCs w:val="18"/>
                <w:lang w:eastAsia="pt-BR"/>
              </w:rPr>
            </w:pPr>
            <w:hyperlink r:id="rId26" w:tooltip="Implantação de Medida Provisória em janeiro de 2003 e apresentação do CDES na primeira reunião do Pleno, em 13 de fevereiro" w:history="1">
              <w:r w:rsidR="0071250D" w:rsidRPr="00C33FA2">
                <w:rPr>
                  <w:rFonts w:ascii="Times New Roman" w:eastAsia="Times New Roman" w:hAnsi="Times New Roman"/>
                  <w:sz w:val="18"/>
                  <w:szCs w:val="18"/>
                  <w:lang w:eastAsia="pt-BR"/>
                </w:rPr>
                <w:t>Implantação de MP que cria o CDES em janeiro de 2003. Primeira reunião do Pleno em 13 de fevereiro</w:t>
              </w:r>
            </w:hyperlink>
            <w:r w:rsidR="0071250D" w:rsidRPr="00C33FA2">
              <w:rPr>
                <w:rFonts w:ascii="Times New Roman" w:eastAsia="Times New Roman" w:hAnsi="Times New Roman"/>
                <w:sz w:val="18"/>
                <w:szCs w:val="18"/>
                <w:lang w:eastAsia="pt-BR"/>
              </w:rPr>
              <w:t>.</w:t>
            </w:r>
          </w:p>
          <w:p w:rsidR="00A71977" w:rsidRPr="00C33FA2" w:rsidRDefault="00A71977" w:rsidP="00FA1601">
            <w:pPr>
              <w:numPr>
                <w:ilvl w:val="0"/>
                <w:numId w:val="22"/>
              </w:numPr>
              <w:shd w:val="clear" w:color="auto" w:fill="FFFFFF"/>
              <w:spacing w:after="0" w:line="152" w:lineRule="atLeast"/>
              <w:ind w:left="230" w:hanging="230"/>
              <w:rPr>
                <w:rFonts w:ascii="Times New Roman" w:eastAsia="Times New Roman" w:hAnsi="Times New Roman"/>
                <w:sz w:val="18"/>
                <w:szCs w:val="18"/>
                <w:lang w:eastAsia="pt-BR"/>
              </w:rPr>
            </w:pPr>
            <w:r w:rsidRPr="00C33FA2">
              <w:rPr>
                <w:rFonts w:ascii="Times New Roman" w:eastAsia="Times New Roman" w:hAnsi="Times New Roman"/>
                <w:sz w:val="18"/>
                <w:szCs w:val="18"/>
                <w:lang w:eastAsia="pt-BR"/>
              </w:rPr>
              <w:t>Processo de elaboração das Cartas de Concertação.</w:t>
            </w:r>
          </w:p>
          <w:p w:rsidR="0071250D" w:rsidRPr="00C33FA2" w:rsidRDefault="00DB7322" w:rsidP="00FA1601">
            <w:pPr>
              <w:numPr>
                <w:ilvl w:val="0"/>
                <w:numId w:val="22"/>
              </w:numPr>
              <w:shd w:val="clear" w:color="auto" w:fill="FFFFFF"/>
              <w:spacing w:after="0" w:line="152" w:lineRule="atLeast"/>
              <w:ind w:left="230" w:hanging="230"/>
              <w:rPr>
                <w:rFonts w:ascii="Times New Roman" w:eastAsia="Times New Roman" w:hAnsi="Times New Roman"/>
                <w:sz w:val="18"/>
                <w:szCs w:val="18"/>
                <w:lang w:eastAsia="pt-BR"/>
              </w:rPr>
            </w:pPr>
            <w:hyperlink r:id="rId27" w:tooltip="Relatório da Reforma Tributária, parcialmente aprovada" w:history="1">
              <w:r w:rsidR="0071250D" w:rsidRPr="00C33FA2">
                <w:rPr>
                  <w:rFonts w:ascii="Times New Roman" w:eastAsia="Times New Roman" w:hAnsi="Times New Roman"/>
                  <w:sz w:val="18"/>
                  <w:szCs w:val="18"/>
                  <w:lang w:eastAsia="pt-BR"/>
                </w:rPr>
                <w:t>Relatório da Reforma Tributária, parcialmente aprovada</w:t>
              </w:r>
            </w:hyperlink>
            <w:r w:rsidR="0071250D" w:rsidRPr="00C33FA2">
              <w:rPr>
                <w:rFonts w:ascii="Times New Roman" w:eastAsia="Times New Roman" w:hAnsi="Times New Roman"/>
                <w:sz w:val="18"/>
                <w:szCs w:val="18"/>
                <w:lang w:eastAsia="pt-BR"/>
              </w:rPr>
              <w:t>.</w:t>
            </w:r>
          </w:p>
          <w:p w:rsidR="0071250D" w:rsidRPr="00C33FA2" w:rsidRDefault="00DB7322" w:rsidP="00FA1601">
            <w:pPr>
              <w:numPr>
                <w:ilvl w:val="0"/>
                <w:numId w:val="22"/>
              </w:numPr>
              <w:shd w:val="clear" w:color="auto" w:fill="FFFFFF"/>
              <w:spacing w:after="0" w:line="152" w:lineRule="atLeast"/>
              <w:ind w:left="230" w:hanging="230"/>
              <w:rPr>
                <w:rFonts w:ascii="Times New Roman" w:eastAsia="Times New Roman" w:hAnsi="Times New Roman"/>
                <w:sz w:val="18"/>
                <w:szCs w:val="18"/>
                <w:lang w:eastAsia="pt-BR"/>
              </w:rPr>
            </w:pPr>
            <w:hyperlink r:id="rId28" w:tooltip="Criação do Fórum Nacional do Trabalho no contexto do relatório de apoio à Reforma Sindical e Trabalhista" w:history="1">
              <w:r w:rsidR="0071250D" w:rsidRPr="00C33FA2">
                <w:rPr>
                  <w:rFonts w:ascii="Times New Roman" w:eastAsia="Times New Roman" w:hAnsi="Times New Roman"/>
                  <w:sz w:val="18"/>
                  <w:szCs w:val="18"/>
                  <w:lang w:eastAsia="pt-BR"/>
                </w:rPr>
                <w:t>Criação do Fórum Nacional do Trabalho no contexto do relatório de apoio à Reforma Sindical e Trabalhista</w:t>
              </w:r>
            </w:hyperlink>
            <w:r w:rsidR="0071250D" w:rsidRPr="00C33FA2">
              <w:rPr>
                <w:rFonts w:ascii="Times New Roman" w:eastAsia="Times New Roman" w:hAnsi="Times New Roman"/>
                <w:sz w:val="18"/>
                <w:szCs w:val="18"/>
                <w:lang w:eastAsia="pt-BR"/>
              </w:rPr>
              <w:t>.</w:t>
            </w:r>
          </w:p>
          <w:p w:rsidR="00A71977" w:rsidRPr="00C33FA2" w:rsidRDefault="00DB7322" w:rsidP="00FA1601">
            <w:pPr>
              <w:numPr>
                <w:ilvl w:val="0"/>
                <w:numId w:val="22"/>
              </w:numPr>
              <w:shd w:val="clear" w:color="auto" w:fill="FFFFFF"/>
              <w:spacing w:line="152" w:lineRule="atLeast"/>
              <w:ind w:left="230" w:hanging="230"/>
              <w:rPr>
                <w:rFonts w:ascii="Times New Roman" w:eastAsia="Times New Roman" w:hAnsi="Times New Roman"/>
                <w:b/>
                <w:sz w:val="24"/>
                <w:szCs w:val="24"/>
                <w:lang w:eastAsia="pt-BR"/>
              </w:rPr>
            </w:pPr>
            <w:hyperlink r:id="rId29" w:tooltip="Relatório da Reforma Previdenciária, parcialmente aprovada, em dezembro" w:history="1">
              <w:r w:rsidR="0071250D" w:rsidRPr="00C33FA2">
                <w:rPr>
                  <w:rFonts w:ascii="Times New Roman" w:eastAsia="Times New Roman" w:hAnsi="Times New Roman"/>
                  <w:sz w:val="18"/>
                  <w:szCs w:val="18"/>
                  <w:lang w:eastAsia="pt-BR"/>
                </w:rPr>
                <w:t>Relatório da Reforma Previdenciária, parcialmente aprovada, em dezembro</w:t>
              </w:r>
            </w:hyperlink>
            <w:r w:rsidR="0071250D" w:rsidRPr="00C33FA2">
              <w:rPr>
                <w:rFonts w:ascii="Times New Roman" w:eastAsia="Times New Roman" w:hAnsi="Times New Roman"/>
                <w:sz w:val="18"/>
                <w:szCs w:val="18"/>
                <w:lang w:eastAsia="pt-BR"/>
              </w:rPr>
              <w:t>.</w:t>
            </w:r>
          </w:p>
        </w:tc>
      </w:tr>
      <w:tr w:rsidR="0071250D" w:rsidRPr="00C33FA2" w:rsidTr="005742E2">
        <w:trPr>
          <w:cantSplit/>
          <w:trHeight w:val="1134"/>
        </w:trPr>
        <w:tc>
          <w:tcPr>
            <w:tcW w:w="426" w:type="dxa"/>
            <w:textDirection w:val="btLr"/>
          </w:tcPr>
          <w:p w:rsidR="0071250D" w:rsidRPr="00C33FA2" w:rsidRDefault="0071250D" w:rsidP="005742E2">
            <w:pPr>
              <w:spacing w:line="152" w:lineRule="atLeast"/>
              <w:ind w:left="113" w:right="113"/>
              <w:jc w:val="center"/>
              <w:rPr>
                <w:rFonts w:ascii="Times New Roman" w:eastAsia="Times New Roman" w:hAnsi="Times New Roman"/>
                <w:b/>
                <w:sz w:val="24"/>
                <w:szCs w:val="24"/>
                <w:lang w:eastAsia="pt-BR"/>
              </w:rPr>
            </w:pPr>
            <w:r w:rsidRPr="00C33FA2">
              <w:rPr>
                <w:rFonts w:ascii="Times New Roman" w:eastAsia="Times New Roman" w:hAnsi="Times New Roman"/>
                <w:b/>
                <w:sz w:val="24"/>
                <w:szCs w:val="24"/>
                <w:lang w:eastAsia="pt-BR"/>
              </w:rPr>
              <w:t>2004</w:t>
            </w:r>
          </w:p>
        </w:tc>
        <w:tc>
          <w:tcPr>
            <w:tcW w:w="8079" w:type="dxa"/>
          </w:tcPr>
          <w:p w:rsidR="0071250D" w:rsidRPr="00C33FA2" w:rsidRDefault="00DB7322" w:rsidP="00FA1601">
            <w:pPr>
              <w:numPr>
                <w:ilvl w:val="0"/>
                <w:numId w:val="23"/>
              </w:numPr>
              <w:shd w:val="clear" w:color="auto" w:fill="FFFFFF"/>
              <w:spacing w:after="0" w:line="152" w:lineRule="atLeast"/>
              <w:ind w:left="230" w:hanging="230"/>
              <w:rPr>
                <w:rFonts w:ascii="Times New Roman" w:eastAsia="Times New Roman" w:hAnsi="Times New Roman"/>
                <w:sz w:val="18"/>
                <w:szCs w:val="18"/>
                <w:lang w:eastAsia="pt-BR"/>
              </w:rPr>
            </w:pPr>
            <w:hyperlink r:id="rId30" w:tooltip="Desenvolvimento é pautado nos encontros do grupo de trabalho (GT) Fundamentos Estratégicos para o Desenvolvimento, alicerce da futura agenda de desenvolvimento" w:history="1">
              <w:r w:rsidR="0071250D" w:rsidRPr="00C33FA2">
                <w:rPr>
                  <w:rFonts w:ascii="Times New Roman" w:eastAsia="Times New Roman" w:hAnsi="Times New Roman"/>
                  <w:sz w:val="18"/>
                  <w:szCs w:val="18"/>
                  <w:lang w:eastAsia="pt-BR"/>
                </w:rPr>
                <w:t>Desenvolvimento é pautado nos encontros do GT Fundamentos Estratégicos para o Desenvolvimento.</w:t>
              </w:r>
            </w:hyperlink>
          </w:p>
          <w:p w:rsidR="0071250D" w:rsidRPr="00C33FA2" w:rsidRDefault="00DB7322" w:rsidP="00FA1601">
            <w:pPr>
              <w:numPr>
                <w:ilvl w:val="0"/>
                <w:numId w:val="23"/>
              </w:numPr>
              <w:shd w:val="clear" w:color="auto" w:fill="FFFFFF"/>
              <w:spacing w:after="0" w:line="152" w:lineRule="atLeast"/>
              <w:ind w:left="230" w:hanging="230"/>
              <w:rPr>
                <w:rFonts w:ascii="Times New Roman" w:eastAsia="Times New Roman" w:hAnsi="Times New Roman"/>
                <w:sz w:val="18"/>
                <w:szCs w:val="18"/>
                <w:lang w:eastAsia="pt-BR"/>
              </w:rPr>
            </w:pPr>
            <w:hyperlink r:id="rId31" w:tooltip="Debate sobre política industrial, tecnológica e de comércio exterior, com sugestões acolhidas pelo Ministério do Desenvolvimento, Indústria e Comércio Exterior (MDIC), como a criação da Agência Brasileira de Desenvolvimento Industrial" w:history="1">
              <w:r w:rsidR="0071250D" w:rsidRPr="00C33FA2">
                <w:rPr>
                  <w:rFonts w:ascii="Times New Roman" w:eastAsia="Times New Roman" w:hAnsi="Times New Roman"/>
                  <w:sz w:val="18"/>
                  <w:szCs w:val="18"/>
                  <w:lang w:eastAsia="pt-BR"/>
                </w:rPr>
                <w:t>Debate sobre política industrial, tecnológica e de comércio exterior (PITCE), com sugestões acolhidas pelo MDIC, como a criação da Agência Brasileira de Desenvolvimento Industrial</w:t>
              </w:r>
            </w:hyperlink>
            <w:r w:rsidR="0071250D" w:rsidRPr="00C33FA2">
              <w:rPr>
                <w:rFonts w:ascii="Times New Roman" w:eastAsia="Times New Roman" w:hAnsi="Times New Roman"/>
                <w:sz w:val="18"/>
                <w:szCs w:val="18"/>
                <w:lang w:eastAsia="pt-BR"/>
              </w:rPr>
              <w:t xml:space="preserve"> (ABDI).</w:t>
            </w:r>
          </w:p>
          <w:p w:rsidR="0071250D" w:rsidRPr="00C33FA2" w:rsidRDefault="00DB7322" w:rsidP="00FA1601">
            <w:pPr>
              <w:numPr>
                <w:ilvl w:val="0"/>
                <w:numId w:val="23"/>
              </w:numPr>
              <w:shd w:val="clear" w:color="auto" w:fill="FFFFFF"/>
              <w:spacing w:after="0" w:line="152" w:lineRule="atLeast"/>
              <w:ind w:left="230" w:hanging="230"/>
              <w:rPr>
                <w:rFonts w:ascii="Times New Roman" w:eastAsia="Times New Roman" w:hAnsi="Times New Roman"/>
                <w:sz w:val="18"/>
                <w:szCs w:val="18"/>
                <w:lang w:eastAsia="pt-BR"/>
              </w:rPr>
            </w:pPr>
            <w:hyperlink r:id="rId32" w:tooltip="Definição da 6ª Carta de Concertação do CDES: política industrial como consenso para uma agenda de desenvolvimento" w:history="1">
              <w:r w:rsidR="0071250D" w:rsidRPr="00C33FA2">
                <w:rPr>
                  <w:rFonts w:ascii="Times New Roman" w:eastAsia="Times New Roman" w:hAnsi="Times New Roman"/>
                  <w:sz w:val="18"/>
                  <w:szCs w:val="18"/>
                  <w:lang w:eastAsia="pt-BR"/>
                </w:rPr>
                <w:t>Definição da 6ª Carta de Concertação do CDES: política industrial como consenso para uma agenda de desenvolvimento</w:t>
              </w:r>
            </w:hyperlink>
            <w:r w:rsidR="0071250D" w:rsidRPr="00C33FA2">
              <w:rPr>
                <w:rFonts w:ascii="Times New Roman" w:eastAsia="Times New Roman" w:hAnsi="Times New Roman"/>
                <w:sz w:val="18"/>
                <w:szCs w:val="18"/>
                <w:lang w:eastAsia="pt-BR"/>
              </w:rPr>
              <w:t>.</w:t>
            </w:r>
          </w:p>
          <w:p w:rsidR="0071250D" w:rsidRPr="00C33FA2" w:rsidRDefault="00DB7322" w:rsidP="00FA1601">
            <w:pPr>
              <w:numPr>
                <w:ilvl w:val="0"/>
                <w:numId w:val="23"/>
              </w:numPr>
              <w:shd w:val="clear" w:color="auto" w:fill="FFFFFF"/>
              <w:spacing w:line="152" w:lineRule="atLeast"/>
              <w:ind w:left="230" w:hanging="230"/>
              <w:rPr>
                <w:rFonts w:ascii="Times New Roman" w:eastAsia="Times New Roman" w:hAnsi="Times New Roman"/>
                <w:sz w:val="18"/>
                <w:szCs w:val="18"/>
                <w:lang w:eastAsia="pt-BR"/>
              </w:rPr>
            </w:pPr>
            <w:hyperlink r:id="rId33" w:tooltip="Mesa-Redonda Diálogo Social - Alavanca para o Desenvolvimento, marco no processo de mobilização pelo desenvolvimento" w:history="1">
              <w:r w:rsidR="0071250D" w:rsidRPr="00C33FA2">
                <w:rPr>
                  <w:rFonts w:ascii="Times New Roman" w:eastAsia="Times New Roman" w:hAnsi="Times New Roman"/>
                  <w:sz w:val="18"/>
                  <w:szCs w:val="18"/>
                  <w:lang w:eastAsia="pt-BR"/>
                </w:rPr>
                <w:t xml:space="preserve">Mesa-Redonda Diálogo Social - Alavanca para o Desenvolvimento. </w:t>
              </w:r>
            </w:hyperlink>
          </w:p>
        </w:tc>
      </w:tr>
      <w:tr w:rsidR="0071250D" w:rsidRPr="00C33FA2" w:rsidTr="005742E2">
        <w:trPr>
          <w:cantSplit/>
          <w:trHeight w:val="1134"/>
        </w:trPr>
        <w:tc>
          <w:tcPr>
            <w:tcW w:w="426" w:type="dxa"/>
            <w:textDirection w:val="btLr"/>
          </w:tcPr>
          <w:p w:rsidR="0071250D" w:rsidRPr="00C33FA2" w:rsidRDefault="0071250D" w:rsidP="005742E2">
            <w:pPr>
              <w:spacing w:line="152" w:lineRule="atLeast"/>
              <w:ind w:left="113" w:right="113"/>
              <w:jc w:val="center"/>
              <w:rPr>
                <w:rFonts w:ascii="Times New Roman" w:eastAsia="Times New Roman" w:hAnsi="Times New Roman"/>
                <w:b/>
                <w:sz w:val="24"/>
                <w:szCs w:val="24"/>
                <w:lang w:eastAsia="pt-BR"/>
              </w:rPr>
            </w:pPr>
            <w:r w:rsidRPr="00C33FA2">
              <w:rPr>
                <w:rFonts w:ascii="Times New Roman" w:eastAsia="Times New Roman" w:hAnsi="Times New Roman"/>
                <w:b/>
                <w:sz w:val="24"/>
                <w:szCs w:val="24"/>
                <w:lang w:eastAsia="pt-BR"/>
              </w:rPr>
              <w:t>2005</w:t>
            </w:r>
          </w:p>
        </w:tc>
        <w:tc>
          <w:tcPr>
            <w:tcW w:w="8079" w:type="dxa"/>
          </w:tcPr>
          <w:p w:rsidR="0071250D" w:rsidRPr="00C33FA2" w:rsidRDefault="00DB7322" w:rsidP="00FA1601">
            <w:pPr>
              <w:numPr>
                <w:ilvl w:val="0"/>
                <w:numId w:val="24"/>
              </w:numPr>
              <w:shd w:val="clear" w:color="auto" w:fill="FFFFFF"/>
              <w:spacing w:after="0" w:line="152" w:lineRule="atLeast"/>
              <w:ind w:left="230" w:hanging="230"/>
              <w:rPr>
                <w:rFonts w:ascii="Times New Roman" w:eastAsia="Times New Roman" w:hAnsi="Times New Roman"/>
                <w:sz w:val="18"/>
                <w:szCs w:val="18"/>
                <w:lang w:eastAsia="pt-BR"/>
              </w:rPr>
            </w:pPr>
            <w:hyperlink r:id="rId34" w:tooltip="Sugestões do GT Micro e Pequenas Empresas, Autogestão e Informalidade são incorporadas, gradativamente, com sanção de lei, que amplia Programa Nacional de Microcrédito Produtivo Orientado" w:history="1">
              <w:r w:rsidR="0071250D" w:rsidRPr="00C33FA2">
                <w:rPr>
                  <w:rFonts w:ascii="Times New Roman" w:eastAsia="Times New Roman" w:hAnsi="Times New Roman"/>
                  <w:sz w:val="18"/>
                  <w:szCs w:val="18"/>
                  <w:lang w:eastAsia="pt-BR"/>
                </w:rPr>
                <w:t>Sugestões do GT Micro e Pequenas Empresas, Autogestão e Informalidade são incorporadas, gradativamente, com sanção de lei, que amplia Programa Nacional de Microcrédito Produtivo Orientado</w:t>
              </w:r>
            </w:hyperlink>
            <w:r w:rsidR="0071250D" w:rsidRPr="00C33FA2">
              <w:rPr>
                <w:rFonts w:ascii="Times New Roman" w:eastAsia="Times New Roman" w:hAnsi="Times New Roman"/>
                <w:sz w:val="18"/>
                <w:szCs w:val="18"/>
                <w:lang w:eastAsia="pt-BR"/>
              </w:rPr>
              <w:t>.</w:t>
            </w:r>
          </w:p>
          <w:p w:rsidR="0071250D" w:rsidRPr="00C33FA2" w:rsidRDefault="00DB7322" w:rsidP="00FA1601">
            <w:pPr>
              <w:numPr>
                <w:ilvl w:val="0"/>
                <w:numId w:val="24"/>
              </w:numPr>
              <w:shd w:val="clear" w:color="auto" w:fill="FFFFFF"/>
              <w:spacing w:after="0" w:line="152" w:lineRule="atLeast"/>
              <w:ind w:left="230" w:hanging="230"/>
              <w:rPr>
                <w:rFonts w:ascii="Times New Roman" w:eastAsia="Times New Roman" w:hAnsi="Times New Roman"/>
                <w:b/>
                <w:sz w:val="24"/>
                <w:szCs w:val="24"/>
                <w:lang w:eastAsia="pt-BR"/>
              </w:rPr>
            </w:pPr>
            <w:hyperlink r:id="rId35" w:tooltip="Moção em Defesa à Ampliação do Conselho Monetário Nacional para assegurar maior governança a decisões de política econômica; e relatório sobre Desindexação da Economia com sugestões absorvidas, em parte, pela Anatel, ANTT e SEAP" w:history="1">
              <w:r w:rsidR="0071250D" w:rsidRPr="00C33FA2">
                <w:rPr>
                  <w:rFonts w:ascii="Times New Roman" w:eastAsia="Times New Roman" w:hAnsi="Times New Roman"/>
                  <w:sz w:val="18"/>
                  <w:szCs w:val="18"/>
                  <w:lang w:eastAsia="pt-BR"/>
                </w:rPr>
                <w:t xml:space="preserve">Moção em Defesa à Ampliação do Conselho Monetário Nacional </w:t>
              </w:r>
            </w:hyperlink>
            <w:r w:rsidR="0071250D" w:rsidRPr="00C33FA2">
              <w:t>.</w:t>
            </w:r>
          </w:p>
          <w:p w:rsidR="0071250D" w:rsidRPr="00C33FA2" w:rsidRDefault="00DB7322" w:rsidP="00FA1601">
            <w:pPr>
              <w:numPr>
                <w:ilvl w:val="0"/>
                <w:numId w:val="24"/>
              </w:numPr>
              <w:shd w:val="clear" w:color="auto" w:fill="FFFFFF"/>
              <w:spacing w:after="0" w:line="152" w:lineRule="atLeast"/>
              <w:ind w:left="230" w:hanging="230"/>
              <w:rPr>
                <w:rFonts w:ascii="Times New Roman" w:eastAsia="Times New Roman" w:hAnsi="Times New Roman"/>
                <w:b/>
                <w:sz w:val="24"/>
                <w:szCs w:val="24"/>
                <w:lang w:eastAsia="pt-BR"/>
              </w:rPr>
            </w:pPr>
            <w:hyperlink r:id="rId36" w:tooltip="Apresentação do pré-projeto e aprovação da Agenda Nacional de Desenvolvimento (AND)" w:history="1">
              <w:r w:rsidR="0071250D" w:rsidRPr="00C33FA2">
                <w:rPr>
                  <w:rFonts w:ascii="Times New Roman" w:eastAsia="Times New Roman" w:hAnsi="Times New Roman"/>
                  <w:sz w:val="18"/>
                  <w:szCs w:val="18"/>
                  <w:lang w:eastAsia="pt-BR"/>
                </w:rPr>
                <w:t>Em agosto, aprovação da Agenda Nacional de Desenvolvimento (AND)</w:t>
              </w:r>
            </w:hyperlink>
            <w:r w:rsidR="0071250D" w:rsidRPr="00C33FA2">
              <w:t>.</w:t>
            </w:r>
          </w:p>
          <w:p w:rsidR="00A71977" w:rsidRPr="00C33FA2" w:rsidRDefault="001F3779" w:rsidP="00FA1601">
            <w:pPr>
              <w:numPr>
                <w:ilvl w:val="0"/>
                <w:numId w:val="24"/>
              </w:numPr>
              <w:shd w:val="clear" w:color="auto" w:fill="FFFFFF"/>
              <w:spacing w:line="152" w:lineRule="atLeast"/>
              <w:ind w:left="230" w:hanging="230"/>
              <w:rPr>
                <w:rFonts w:ascii="Times New Roman" w:eastAsia="Times New Roman" w:hAnsi="Times New Roman"/>
                <w:b/>
                <w:sz w:val="18"/>
                <w:szCs w:val="18"/>
                <w:lang w:eastAsia="pt-BR"/>
              </w:rPr>
            </w:pPr>
            <w:r w:rsidRPr="00C33FA2">
              <w:rPr>
                <w:rFonts w:ascii="Times New Roman" w:hAnsi="Times New Roman"/>
                <w:sz w:val="18"/>
                <w:szCs w:val="18"/>
              </w:rPr>
              <w:t>Em junho, e</w:t>
            </w:r>
            <w:r w:rsidR="00A71977" w:rsidRPr="00C33FA2">
              <w:rPr>
                <w:rFonts w:ascii="Times New Roman" w:hAnsi="Times New Roman"/>
                <w:sz w:val="18"/>
                <w:szCs w:val="18"/>
              </w:rPr>
              <w:t>stoura o escândalo do mensalão.</w:t>
            </w:r>
          </w:p>
        </w:tc>
      </w:tr>
      <w:tr w:rsidR="0071250D" w:rsidRPr="00C33FA2" w:rsidTr="005742E2">
        <w:trPr>
          <w:cantSplit/>
          <w:trHeight w:val="1134"/>
        </w:trPr>
        <w:tc>
          <w:tcPr>
            <w:tcW w:w="426" w:type="dxa"/>
            <w:textDirection w:val="btLr"/>
          </w:tcPr>
          <w:p w:rsidR="0071250D" w:rsidRPr="00C33FA2" w:rsidRDefault="0071250D" w:rsidP="005742E2">
            <w:pPr>
              <w:spacing w:line="152" w:lineRule="atLeast"/>
              <w:ind w:left="113" w:right="113"/>
              <w:jc w:val="center"/>
              <w:rPr>
                <w:rFonts w:ascii="Times New Roman" w:eastAsia="Times New Roman" w:hAnsi="Times New Roman"/>
                <w:b/>
                <w:sz w:val="24"/>
                <w:szCs w:val="24"/>
                <w:lang w:eastAsia="pt-BR"/>
              </w:rPr>
            </w:pPr>
            <w:r w:rsidRPr="00C33FA2">
              <w:rPr>
                <w:rFonts w:ascii="Times New Roman" w:eastAsia="Times New Roman" w:hAnsi="Times New Roman"/>
                <w:b/>
                <w:sz w:val="24"/>
                <w:szCs w:val="24"/>
                <w:lang w:eastAsia="pt-BR"/>
              </w:rPr>
              <w:t>2006</w:t>
            </w:r>
          </w:p>
        </w:tc>
        <w:tc>
          <w:tcPr>
            <w:tcW w:w="8079" w:type="dxa"/>
          </w:tcPr>
          <w:p w:rsidR="00AB6180" w:rsidRPr="00C33FA2" w:rsidRDefault="00DB7322" w:rsidP="00AB6180">
            <w:pPr>
              <w:numPr>
                <w:ilvl w:val="0"/>
                <w:numId w:val="25"/>
              </w:numPr>
              <w:shd w:val="clear" w:color="auto" w:fill="FFFFFF"/>
              <w:spacing w:after="0" w:line="152" w:lineRule="atLeast"/>
              <w:ind w:left="230" w:hanging="230"/>
              <w:rPr>
                <w:rFonts w:ascii="Times New Roman" w:eastAsia="Times New Roman" w:hAnsi="Times New Roman"/>
                <w:sz w:val="18"/>
                <w:szCs w:val="18"/>
                <w:lang w:eastAsia="pt-BR"/>
              </w:rPr>
            </w:pPr>
            <w:hyperlink r:id="rId37" w:tooltip="Lançamento dos Enunciados Estratégicos para o Desenvolvimento" w:history="1">
              <w:r w:rsidR="00AB6180" w:rsidRPr="00C33FA2">
                <w:rPr>
                  <w:rFonts w:ascii="Times New Roman" w:eastAsia="Times New Roman" w:hAnsi="Times New Roman"/>
                  <w:sz w:val="18"/>
                  <w:szCs w:val="18"/>
                  <w:lang w:eastAsia="pt-BR"/>
                </w:rPr>
                <w:t>Lançamento dos Enunciados Estratégicos para o Desenvolvimento</w:t>
              </w:r>
            </w:hyperlink>
            <w:r w:rsidR="00AB6180" w:rsidRPr="00C33FA2">
              <w:rPr>
                <w:rFonts w:ascii="Times New Roman" w:eastAsia="Times New Roman" w:hAnsi="Times New Roman"/>
                <w:sz w:val="18"/>
                <w:szCs w:val="18"/>
                <w:lang w:eastAsia="pt-BR"/>
              </w:rPr>
              <w:t>.</w:t>
            </w:r>
          </w:p>
          <w:p w:rsidR="0071250D" w:rsidRPr="00C33FA2" w:rsidRDefault="00DB7322" w:rsidP="00FA1601">
            <w:pPr>
              <w:numPr>
                <w:ilvl w:val="0"/>
                <w:numId w:val="25"/>
              </w:numPr>
              <w:shd w:val="clear" w:color="auto" w:fill="FFFFFF"/>
              <w:spacing w:after="0" w:line="152" w:lineRule="atLeast"/>
              <w:ind w:left="230" w:hanging="230"/>
              <w:rPr>
                <w:rFonts w:ascii="Times New Roman" w:eastAsia="Times New Roman" w:hAnsi="Times New Roman"/>
                <w:sz w:val="18"/>
                <w:szCs w:val="18"/>
                <w:lang w:eastAsia="pt-BR"/>
              </w:rPr>
            </w:pPr>
            <w:hyperlink r:id="rId38" w:tooltip="Criação do Observatório da Equidade do CDES, ferramenta de pedagogia política para fundamentar proposições do Conselho e disponibilizar conhecimento" w:history="1">
              <w:r w:rsidR="0071250D" w:rsidRPr="00C33FA2">
                <w:rPr>
                  <w:rFonts w:ascii="Times New Roman" w:eastAsia="Times New Roman" w:hAnsi="Times New Roman"/>
                  <w:sz w:val="18"/>
                  <w:szCs w:val="18"/>
                  <w:lang w:eastAsia="pt-BR"/>
                </w:rPr>
                <w:t>Criação do Observatório da Equidade do CDES.</w:t>
              </w:r>
            </w:hyperlink>
          </w:p>
          <w:p w:rsidR="0071250D" w:rsidRPr="00C33FA2" w:rsidRDefault="00DB7322" w:rsidP="00FA1601">
            <w:pPr>
              <w:numPr>
                <w:ilvl w:val="0"/>
                <w:numId w:val="25"/>
              </w:numPr>
              <w:shd w:val="clear" w:color="auto" w:fill="FFFFFF"/>
              <w:spacing w:after="0" w:line="152" w:lineRule="atLeast"/>
              <w:ind w:left="230" w:hanging="230"/>
              <w:rPr>
                <w:rFonts w:ascii="Times New Roman" w:eastAsia="Times New Roman" w:hAnsi="Times New Roman"/>
                <w:sz w:val="18"/>
                <w:szCs w:val="18"/>
                <w:lang w:eastAsia="pt-BR"/>
              </w:rPr>
            </w:pPr>
            <w:hyperlink r:id="rId39" w:tooltip="Eventos para ampliação do espaço de discussão da AND, com o Seminário sobre Desenvolvimento: a AND em Debate" w:history="1">
              <w:r w:rsidR="0071250D" w:rsidRPr="00C33FA2">
                <w:rPr>
                  <w:rFonts w:ascii="Times New Roman" w:eastAsia="Times New Roman" w:hAnsi="Times New Roman"/>
                  <w:sz w:val="18"/>
                  <w:szCs w:val="18"/>
                  <w:lang w:eastAsia="pt-BR"/>
                </w:rPr>
                <w:t>Eventos para ampliação do espaço de discussão da AND, com o Seminário sobre o Desenvolvimento.</w:t>
              </w:r>
            </w:hyperlink>
          </w:p>
          <w:p w:rsidR="001F3779" w:rsidRPr="00C33FA2" w:rsidRDefault="00DB7322" w:rsidP="00AB6180">
            <w:pPr>
              <w:numPr>
                <w:ilvl w:val="0"/>
                <w:numId w:val="25"/>
              </w:numPr>
              <w:shd w:val="clear" w:color="auto" w:fill="FFFFFF"/>
              <w:spacing w:after="0" w:line="152" w:lineRule="atLeast"/>
              <w:ind w:left="230" w:hanging="230"/>
              <w:rPr>
                <w:rFonts w:ascii="Times New Roman" w:eastAsia="Times New Roman" w:hAnsi="Times New Roman"/>
                <w:sz w:val="18"/>
                <w:szCs w:val="18"/>
                <w:lang w:eastAsia="pt-BR"/>
              </w:rPr>
            </w:pPr>
            <w:hyperlink r:id="rId40" w:tooltip="Moção a favor da imediata aceitação do Fundo de Manutenção e Desenvolvimento da Educação Básica e de Valorização dos Profissionais da Educação (Fundeb) e sua aprovação" w:history="1">
              <w:r w:rsidR="0071250D" w:rsidRPr="00C33FA2">
                <w:rPr>
                  <w:rFonts w:ascii="Times New Roman" w:eastAsia="Times New Roman" w:hAnsi="Times New Roman"/>
                  <w:sz w:val="18"/>
                  <w:szCs w:val="18"/>
                  <w:lang w:eastAsia="pt-BR"/>
                </w:rPr>
                <w:t>Moção a favor da imediata aceitação do FUNDEB e sua aprovação</w:t>
              </w:r>
            </w:hyperlink>
            <w:r w:rsidR="0071250D" w:rsidRPr="00C33FA2">
              <w:rPr>
                <w:rFonts w:ascii="Times New Roman" w:eastAsia="Times New Roman" w:hAnsi="Times New Roman"/>
                <w:sz w:val="18"/>
                <w:szCs w:val="18"/>
                <w:lang w:eastAsia="pt-BR"/>
              </w:rPr>
              <w:t>.</w:t>
            </w:r>
          </w:p>
          <w:p w:rsidR="001F3779" w:rsidRPr="00C33FA2" w:rsidRDefault="001F3779" w:rsidP="00FA1601">
            <w:pPr>
              <w:numPr>
                <w:ilvl w:val="0"/>
                <w:numId w:val="25"/>
              </w:numPr>
              <w:shd w:val="clear" w:color="auto" w:fill="FFFFFF"/>
              <w:spacing w:line="152" w:lineRule="atLeast"/>
              <w:ind w:left="230" w:hanging="230"/>
              <w:rPr>
                <w:rFonts w:ascii="Times New Roman" w:eastAsia="Times New Roman" w:hAnsi="Times New Roman"/>
                <w:b/>
                <w:sz w:val="24"/>
                <w:szCs w:val="24"/>
                <w:lang w:eastAsia="pt-BR"/>
              </w:rPr>
            </w:pPr>
            <w:r w:rsidRPr="00C33FA2">
              <w:rPr>
                <w:rFonts w:ascii="Times New Roman" w:hAnsi="Times New Roman"/>
                <w:sz w:val="18"/>
                <w:szCs w:val="18"/>
              </w:rPr>
              <w:t>Em março, saída de Antonio Palocci e entrada de Guido Mantega no Ministério da Fazenda</w:t>
            </w:r>
            <w:r w:rsidRPr="00C33FA2">
              <w:rPr>
                <w:rFonts w:ascii="Times New Roman" w:eastAsia="Times New Roman" w:hAnsi="Times New Roman"/>
                <w:b/>
                <w:sz w:val="18"/>
                <w:szCs w:val="18"/>
                <w:lang w:eastAsia="pt-BR"/>
              </w:rPr>
              <w:t>.</w:t>
            </w:r>
          </w:p>
        </w:tc>
      </w:tr>
    </w:tbl>
    <w:p w:rsidR="0071250D" w:rsidRPr="00C33FA2" w:rsidRDefault="0071250D" w:rsidP="0071250D">
      <w:pPr>
        <w:spacing w:after="0" w:line="360" w:lineRule="auto"/>
        <w:jc w:val="both"/>
        <w:rPr>
          <w:rFonts w:ascii="Times New Roman" w:hAnsi="Times New Roman"/>
          <w:sz w:val="18"/>
          <w:szCs w:val="18"/>
        </w:rPr>
      </w:pPr>
      <w:r w:rsidRPr="00C33FA2">
        <w:rPr>
          <w:rFonts w:ascii="Times New Roman" w:hAnsi="Times New Roman"/>
          <w:b/>
          <w:sz w:val="18"/>
          <w:szCs w:val="18"/>
        </w:rPr>
        <w:t>Elaboração própria</w:t>
      </w:r>
      <w:r w:rsidRPr="00C33FA2">
        <w:rPr>
          <w:rFonts w:ascii="Times New Roman" w:hAnsi="Times New Roman"/>
          <w:sz w:val="18"/>
          <w:szCs w:val="18"/>
        </w:rPr>
        <w:t xml:space="preserve">. </w:t>
      </w:r>
      <w:r w:rsidRPr="00C33FA2">
        <w:rPr>
          <w:rFonts w:ascii="Times New Roman" w:hAnsi="Times New Roman"/>
          <w:b/>
          <w:sz w:val="18"/>
          <w:szCs w:val="18"/>
        </w:rPr>
        <w:t>Fonte</w:t>
      </w:r>
      <w:r w:rsidRPr="00C33FA2">
        <w:rPr>
          <w:rFonts w:ascii="Times New Roman" w:hAnsi="Times New Roman"/>
          <w:sz w:val="18"/>
          <w:szCs w:val="18"/>
        </w:rPr>
        <w:t xml:space="preserve">: Adaptado de “A linha do tempo do CDES”. </w:t>
      </w:r>
      <w:r w:rsidRPr="00C33FA2">
        <w:rPr>
          <w:rStyle w:val="Refdenotaderodap"/>
          <w:rFonts w:ascii="Times New Roman" w:hAnsi="Times New Roman"/>
          <w:sz w:val="18"/>
          <w:szCs w:val="18"/>
        </w:rPr>
        <w:footnoteReference w:id="364"/>
      </w:r>
    </w:p>
    <w:p w:rsidR="00691380" w:rsidRPr="00C33FA2" w:rsidRDefault="00691380" w:rsidP="00691380">
      <w:pPr>
        <w:spacing w:after="0" w:line="360" w:lineRule="auto"/>
        <w:ind w:firstLine="708"/>
        <w:jc w:val="both"/>
        <w:rPr>
          <w:rFonts w:ascii="Times New Roman" w:hAnsi="Times New Roman"/>
          <w:sz w:val="24"/>
          <w:szCs w:val="24"/>
        </w:rPr>
      </w:pPr>
    </w:p>
    <w:p w:rsidR="002838D3" w:rsidRPr="00C33FA2" w:rsidRDefault="002838D3" w:rsidP="00977576">
      <w:pPr>
        <w:spacing w:line="360" w:lineRule="auto"/>
        <w:ind w:firstLine="708"/>
        <w:jc w:val="both"/>
        <w:rPr>
          <w:rFonts w:ascii="Times New Roman" w:hAnsi="Times New Roman"/>
          <w:sz w:val="24"/>
          <w:szCs w:val="24"/>
        </w:rPr>
      </w:pPr>
      <w:r w:rsidRPr="00C33FA2">
        <w:rPr>
          <w:rFonts w:ascii="Times New Roman" w:hAnsi="Times New Roman"/>
          <w:sz w:val="24"/>
          <w:szCs w:val="24"/>
        </w:rPr>
        <w:t xml:space="preserve">Com a preocupação de seguir uma ordem cronológica </w:t>
      </w:r>
      <w:r w:rsidR="00AE1E56" w:rsidRPr="00C33FA2">
        <w:rPr>
          <w:rFonts w:ascii="Times New Roman" w:hAnsi="Times New Roman"/>
          <w:sz w:val="24"/>
          <w:szCs w:val="24"/>
        </w:rPr>
        <w:t xml:space="preserve">na apresentação </w:t>
      </w:r>
      <w:r w:rsidRPr="00C33FA2">
        <w:rPr>
          <w:rFonts w:ascii="Times New Roman" w:hAnsi="Times New Roman"/>
          <w:sz w:val="24"/>
          <w:szCs w:val="24"/>
        </w:rPr>
        <w:t>dos debates, preferimos organizar o capítulo da seguinte maneira: apresentação e análise das Cartas de Concertação</w:t>
      </w:r>
      <w:r w:rsidR="00CD354E" w:rsidRPr="00C33FA2">
        <w:rPr>
          <w:rFonts w:ascii="Times New Roman" w:hAnsi="Times New Roman"/>
          <w:sz w:val="24"/>
          <w:szCs w:val="24"/>
        </w:rPr>
        <w:t xml:space="preserve"> (2003-2004)</w:t>
      </w:r>
      <w:r w:rsidRPr="00C33FA2">
        <w:rPr>
          <w:rFonts w:ascii="Times New Roman" w:hAnsi="Times New Roman"/>
          <w:sz w:val="24"/>
          <w:szCs w:val="24"/>
        </w:rPr>
        <w:t>; um debate sobre a construç</w:t>
      </w:r>
      <w:r w:rsidR="00CD354E" w:rsidRPr="00C33FA2">
        <w:rPr>
          <w:rFonts w:ascii="Times New Roman" w:hAnsi="Times New Roman"/>
          <w:sz w:val="24"/>
          <w:szCs w:val="24"/>
        </w:rPr>
        <w:t>ão da noção de “desenvolvimento com equidade”</w:t>
      </w:r>
      <w:r w:rsidR="00023593" w:rsidRPr="00C33FA2">
        <w:rPr>
          <w:rFonts w:ascii="Times New Roman" w:hAnsi="Times New Roman"/>
          <w:sz w:val="24"/>
          <w:szCs w:val="24"/>
        </w:rPr>
        <w:t xml:space="preserve"> no CDES e </w:t>
      </w:r>
      <w:r w:rsidR="00CD354E" w:rsidRPr="00C33FA2">
        <w:rPr>
          <w:rFonts w:ascii="Times New Roman" w:hAnsi="Times New Roman"/>
          <w:sz w:val="24"/>
          <w:szCs w:val="24"/>
        </w:rPr>
        <w:t xml:space="preserve">as principais tensões e conflitos surgidos </w:t>
      </w:r>
      <w:r w:rsidR="00023593" w:rsidRPr="00C33FA2">
        <w:rPr>
          <w:rFonts w:ascii="Times New Roman" w:hAnsi="Times New Roman"/>
          <w:sz w:val="24"/>
          <w:szCs w:val="24"/>
        </w:rPr>
        <w:t xml:space="preserve">em torno da política econômica </w:t>
      </w:r>
      <w:r w:rsidR="00723308" w:rsidRPr="00C33FA2">
        <w:rPr>
          <w:rFonts w:ascii="Times New Roman" w:hAnsi="Times New Roman"/>
          <w:sz w:val="24"/>
          <w:szCs w:val="24"/>
        </w:rPr>
        <w:t xml:space="preserve">entre </w:t>
      </w:r>
      <w:r w:rsidR="00AE1E56" w:rsidRPr="00C33FA2">
        <w:rPr>
          <w:rFonts w:ascii="Times New Roman" w:hAnsi="Times New Roman"/>
          <w:sz w:val="24"/>
          <w:szCs w:val="24"/>
        </w:rPr>
        <w:t>200</w:t>
      </w:r>
      <w:r w:rsidR="00023593" w:rsidRPr="00C33FA2">
        <w:rPr>
          <w:rFonts w:ascii="Times New Roman" w:hAnsi="Times New Roman"/>
          <w:sz w:val="24"/>
          <w:szCs w:val="24"/>
        </w:rPr>
        <w:t>4</w:t>
      </w:r>
      <w:r w:rsidR="00CD354E" w:rsidRPr="00C33FA2">
        <w:rPr>
          <w:rFonts w:ascii="Times New Roman" w:hAnsi="Times New Roman"/>
          <w:sz w:val="24"/>
          <w:szCs w:val="24"/>
        </w:rPr>
        <w:t xml:space="preserve"> e 2005; </w:t>
      </w:r>
      <w:r w:rsidR="00AE1E56" w:rsidRPr="00C33FA2">
        <w:rPr>
          <w:rFonts w:ascii="Times New Roman" w:hAnsi="Times New Roman"/>
          <w:sz w:val="24"/>
          <w:szCs w:val="24"/>
        </w:rPr>
        <w:t>o debate acerca da ampliação da composição do Conselho Monetário Nacional (CNM) entre 2004 e 2005</w:t>
      </w:r>
      <w:r w:rsidR="00AE1E56" w:rsidRPr="00C33FA2">
        <w:rPr>
          <w:rFonts w:ascii="Times New Roman" w:hAnsi="Times New Roman"/>
          <w:b/>
          <w:sz w:val="24"/>
          <w:szCs w:val="24"/>
        </w:rPr>
        <w:t xml:space="preserve">; </w:t>
      </w:r>
      <w:r w:rsidR="00CD354E" w:rsidRPr="00C33FA2">
        <w:rPr>
          <w:rFonts w:ascii="Times New Roman" w:hAnsi="Times New Roman"/>
          <w:sz w:val="24"/>
          <w:szCs w:val="24"/>
        </w:rPr>
        <w:t xml:space="preserve">a elaboração e análise da Agenda Nacional de Desenvolvimento (2004-2005) e, por fim, </w:t>
      </w:r>
      <w:r w:rsidR="00AB6180" w:rsidRPr="00C33FA2">
        <w:rPr>
          <w:rFonts w:ascii="Times New Roman" w:hAnsi="Times New Roman"/>
          <w:sz w:val="24"/>
          <w:szCs w:val="24"/>
        </w:rPr>
        <w:t>d</w:t>
      </w:r>
      <w:r w:rsidR="00CD354E" w:rsidRPr="00C33FA2">
        <w:rPr>
          <w:rFonts w:ascii="Times New Roman" w:hAnsi="Times New Roman"/>
          <w:sz w:val="24"/>
          <w:szCs w:val="24"/>
        </w:rPr>
        <w:t>osEnunciados Estratégicos para o Desenvolvimento e o debate dos conselheiros com a FGV (2006</w:t>
      </w:r>
      <w:r w:rsidR="001F3779" w:rsidRPr="00C33FA2">
        <w:rPr>
          <w:rFonts w:ascii="Times New Roman" w:hAnsi="Times New Roman"/>
          <w:sz w:val="24"/>
          <w:szCs w:val="24"/>
        </w:rPr>
        <w:t>)</w:t>
      </w:r>
      <w:r w:rsidR="00CD354E" w:rsidRPr="00C33FA2">
        <w:rPr>
          <w:rFonts w:ascii="Times New Roman" w:hAnsi="Times New Roman"/>
          <w:sz w:val="24"/>
          <w:szCs w:val="24"/>
        </w:rPr>
        <w:t>.</w:t>
      </w:r>
    </w:p>
    <w:p w:rsidR="00CD354E" w:rsidRPr="00B90A0F" w:rsidRDefault="003A69C2" w:rsidP="00CD354E">
      <w:pPr>
        <w:spacing w:line="360" w:lineRule="auto"/>
        <w:jc w:val="both"/>
        <w:rPr>
          <w:rFonts w:ascii="Times New Roman" w:hAnsi="Times New Roman"/>
          <w:b/>
          <w:sz w:val="24"/>
          <w:szCs w:val="24"/>
        </w:rPr>
      </w:pPr>
      <w:r>
        <w:rPr>
          <w:rFonts w:ascii="Times New Roman" w:hAnsi="Times New Roman"/>
          <w:b/>
          <w:sz w:val="24"/>
          <w:szCs w:val="24"/>
        </w:rPr>
        <w:t>3.2</w:t>
      </w:r>
      <w:r w:rsidR="00CD354E">
        <w:rPr>
          <w:rFonts w:ascii="Times New Roman" w:hAnsi="Times New Roman"/>
          <w:b/>
          <w:sz w:val="24"/>
          <w:szCs w:val="24"/>
        </w:rPr>
        <w:t xml:space="preserve"> – As Cartas de Concertação</w:t>
      </w:r>
      <w:r w:rsidR="00723308">
        <w:rPr>
          <w:rFonts w:ascii="Times New Roman" w:hAnsi="Times New Roman"/>
          <w:b/>
          <w:sz w:val="24"/>
          <w:szCs w:val="24"/>
        </w:rPr>
        <w:t xml:space="preserve"> (2003-2004)</w:t>
      </w:r>
    </w:p>
    <w:p w:rsidR="00CD354E"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 xml:space="preserve">Os primeiros documentos de orientação estratégica produzidos pelo CDES foram as Cartas de Concertação. Entre fevereiro de 2003 e março 2004, a Secretaria do CDES (SEDES/SRI) publicou seis </w:t>
      </w:r>
      <w:r w:rsidRPr="000635E9">
        <w:rPr>
          <w:rFonts w:ascii="Times New Roman" w:hAnsi="Times New Roman"/>
          <w:i/>
          <w:sz w:val="24"/>
          <w:szCs w:val="24"/>
        </w:rPr>
        <w:t>Cartas de Concertação</w:t>
      </w:r>
      <w:r>
        <w:rPr>
          <w:rFonts w:ascii="Times New Roman" w:hAnsi="Times New Roman"/>
          <w:sz w:val="24"/>
          <w:szCs w:val="24"/>
        </w:rPr>
        <w:t>. Tais publicações foram resultado de um processo de discussões entre os próprios conselheiros e entre esses e a Secretaria. O procedimento de elaboração de cada uma das seis Cartas de Concertação</w:t>
      </w:r>
      <w:r>
        <w:rPr>
          <w:rStyle w:val="Refdenotaderodap"/>
          <w:rFonts w:ascii="Times New Roman" w:hAnsi="Times New Roman"/>
          <w:sz w:val="24"/>
          <w:szCs w:val="24"/>
        </w:rPr>
        <w:footnoteReference w:id="365"/>
      </w:r>
      <w:r>
        <w:rPr>
          <w:rFonts w:ascii="Times New Roman" w:hAnsi="Times New Roman"/>
          <w:sz w:val="24"/>
          <w:szCs w:val="24"/>
        </w:rPr>
        <w:t xml:space="preserve"> inicia</w:t>
      </w:r>
      <w:r w:rsidR="005A0AF3">
        <w:rPr>
          <w:rFonts w:ascii="Times New Roman" w:hAnsi="Times New Roman"/>
          <w:sz w:val="24"/>
          <w:szCs w:val="24"/>
        </w:rPr>
        <w:t>va</w:t>
      </w:r>
      <w:r>
        <w:rPr>
          <w:rFonts w:ascii="Times New Roman" w:hAnsi="Times New Roman"/>
          <w:sz w:val="24"/>
          <w:szCs w:val="24"/>
        </w:rPr>
        <w:t>-se com a apresentação de uma primeira versão produzida pela SEDES e logo submetida ao exame dos conselheiros. Após os debates, as emendas propostas eram referendadas por todos os conselheiros em reunião plenária, seguindo para publicação.</w:t>
      </w:r>
    </w:p>
    <w:p w:rsidR="00CD354E"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 xml:space="preserve"> As Cartas versavam sobre temas distintos, mas se percebe nitidamente dois </w:t>
      </w:r>
      <w:r>
        <w:rPr>
          <w:rFonts w:ascii="Times New Roman" w:hAnsi="Times New Roman"/>
          <w:i/>
          <w:sz w:val="24"/>
          <w:szCs w:val="24"/>
        </w:rPr>
        <w:t>fios vermelhos</w:t>
      </w:r>
      <w:r>
        <w:rPr>
          <w:rFonts w:ascii="Times New Roman" w:hAnsi="Times New Roman"/>
          <w:sz w:val="24"/>
          <w:szCs w:val="24"/>
        </w:rPr>
        <w:t xml:space="preserve"> que as perpassavam: a preocupação em estabelecer marcos éticos-normativos necessários a construção de consensos entre os setores sociais presentes e aspectos conceituais e programáticos inerentes às prioridades do desenvolvimento do país.</w:t>
      </w:r>
    </w:p>
    <w:p w:rsidR="00CD354E"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Segundo Costa, algumas Cartas foram acordadas sem grandes problemas enquanto outras exigiram maior diálogo e discussão, obrigando a um número maior de versões antes de sua aprovação pela plenária.</w:t>
      </w:r>
      <w:r>
        <w:rPr>
          <w:rStyle w:val="Refdenotaderodap"/>
          <w:rFonts w:ascii="Times New Roman" w:hAnsi="Times New Roman"/>
          <w:sz w:val="24"/>
          <w:szCs w:val="24"/>
        </w:rPr>
        <w:footnoteReference w:id="366"/>
      </w:r>
      <w:r>
        <w:rPr>
          <w:rFonts w:ascii="Times New Roman" w:hAnsi="Times New Roman"/>
          <w:sz w:val="24"/>
          <w:szCs w:val="24"/>
        </w:rPr>
        <w:t xml:space="preserve"> Como não tivemos acesso às emendas propostas nem à autoria de cada uma delas, as apresentaremos como produto de uma intervenção coletiva, mesmo cientes de que o resultado camufla um processo de embate interno. </w:t>
      </w:r>
    </w:p>
    <w:p w:rsidR="00CD354E"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 xml:space="preserve">Cabe salientar que realçaremos os pontos das Cartas que abordam diretamente o que o Conselho consensualizou como plataforma básica de requisitos políticos, econômicos e sociais estratégicos para o erguimento do “desenvolvimento”. Ocorre que se torna empobrecedora a tarefa de realizar a exposição e o exame das Cartas de Concertação de maneira unilateral, ou seja, tentando explorar a concepção de desenvolvimento </w:t>
      </w:r>
      <w:r>
        <w:rPr>
          <w:rFonts w:ascii="Times New Roman" w:hAnsi="Times New Roman"/>
          <w:i/>
          <w:sz w:val="24"/>
          <w:szCs w:val="24"/>
        </w:rPr>
        <w:t>tout court</w:t>
      </w:r>
      <w:r>
        <w:rPr>
          <w:rFonts w:ascii="Times New Roman" w:hAnsi="Times New Roman"/>
          <w:sz w:val="24"/>
          <w:szCs w:val="24"/>
        </w:rPr>
        <w:t>, sem levar em consideração: i) que as cartas foram produzidas com o objetivo preciso de elaborar acordos “ético-normativos” e políticos, ou seja, seu propósito era tanto demarcar fronteiras e definir territórios consensuais a partir dos quais as linhas de ação dos grupos sociais representados deveriam transitar, compartilhar e conflitar, quanto buscar pontos de unidade estratégica daquilo que cada conselheiro julgava ser a ação adequada do governo naquele assunto em debate;</w:t>
      </w:r>
      <w:r>
        <w:rPr>
          <w:rStyle w:val="Refdenotaderodap"/>
          <w:rFonts w:ascii="Times New Roman" w:hAnsi="Times New Roman"/>
          <w:sz w:val="24"/>
          <w:szCs w:val="24"/>
        </w:rPr>
        <w:footnoteReference w:id="367"/>
      </w:r>
      <w:r>
        <w:rPr>
          <w:rFonts w:ascii="Times New Roman" w:hAnsi="Times New Roman"/>
          <w:sz w:val="24"/>
          <w:szCs w:val="24"/>
        </w:rPr>
        <w:t xml:space="preserve"> ii)  que era sob a orientação desses parâmetros que se intentavam processar os “conflitos regulados” e, portanto, subjazia o próprio trabalho de elaboração conjunta de formulação não apenas da acepção mas da própria concepção (sentido e projeto) de “desenvolvimento com inclusão social”. Quer dizer, no CDES, o componente ideológico social-liberal da “concertação social” tentava aparecer como premissa básica, como ponto de partida racional sobre os quais temas e/ou assuntos deveriam ser formulados e conduzidos. Na prática, isto se traduzia de forma clara na iniciativa de aprofundamento da aliança de classes. Nas palavras de José Dirceu, em </w:t>
      </w:r>
      <w:r w:rsidR="005A0AF3">
        <w:rPr>
          <w:rFonts w:ascii="Times New Roman" w:hAnsi="Times New Roman"/>
          <w:sz w:val="24"/>
          <w:szCs w:val="24"/>
        </w:rPr>
        <w:t xml:space="preserve">citado </w:t>
      </w:r>
      <w:r>
        <w:rPr>
          <w:rFonts w:ascii="Times New Roman" w:hAnsi="Times New Roman"/>
          <w:sz w:val="24"/>
          <w:szCs w:val="24"/>
        </w:rPr>
        <w:t>evento do CDES:</w:t>
      </w:r>
    </w:p>
    <w:p w:rsidR="00CD354E" w:rsidRPr="008B5142" w:rsidRDefault="00CD354E" w:rsidP="00CD354E">
      <w:pPr>
        <w:spacing w:line="240" w:lineRule="auto"/>
        <w:ind w:left="2268"/>
        <w:jc w:val="both"/>
        <w:rPr>
          <w:rFonts w:ascii="Times New Roman" w:hAnsi="Times New Roman"/>
          <w:sz w:val="20"/>
          <w:szCs w:val="20"/>
        </w:rPr>
      </w:pPr>
      <w:r w:rsidRPr="00F21653">
        <w:rPr>
          <w:rFonts w:ascii="Times New Roman" w:hAnsi="Times New Roman"/>
          <w:sz w:val="20"/>
          <w:szCs w:val="20"/>
        </w:rPr>
        <w:t xml:space="preserve">Acredito que a </w:t>
      </w:r>
      <w:r w:rsidRPr="007101F1">
        <w:rPr>
          <w:rFonts w:ascii="Times New Roman" w:hAnsi="Times New Roman"/>
          <w:b/>
          <w:sz w:val="20"/>
          <w:szCs w:val="20"/>
        </w:rPr>
        <w:t>primeira condição</w:t>
      </w:r>
      <w:r w:rsidRPr="00F21653">
        <w:rPr>
          <w:rFonts w:ascii="Times New Roman" w:hAnsi="Times New Roman"/>
          <w:sz w:val="20"/>
          <w:szCs w:val="20"/>
        </w:rPr>
        <w:t xml:space="preserve"> para o desenvolvimento é a vontade política de uma </w:t>
      </w:r>
      <w:r w:rsidRPr="00F21653">
        <w:rPr>
          <w:rFonts w:ascii="Times New Roman" w:hAnsi="Times New Roman"/>
          <w:b/>
          <w:sz w:val="20"/>
          <w:szCs w:val="20"/>
        </w:rPr>
        <w:t>coalizão</w:t>
      </w:r>
      <w:r w:rsidRPr="00F21653">
        <w:rPr>
          <w:rFonts w:ascii="Times New Roman" w:hAnsi="Times New Roman"/>
          <w:sz w:val="20"/>
          <w:szCs w:val="20"/>
        </w:rPr>
        <w:t xml:space="preserve"> (...). Em outras palavras, o desenvolvimento </w:t>
      </w:r>
      <w:r w:rsidRPr="00F21653">
        <w:rPr>
          <w:rFonts w:ascii="Times New Roman" w:hAnsi="Times New Roman"/>
          <w:b/>
          <w:sz w:val="20"/>
          <w:szCs w:val="20"/>
        </w:rPr>
        <w:t>depende de uma aliança e de um pacto político</w:t>
      </w:r>
      <w:r w:rsidRPr="00F21653">
        <w:rPr>
          <w:rFonts w:ascii="Times New Roman" w:hAnsi="Times New Roman"/>
          <w:sz w:val="20"/>
          <w:szCs w:val="20"/>
        </w:rPr>
        <w:t xml:space="preserve"> (...). Foi o que aconteceu com a eleição do presidente Lula, com o programa e com a proposta de aliança que fizemos nas eleições de 2002.(...) Sem um projeto de desenvolvimento nacional, </w:t>
      </w:r>
      <w:r w:rsidRPr="00F21653">
        <w:rPr>
          <w:rFonts w:ascii="Times New Roman" w:hAnsi="Times New Roman"/>
          <w:b/>
          <w:sz w:val="20"/>
          <w:szCs w:val="20"/>
        </w:rPr>
        <w:t xml:space="preserve">sem uma aliança político-social entre as classes populares e o empresariado nacional, não haverá desenvolvimento no </w:t>
      </w:r>
      <w:r w:rsidRPr="00471916">
        <w:rPr>
          <w:rFonts w:ascii="Times New Roman" w:hAnsi="Times New Roman"/>
          <w:b/>
          <w:sz w:val="20"/>
          <w:szCs w:val="20"/>
        </w:rPr>
        <w:t>Brasil</w:t>
      </w:r>
      <w:r>
        <w:rPr>
          <w:rFonts w:ascii="Times New Roman" w:hAnsi="Times New Roman"/>
          <w:sz w:val="20"/>
          <w:szCs w:val="20"/>
        </w:rPr>
        <w:t>. (...) Não basta que haja idéias, propostas e programas, é preciso que haja participação popular, empresarial, política, enfim, da sociedade como um todo (...)</w:t>
      </w:r>
      <w:r w:rsidRPr="008B5142">
        <w:rPr>
          <w:rFonts w:ascii="Times New Roman" w:hAnsi="Times New Roman"/>
          <w:sz w:val="20"/>
          <w:szCs w:val="20"/>
        </w:rPr>
        <w:t>.</w:t>
      </w:r>
      <w:r>
        <w:rPr>
          <w:rStyle w:val="Refdenotaderodap"/>
          <w:rFonts w:ascii="Times New Roman" w:hAnsi="Times New Roman"/>
          <w:sz w:val="20"/>
          <w:szCs w:val="20"/>
        </w:rPr>
        <w:footnoteReference w:id="368"/>
      </w:r>
    </w:p>
    <w:p w:rsidR="00CD354E" w:rsidRDefault="00CD354E" w:rsidP="00CD354E">
      <w:pPr>
        <w:spacing w:after="0" w:line="360" w:lineRule="auto"/>
        <w:jc w:val="both"/>
        <w:rPr>
          <w:rFonts w:ascii="Times New Roman" w:hAnsi="Times New Roman"/>
          <w:sz w:val="24"/>
          <w:szCs w:val="24"/>
        </w:rPr>
      </w:pPr>
      <w:r>
        <w:rPr>
          <w:rFonts w:ascii="Times New Roman" w:hAnsi="Times New Roman"/>
          <w:sz w:val="24"/>
          <w:szCs w:val="24"/>
        </w:rPr>
        <w:tab/>
        <w:t>O requisito essencial para um projeto de desenvolvimento nacional era a “aliança político-empresarial, popular-empresarial”,</w:t>
      </w:r>
      <w:r>
        <w:rPr>
          <w:rStyle w:val="Refdenotaderodap"/>
          <w:rFonts w:ascii="Times New Roman" w:hAnsi="Times New Roman"/>
          <w:sz w:val="24"/>
          <w:szCs w:val="24"/>
        </w:rPr>
        <w:footnoteReference w:id="369"/>
      </w:r>
      <w:r>
        <w:rPr>
          <w:rFonts w:ascii="Times New Roman" w:hAnsi="Times New Roman"/>
          <w:sz w:val="24"/>
          <w:szCs w:val="24"/>
        </w:rPr>
        <w:t xml:space="preserve"> sendo o CDES o primeiro arranjo institucional que se credenciava como artífice e difusor desta proposta. Nesse sentido, José Dirceu sabia muito bem de onde e a quem dirigia estas palavras, não como divulgação de proposta novidadora aos participantes, mas sobretudo como reforço pedagógico e orientação preventiva. Em inúmeras ocasiões, nas plenárias ou nos eventos promovidos pelo Conselho, esta condição estaria subliminarmente presente e/ou explicitamente lembrada, principalmente, no último caso, quando os ânimos se acirravam. Lula da Silva era sem dúvida o grande expoente articulador entre a ideia de pacto, negociação ou concertação social e a edificação de uma plataforma que se dizia desenvolvimentista:</w:t>
      </w:r>
    </w:p>
    <w:p w:rsidR="00CD354E" w:rsidRPr="00BB6B1E" w:rsidRDefault="00CD354E" w:rsidP="00CD354E">
      <w:pPr>
        <w:spacing w:line="240" w:lineRule="auto"/>
        <w:ind w:left="2268"/>
        <w:jc w:val="both"/>
        <w:rPr>
          <w:rFonts w:ascii="Times New Roman" w:hAnsi="Times New Roman"/>
          <w:sz w:val="20"/>
          <w:szCs w:val="20"/>
        </w:rPr>
      </w:pPr>
      <w:r w:rsidRPr="00BB6B1E">
        <w:rPr>
          <w:rFonts w:ascii="Times New Roman" w:hAnsi="Times New Roman"/>
          <w:sz w:val="20"/>
          <w:szCs w:val="20"/>
        </w:rPr>
        <w:t xml:space="preserve">O desenvolvimento se constrói a partir de consensos. E o Conselho tem sido um espaço fundamental para que façamos isso. (...) Trata-se, sobretudo, de construirmos um novo consenso estratégico nacional. Falo de um entendimento muito bem negociado, de longa duração, para assegurar as oportunidades </w:t>
      </w:r>
      <w:r w:rsidR="00471916">
        <w:rPr>
          <w:rFonts w:ascii="Times New Roman" w:hAnsi="Times New Roman"/>
          <w:sz w:val="20"/>
          <w:szCs w:val="20"/>
        </w:rPr>
        <w:t>que</w:t>
      </w:r>
      <w:r w:rsidRPr="00BB6B1E">
        <w:rPr>
          <w:rFonts w:ascii="Times New Roman" w:hAnsi="Times New Roman"/>
          <w:sz w:val="20"/>
          <w:szCs w:val="20"/>
        </w:rPr>
        <w:t xml:space="preserve"> se abrem para o Brasil não sejam perdidas. (...) Para alcançá-lo, é necessário cada vez mais convergência (...). Creio que temos um consenso básico na sociedade, de que é preciso construir o presente e o futuro do Brasil respeitando</w:t>
      </w:r>
      <w:r>
        <w:rPr>
          <w:rFonts w:ascii="Times New Roman" w:hAnsi="Times New Roman"/>
          <w:sz w:val="20"/>
          <w:szCs w:val="20"/>
        </w:rPr>
        <w:t xml:space="preserve"> os nossos valores fundamentais.</w:t>
      </w:r>
      <w:r>
        <w:rPr>
          <w:rStyle w:val="Refdenotaderodap"/>
          <w:rFonts w:ascii="Times New Roman" w:hAnsi="Times New Roman"/>
          <w:sz w:val="20"/>
          <w:szCs w:val="20"/>
        </w:rPr>
        <w:footnoteReference w:id="370"/>
      </w:r>
    </w:p>
    <w:p w:rsidR="00CD354E"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 xml:space="preserve">As Cartas de Concertação e o seu processo elaborativo serviriam, dentre outras funções, ao preparo de condutas comportamentais e de posições políticas perfeitamente adequadas ao “novo contrato social” propugnado, sem o qual não seria possível a adesão (o consenso ativo) e a amalgamação das lideranças dos setores sindicais, populares, acadêmicos, empresariais e de diversas entidades (não diretamente ligados ao campo patronal e laboral) representados no CDES em torno de um projeto de “desenvolvimento sustentável”, voltado ao “bem-comum”, aos “interesses gerais” da nação. </w:t>
      </w:r>
    </w:p>
    <w:p w:rsidR="00CD354E" w:rsidRPr="00F21653" w:rsidRDefault="00CD354E" w:rsidP="00CD354E">
      <w:pPr>
        <w:spacing w:line="240" w:lineRule="auto"/>
        <w:ind w:left="2268"/>
        <w:jc w:val="both"/>
        <w:rPr>
          <w:rFonts w:ascii="Times New Roman" w:hAnsi="Times New Roman"/>
          <w:sz w:val="20"/>
          <w:szCs w:val="20"/>
        </w:rPr>
      </w:pPr>
      <w:r w:rsidRPr="00FE6407">
        <w:rPr>
          <w:rFonts w:ascii="Times New Roman" w:hAnsi="Times New Roman"/>
          <w:sz w:val="20"/>
          <w:szCs w:val="20"/>
        </w:rPr>
        <w:t xml:space="preserve">O CDES, (...) convoca todos os setores da sociedade a afirmarem a defesa da democracia e do desenvolvimento sustentado. Governo e sociedade, público e privado, são parceiros do novo modelo de desenvolvimento, </w:t>
      </w:r>
      <w:r w:rsidRPr="00FE6407">
        <w:rPr>
          <w:rFonts w:ascii="Times New Roman" w:hAnsi="Times New Roman"/>
          <w:b/>
          <w:sz w:val="20"/>
          <w:szCs w:val="20"/>
        </w:rPr>
        <w:t>que não nascerá da vontade de um único partido, classe ou corporação</w:t>
      </w:r>
      <w:r w:rsidRPr="00FE6407">
        <w:rPr>
          <w:rFonts w:ascii="Times New Roman" w:hAnsi="Times New Roman"/>
          <w:sz w:val="20"/>
          <w:szCs w:val="20"/>
        </w:rPr>
        <w:t xml:space="preserve">. Esse é o momento da visualização dos </w:t>
      </w:r>
      <w:r w:rsidRPr="00FE6407">
        <w:rPr>
          <w:rFonts w:ascii="Times New Roman" w:hAnsi="Times New Roman"/>
          <w:b/>
          <w:sz w:val="20"/>
          <w:szCs w:val="20"/>
        </w:rPr>
        <w:t>interesses gerais da nação</w:t>
      </w:r>
      <w:r w:rsidRPr="00FE6407">
        <w:rPr>
          <w:rFonts w:ascii="Times New Roman" w:hAnsi="Times New Roman"/>
          <w:sz w:val="20"/>
          <w:szCs w:val="20"/>
        </w:rPr>
        <w:t xml:space="preserve"> e da construção de um projeto de futuro que </w:t>
      </w:r>
      <w:r w:rsidRPr="00FE6407">
        <w:rPr>
          <w:rFonts w:ascii="Times New Roman" w:hAnsi="Times New Roman"/>
          <w:b/>
          <w:sz w:val="20"/>
          <w:szCs w:val="20"/>
        </w:rPr>
        <w:t>pertence a todos</w:t>
      </w:r>
      <w:r w:rsidRPr="00FE6407">
        <w:rPr>
          <w:rFonts w:ascii="Times New Roman" w:hAnsi="Times New Roman"/>
          <w:sz w:val="20"/>
          <w:szCs w:val="20"/>
        </w:rPr>
        <w:t xml:space="preserve">. Se ao Estado cabe a tarefa de </w:t>
      </w:r>
      <w:r w:rsidRPr="00FE6407">
        <w:rPr>
          <w:rFonts w:ascii="Times New Roman" w:hAnsi="Times New Roman"/>
          <w:b/>
          <w:sz w:val="20"/>
          <w:szCs w:val="20"/>
        </w:rPr>
        <w:t>manter a estabilidade</w:t>
      </w:r>
      <w:r w:rsidRPr="00FE6407">
        <w:rPr>
          <w:rFonts w:ascii="Times New Roman" w:hAnsi="Times New Roman"/>
          <w:sz w:val="20"/>
          <w:szCs w:val="20"/>
        </w:rPr>
        <w:t xml:space="preserve">, </w:t>
      </w:r>
      <w:r w:rsidRPr="00FE6407">
        <w:rPr>
          <w:rFonts w:ascii="Times New Roman" w:hAnsi="Times New Roman"/>
          <w:b/>
          <w:sz w:val="20"/>
          <w:szCs w:val="20"/>
        </w:rPr>
        <w:t>adotar medidas de ajuste e controle fiscal</w:t>
      </w:r>
      <w:r w:rsidRPr="00FE6407">
        <w:rPr>
          <w:rFonts w:ascii="Times New Roman" w:hAnsi="Times New Roman"/>
          <w:sz w:val="20"/>
          <w:szCs w:val="20"/>
        </w:rPr>
        <w:t xml:space="preserve">, garantir os investimentos públicos, gerar políticas de distribuição de renda e ações que permitam a inclusão social, à sociedade é reservado também um protagonismo especial. </w:t>
      </w:r>
      <w:r w:rsidRPr="00FE6407">
        <w:rPr>
          <w:rFonts w:ascii="Times New Roman" w:hAnsi="Times New Roman"/>
          <w:b/>
          <w:sz w:val="20"/>
          <w:szCs w:val="20"/>
        </w:rPr>
        <w:t>Capital e trabalho, empresários e trabalhadores, podem e devem construir juntos os alicerces do desenvolvimento</w:t>
      </w:r>
      <w:r>
        <w:rPr>
          <w:rFonts w:ascii="Times New Roman" w:hAnsi="Times New Roman"/>
          <w:b/>
          <w:sz w:val="20"/>
          <w:szCs w:val="20"/>
        </w:rPr>
        <w:t>.</w:t>
      </w:r>
      <w:r>
        <w:rPr>
          <w:rStyle w:val="Refdenotaderodap"/>
          <w:rFonts w:ascii="Times New Roman" w:hAnsi="Times New Roman"/>
          <w:sz w:val="20"/>
          <w:szCs w:val="20"/>
        </w:rPr>
        <w:footnoteReference w:id="371"/>
      </w:r>
    </w:p>
    <w:p w:rsidR="00CD354E"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 xml:space="preserve">Nesse momento é preciso trazer à tona uma importante reflexão. Poucas são as dúvidas de que várias partes dos textos das Cartas de Concertação, quando preparadas pela SEDES para serem enviadas ao Conselho, pertenciam à lavra particular do próprio secretário-executivo, Tarso Genro. A linha de raciocínio argumentativa e o uso de algumas expressões eram típicas das utilizadas por esse intelectual e membro histórico do PT, especialmente se atentarmos na leitura da sua intervenção nas plenárias do CDES e em alguns textos publicados por ele. </w:t>
      </w:r>
    </w:p>
    <w:p w:rsidR="00CD354E"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Em</w:t>
      </w:r>
      <w:r w:rsidRPr="00B657F4">
        <w:rPr>
          <w:rFonts w:ascii="Times New Roman" w:hAnsi="Times New Roman"/>
          <w:sz w:val="24"/>
          <w:szCs w:val="24"/>
        </w:rPr>
        <w:t xml:space="preserve"> 2003, Genro lança </w:t>
      </w:r>
      <w:r>
        <w:rPr>
          <w:rFonts w:ascii="Times New Roman" w:hAnsi="Times New Roman"/>
          <w:sz w:val="24"/>
          <w:szCs w:val="24"/>
        </w:rPr>
        <w:t>dois</w:t>
      </w:r>
      <w:r w:rsidRPr="00B657F4">
        <w:rPr>
          <w:rFonts w:ascii="Times New Roman" w:hAnsi="Times New Roman"/>
          <w:sz w:val="24"/>
          <w:szCs w:val="24"/>
        </w:rPr>
        <w:t xml:space="preserve"> documentos</w:t>
      </w:r>
      <w:r w:rsidRPr="00B657F4">
        <w:rPr>
          <w:rStyle w:val="Refdenotaderodap"/>
          <w:rFonts w:ascii="Times New Roman" w:hAnsi="Times New Roman"/>
          <w:sz w:val="24"/>
          <w:szCs w:val="24"/>
        </w:rPr>
        <w:footnoteReference w:id="372"/>
      </w:r>
      <w:r w:rsidRPr="00B657F4">
        <w:rPr>
          <w:rFonts w:ascii="Times New Roman" w:hAnsi="Times New Roman"/>
          <w:sz w:val="24"/>
          <w:szCs w:val="24"/>
        </w:rPr>
        <w:t xml:space="preserve"> que faz</w:t>
      </w:r>
      <w:r>
        <w:rPr>
          <w:rFonts w:ascii="Times New Roman" w:hAnsi="Times New Roman"/>
          <w:sz w:val="24"/>
          <w:szCs w:val="24"/>
        </w:rPr>
        <w:t>iam</w:t>
      </w:r>
      <w:r w:rsidRPr="00B657F4">
        <w:rPr>
          <w:rFonts w:ascii="Times New Roman" w:hAnsi="Times New Roman"/>
          <w:sz w:val="24"/>
          <w:szCs w:val="24"/>
        </w:rPr>
        <w:t xml:space="preserve"> referência à necessidade de se </w:t>
      </w:r>
      <w:r>
        <w:rPr>
          <w:rFonts w:ascii="Times New Roman" w:hAnsi="Times New Roman"/>
          <w:sz w:val="24"/>
          <w:szCs w:val="24"/>
        </w:rPr>
        <w:t>costurar uma “grande concertação social” cujas premissas estavam bem rentes a muitos trechos das Cartas. Neles, Genro destaca a exigência de se criar “</w:t>
      </w:r>
      <w:r w:rsidRPr="00B657F4">
        <w:rPr>
          <w:rFonts w:ascii="Times New Roman" w:hAnsi="Times New Roman"/>
          <w:sz w:val="24"/>
          <w:szCs w:val="24"/>
        </w:rPr>
        <w:t xml:space="preserve">um </w:t>
      </w:r>
      <w:r w:rsidRPr="00B657F4">
        <w:rPr>
          <w:rFonts w:ascii="Times New Roman" w:hAnsi="Times New Roman"/>
          <w:i/>
          <w:sz w:val="24"/>
          <w:szCs w:val="24"/>
        </w:rPr>
        <w:t>novo bloco social dirigente</w:t>
      </w:r>
      <w:r w:rsidRPr="00B657F4">
        <w:rPr>
          <w:rFonts w:ascii="Times New Roman" w:hAnsi="Times New Roman"/>
          <w:sz w:val="24"/>
          <w:szCs w:val="24"/>
        </w:rPr>
        <w:t>, não excludente, que não pede atestado ideológico, nem político, nem partidário para ninguém, mas que informe uma coesão social que dê sustentabilidade ao processo de transição</w:t>
      </w:r>
      <w:r>
        <w:rPr>
          <w:rFonts w:ascii="Times New Roman" w:hAnsi="Times New Roman"/>
          <w:sz w:val="24"/>
          <w:szCs w:val="24"/>
        </w:rPr>
        <w:t>, de um modelo econômico perverso para um modelo econômico de inclusão e de redução das desigualdades”</w:t>
      </w:r>
      <w:r w:rsidRPr="00B657F4">
        <w:rPr>
          <w:rFonts w:ascii="Times New Roman" w:hAnsi="Times New Roman"/>
          <w:sz w:val="24"/>
          <w:szCs w:val="24"/>
        </w:rPr>
        <w:t>.</w:t>
      </w:r>
      <w:r>
        <w:rPr>
          <w:rStyle w:val="Refdenotaderodap"/>
          <w:rFonts w:ascii="Times New Roman" w:hAnsi="Times New Roman"/>
          <w:sz w:val="24"/>
          <w:szCs w:val="24"/>
        </w:rPr>
        <w:footnoteReference w:id="373"/>
      </w:r>
      <w:r>
        <w:rPr>
          <w:rFonts w:ascii="Times New Roman" w:hAnsi="Times New Roman"/>
          <w:sz w:val="24"/>
          <w:szCs w:val="24"/>
        </w:rPr>
        <w:t>A</w:t>
      </w:r>
      <w:r w:rsidRPr="00B657F4">
        <w:rPr>
          <w:rFonts w:ascii="Times New Roman" w:hAnsi="Times New Roman"/>
          <w:sz w:val="24"/>
          <w:szCs w:val="24"/>
        </w:rPr>
        <w:t xml:space="preserve"> concertação implica</w:t>
      </w:r>
      <w:r>
        <w:rPr>
          <w:rFonts w:ascii="Times New Roman" w:hAnsi="Times New Roman"/>
          <w:sz w:val="24"/>
          <w:szCs w:val="24"/>
        </w:rPr>
        <w:t>ria, nesta abordagem, a produção de uma cultura de diálogo capaz de “soldar uma ampla maioria social”</w:t>
      </w:r>
      <w:r w:rsidR="00A11C88">
        <w:rPr>
          <w:rFonts w:ascii="Times New Roman" w:hAnsi="Times New Roman"/>
          <w:sz w:val="24"/>
          <w:szCs w:val="24"/>
        </w:rPr>
        <w:t xml:space="preserve"> a qual estariam</w:t>
      </w:r>
      <w:r>
        <w:rPr>
          <w:rFonts w:ascii="Times New Roman" w:hAnsi="Times New Roman"/>
          <w:sz w:val="24"/>
          <w:szCs w:val="24"/>
        </w:rPr>
        <w:t xml:space="preserve"> convidados embarcar os agentes “do produtivismo, da antiespeculação, da não-submissão à lógica do capital globalitário e da articulação nacional do Brasil”, onde a integração social interna relaciona</w:t>
      </w:r>
      <w:r w:rsidR="00A11C88">
        <w:rPr>
          <w:rFonts w:ascii="Times New Roman" w:hAnsi="Times New Roman"/>
          <w:sz w:val="24"/>
          <w:szCs w:val="24"/>
        </w:rPr>
        <w:t>r-se-ia</w:t>
      </w:r>
      <w:r>
        <w:rPr>
          <w:rFonts w:ascii="Times New Roman" w:hAnsi="Times New Roman"/>
          <w:sz w:val="24"/>
          <w:szCs w:val="24"/>
        </w:rPr>
        <w:t xml:space="preserve"> à integração do país na economia global e “isso não se faz sem integração efetiva de uma grande parte do empresariado nesse projeto”.</w:t>
      </w:r>
      <w:r>
        <w:rPr>
          <w:rStyle w:val="Refdenotaderodap"/>
          <w:rFonts w:ascii="Times New Roman" w:hAnsi="Times New Roman"/>
          <w:sz w:val="24"/>
          <w:szCs w:val="24"/>
        </w:rPr>
        <w:footnoteReference w:id="374"/>
      </w:r>
    </w:p>
    <w:p w:rsidR="00CD354E" w:rsidRPr="00B657F4"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A estruturação do “novo contrato social” significava construir uma “nova hegemonia”, calcada em “valores democráticos fundamentais”: desenvolvimento, redução da desigualdade, inclusão, participação, afirmação dos valores republicanos, luta contra a corrupção, inserção soberana na economia global. Seria em torno desses valores que o “novo bloco dirigente” constituiria instrumentos para transitar para um outro modelo  “</w:t>
      </w:r>
      <w:r w:rsidRPr="00B657F4">
        <w:rPr>
          <w:rFonts w:ascii="Times New Roman" w:hAnsi="Times New Roman"/>
          <w:sz w:val="24"/>
          <w:szCs w:val="24"/>
        </w:rPr>
        <w:t>com previsibilidade e sem rupturas aventureiras”, do contrário “qualquer ruptura pode levar o governo e as classes trabalhadoras ao isolamento [...]”</w:t>
      </w:r>
      <w:r>
        <w:rPr>
          <w:rFonts w:ascii="Times New Roman" w:hAnsi="Times New Roman"/>
          <w:sz w:val="24"/>
          <w:szCs w:val="24"/>
        </w:rPr>
        <w:t>. Esta seria “a única possibilidade de mudança que vemos, nas condições históricas atuais”.</w:t>
      </w:r>
      <w:r>
        <w:rPr>
          <w:rStyle w:val="Refdenotaderodap"/>
          <w:rFonts w:ascii="Times New Roman" w:hAnsi="Times New Roman"/>
          <w:sz w:val="24"/>
          <w:szCs w:val="24"/>
        </w:rPr>
        <w:footnoteReference w:id="375"/>
      </w:r>
    </w:p>
    <w:p w:rsidR="00CD354E" w:rsidRPr="009814E9" w:rsidRDefault="00CD354E" w:rsidP="00CD354E">
      <w:pPr>
        <w:spacing w:line="360" w:lineRule="auto"/>
        <w:jc w:val="both"/>
        <w:rPr>
          <w:rFonts w:ascii="Times New Roman" w:hAnsi="Times New Roman"/>
          <w:sz w:val="24"/>
          <w:szCs w:val="24"/>
        </w:rPr>
      </w:pPr>
      <w:r w:rsidRPr="00B45652">
        <w:rPr>
          <w:rFonts w:ascii="Arial" w:hAnsi="Arial" w:cs="Arial"/>
        </w:rPr>
        <w:tab/>
      </w:r>
      <w:r w:rsidRPr="00BB610A">
        <w:rPr>
          <w:rFonts w:ascii="Times New Roman" w:hAnsi="Times New Roman"/>
          <w:sz w:val="24"/>
          <w:szCs w:val="24"/>
        </w:rPr>
        <w:t xml:space="preserve">Preocupado com o aumento do “grau de descoesão” no país, </w:t>
      </w:r>
      <w:r>
        <w:rPr>
          <w:rFonts w:ascii="Times New Roman" w:hAnsi="Times New Roman"/>
          <w:sz w:val="24"/>
          <w:szCs w:val="24"/>
        </w:rPr>
        <w:t>com a</w:t>
      </w:r>
      <w:r w:rsidRPr="00BB610A">
        <w:rPr>
          <w:rFonts w:ascii="Times New Roman" w:hAnsi="Times New Roman"/>
          <w:sz w:val="24"/>
          <w:szCs w:val="24"/>
        </w:rPr>
        <w:t xml:space="preserve"> fragmentação social e </w:t>
      </w:r>
      <w:r>
        <w:rPr>
          <w:rFonts w:ascii="Times New Roman" w:hAnsi="Times New Roman"/>
          <w:sz w:val="24"/>
          <w:szCs w:val="24"/>
        </w:rPr>
        <w:t>com a</w:t>
      </w:r>
      <w:r w:rsidRPr="00BB610A">
        <w:rPr>
          <w:rFonts w:ascii="Times New Roman" w:hAnsi="Times New Roman"/>
          <w:sz w:val="24"/>
          <w:szCs w:val="24"/>
        </w:rPr>
        <w:t xml:space="preserve"> diluição do público na época “pós-moderna”, tornar-se-ia preciso realizar o reordenamento democrático das sociedades “incorporando as tensões como método e regulação para um diálogo transformador, sem o qual a democracia sucumbirá”.</w:t>
      </w:r>
      <w:r>
        <w:rPr>
          <w:rStyle w:val="Refdenotaderodap"/>
          <w:rFonts w:ascii="Times New Roman" w:hAnsi="Times New Roman"/>
          <w:sz w:val="24"/>
          <w:szCs w:val="24"/>
        </w:rPr>
        <w:footnoteReference w:id="376"/>
      </w:r>
      <w:r>
        <w:rPr>
          <w:rFonts w:ascii="Times New Roman" w:hAnsi="Times New Roman"/>
          <w:sz w:val="24"/>
          <w:szCs w:val="24"/>
        </w:rPr>
        <w:t xml:space="preserve"> O</w:t>
      </w:r>
      <w:r w:rsidRPr="00BB610A">
        <w:rPr>
          <w:rFonts w:ascii="Times New Roman" w:hAnsi="Times New Roman"/>
          <w:sz w:val="24"/>
          <w:szCs w:val="24"/>
        </w:rPr>
        <w:t xml:space="preserve"> CDES </w:t>
      </w:r>
      <w:r>
        <w:rPr>
          <w:rFonts w:ascii="Times New Roman" w:hAnsi="Times New Roman"/>
          <w:sz w:val="24"/>
          <w:szCs w:val="24"/>
        </w:rPr>
        <w:t xml:space="preserve">nos </w:t>
      </w:r>
      <w:r w:rsidRPr="00BB610A">
        <w:rPr>
          <w:rFonts w:ascii="Times New Roman" w:hAnsi="Times New Roman"/>
          <w:sz w:val="24"/>
          <w:szCs w:val="24"/>
        </w:rPr>
        <w:t>é apresentado por Genro como “um instrumento de ampliação política do governo para incluir n</w:t>
      </w:r>
      <w:r>
        <w:rPr>
          <w:rFonts w:ascii="Times New Roman" w:hAnsi="Times New Roman"/>
          <w:sz w:val="24"/>
          <w:szCs w:val="24"/>
        </w:rPr>
        <w:t>este</w:t>
      </w:r>
      <w:r w:rsidRPr="00BB610A">
        <w:rPr>
          <w:rFonts w:ascii="Times New Roman" w:hAnsi="Times New Roman"/>
          <w:sz w:val="24"/>
          <w:szCs w:val="24"/>
        </w:rPr>
        <w:t xml:space="preserve"> diálogo vários setores empresariais”, pois os trabalhadores “estão muito bem representados pelo presidente da República neste novo contrato social”.</w:t>
      </w:r>
      <w:r>
        <w:rPr>
          <w:rStyle w:val="Refdenotaderodap"/>
          <w:rFonts w:ascii="Times New Roman" w:hAnsi="Times New Roman"/>
          <w:sz w:val="24"/>
          <w:szCs w:val="24"/>
        </w:rPr>
        <w:footnoteReference w:id="377"/>
      </w:r>
      <w:r w:rsidRPr="00BB610A">
        <w:rPr>
          <w:rFonts w:ascii="Times New Roman" w:hAnsi="Times New Roman"/>
          <w:sz w:val="24"/>
          <w:szCs w:val="24"/>
        </w:rPr>
        <w:t xml:space="preserve"> Segue afirmando que “existe uma grande movimentação política do empresariado e que nunca houve um diálogo tão organizado, tão franco e tão sincero com nenhum governo”</w:t>
      </w:r>
      <w:r>
        <w:rPr>
          <w:rFonts w:ascii="Times New Roman" w:hAnsi="Times New Roman"/>
          <w:sz w:val="24"/>
          <w:szCs w:val="24"/>
        </w:rPr>
        <w:t>.</w:t>
      </w:r>
      <w:r w:rsidRPr="00BB610A">
        <w:rPr>
          <w:rFonts w:ascii="Times New Roman" w:hAnsi="Times New Roman"/>
          <w:sz w:val="24"/>
          <w:szCs w:val="24"/>
        </w:rPr>
        <w:t xml:space="preserve"> E conclui dizendo de forma bem clara: “é por dentro desta relação que vai se constituir uma aliança de classes no país e também um novo bloco dirigente – </w:t>
      </w:r>
      <w:r w:rsidRPr="00F66451">
        <w:rPr>
          <w:rFonts w:ascii="Times New Roman" w:hAnsi="Times New Roman"/>
          <w:i/>
          <w:sz w:val="24"/>
          <w:szCs w:val="24"/>
        </w:rPr>
        <w:t>se nós</w:t>
      </w:r>
      <w:r w:rsidRPr="00BB610A">
        <w:rPr>
          <w:rFonts w:ascii="Times New Roman" w:hAnsi="Times New Roman"/>
          <w:i/>
          <w:sz w:val="24"/>
          <w:szCs w:val="24"/>
        </w:rPr>
        <w:t>formos capazes de fazê-lo</w:t>
      </w:r>
      <w:r w:rsidRPr="00BB610A">
        <w:rPr>
          <w:rFonts w:ascii="Times New Roman" w:hAnsi="Times New Roman"/>
          <w:sz w:val="24"/>
          <w:szCs w:val="24"/>
        </w:rPr>
        <w:t>”</w:t>
      </w:r>
      <w:r w:rsidR="00471916">
        <w:rPr>
          <w:rFonts w:ascii="Times New Roman" w:hAnsi="Times New Roman"/>
          <w:sz w:val="24"/>
          <w:szCs w:val="24"/>
        </w:rPr>
        <w:t>.</w:t>
      </w:r>
      <w:r w:rsidR="00471916">
        <w:rPr>
          <w:rStyle w:val="Refdenotaderodap"/>
          <w:rFonts w:ascii="Times New Roman" w:hAnsi="Times New Roman"/>
          <w:sz w:val="24"/>
          <w:szCs w:val="24"/>
        </w:rPr>
        <w:footnoteReference w:id="378"/>
      </w:r>
      <w:r>
        <w:rPr>
          <w:rFonts w:ascii="Times New Roman" w:hAnsi="Times New Roman"/>
          <w:sz w:val="24"/>
          <w:szCs w:val="24"/>
        </w:rPr>
        <w:t xml:space="preserve"> E</w:t>
      </w:r>
      <w:r w:rsidRPr="009814E9">
        <w:rPr>
          <w:rFonts w:ascii="Times New Roman" w:hAnsi="Times New Roman"/>
          <w:sz w:val="24"/>
          <w:szCs w:val="24"/>
        </w:rPr>
        <w:t>m suas palavras,</w:t>
      </w:r>
    </w:p>
    <w:p w:rsidR="00CD354E" w:rsidRPr="00590680" w:rsidRDefault="00CD354E" w:rsidP="00CD354E">
      <w:pPr>
        <w:spacing w:line="240" w:lineRule="auto"/>
        <w:ind w:left="2340"/>
        <w:jc w:val="both"/>
        <w:rPr>
          <w:rFonts w:ascii="Times New Roman" w:hAnsi="Times New Roman"/>
          <w:sz w:val="20"/>
          <w:szCs w:val="20"/>
        </w:rPr>
      </w:pPr>
      <w:r w:rsidRPr="00590680">
        <w:rPr>
          <w:rFonts w:ascii="Times New Roman" w:hAnsi="Times New Roman"/>
          <w:sz w:val="20"/>
          <w:szCs w:val="20"/>
        </w:rPr>
        <w:t xml:space="preserve">O Conselho de Desenvolvimento Econômico e Social </w:t>
      </w:r>
      <w:r w:rsidRPr="00590680">
        <w:rPr>
          <w:rFonts w:ascii="Times New Roman" w:hAnsi="Times New Roman"/>
          <w:b/>
          <w:sz w:val="20"/>
          <w:szCs w:val="20"/>
        </w:rPr>
        <w:t>é um gérmen de uma nova forma de controle e de interação do Estado com a sociedade</w:t>
      </w:r>
      <w:r w:rsidRPr="00590680">
        <w:rPr>
          <w:rFonts w:ascii="Times New Roman" w:hAnsi="Times New Roman"/>
          <w:sz w:val="20"/>
          <w:szCs w:val="20"/>
        </w:rPr>
        <w:t xml:space="preserve"> [...]. É uma estrutura não-estatal que dialoga com o Estado e com ele compõe relações: ou seja, cria elementos de </w:t>
      </w:r>
      <w:r w:rsidRPr="00590680">
        <w:rPr>
          <w:rFonts w:ascii="Times New Roman" w:hAnsi="Times New Roman"/>
          <w:b/>
          <w:sz w:val="20"/>
          <w:szCs w:val="20"/>
        </w:rPr>
        <w:t>radicalização do processo democrático</w:t>
      </w:r>
      <w:r w:rsidRPr="00590680">
        <w:rPr>
          <w:rFonts w:ascii="Times New Roman" w:hAnsi="Times New Roman"/>
          <w:sz w:val="20"/>
          <w:szCs w:val="20"/>
        </w:rPr>
        <w:t>, mas radicalização</w:t>
      </w:r>
      <w:r w:rsidRPr="00590680">
        <w:rPr>
          <w:rFonts w:ascii="Times New Roman" w:hAnsi="Times New Roman"/>
          <w:b/>
          <w:sz w:val="20"/>
          <w:szCs w:val="20"/>
        </w:rPr>
        <w:t xml:space="preserve"> não no sentido da histeria</w:t>
      </w:r>
      <w:r w:rsidRPr="00590680">
        <w:rPr>
          <w:rFonts w:ascii="Times New Roman" w:hAnsi="Times New Roman"/>
          <w:sz w:val="20"/>
          <w:szCs w:val="20"/>
        </w:rPr>
        <w:t xml:space="preserve">, mas no de um aprofundamento da democracia que se faz </w:t>
      </w:r>
      <w:r w:rsidRPr="00590680">
        <w:rPr>
          <w:rFonts w:ascii="Times New Roman" w:hAnsi="Times New Roman"/>
          <w:b/>
          <w:sz w:val="20"/>
          <w:szCs w:val="20"/>
        </w:rPr>
        <w:t>de maneira pactuada</w:t>
      </w:r>
      <w:r w:rsidRPr="00590680">
        <w:rPr>
          <w:rFonts w:ascii="Times New Roman" w:hAnsi="Times New Roman"/>
          <w:sz w:val="20"/>
          <w:szCs w:val="20"/>
        </w:rPr>
        <w:t>.</w:t>
      </w:r>
      <w:r>
        <w:rPr>
          <w:rStyle w:val="Refdenotaderodap"/>
          <w:rFonts w:ascii="Times New Roman" w:hAnsi="Times New Roman"/>
          <w:sz w:val="20"/>
          <w:szCs w:val="20"/>
        </w:rPr>
        <w:footnoteReference w:id="379"/>
      </w:r>
    </w:p>
    <w:p w:rsidR="00CD354E"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As elucubrações de Genro nos remetem exatamente a uma das funções precípuas do CDES, a nosso ver: instrumento institucional de regulação ou administração de conflitos que, sob hegemonia empresarial e tutela estatal, precisava introduzir uma cunha política conciliativa entre os grupos sociais como forma preventiva de encapsulamento de saídas políticas que coloquem a classe trabalhadora como protagonista do processo de emancipação e transformação social, seja por qual via tática for. Não apenas estreitava ou obliterava a possibilidade de ação política de “espírito de cisão” da classe trabalhadora, mas também a submetia ao programa econômico do grande capital monopolista. À crítica aos “tatcherismos centrais e periféricos”, Genro nos oferece a “única possibilidade de mudanças” – novamente a reedição da primeira como tragédia e a segunda como farsa: a aliança de classes com um duvidoso “empresariado nacional” e “produtivo”, sob o signo de um fictício processo de “ampliação” e “radicalização” da democracia, sinominizando compromisso inconteste com a preservação da ordem do capital.</w:t>
      </w:r>
    </w:p>
    <w:p w:rsidR="00CD354E" w:rsidRDefault="00CD354E" w:rsidP="00CD354E">
      <w:pPr>
        <w:spacing w:line="360" w:lineRule="auto"/>
        <w:ind w:firstLine="708"/>
        <w:jc w:val="both"/>
        <w:rPr>
          <w:rFonts w:ascii="Times New Roman" w:hAnsi="Times New Roman"/>
          <w:sz w:val="24"/>
          <w:szCs w:val="24"/>
        </w:rPr>
      </w:pPr>
      <w:r>
        <w:rPr>
          <w:rFonts w:ascii="Times New Roman" w:hAnsi="Times New Roman"/>
          <w:sz w:val="24"/>
          <w:szCs w:val="24"/>
        </w:rPr>
        <w:t xml:space="preserve">Tarso Genro não era a única liderança petista que apostava na aliança com o empresariado para impulsionar o desenvolvimento do país, muito embora, </w:t>
      </w:r>
      <w:r>
        <w:rPr>
          <w:rFonts w:ascii="Times New Roman" w:hAnsi="Times New Roman"/>
          <w:i/>
          <w:sz w:val="24"/>
          <w:szCs w:val="24"/>
        </w:rPr>
        <w:t>no CDES</w:t>
      </w:r>
      <w:r>
        <w:rPr>
          <w:rFonts w:ascii="Times New Roman" w:hAnsi="Times New Roman"/>
          <w:sz w:val="24"/>
          <w:szCs w:val="24"/>
        </w:rPr>
        <w:t>, de fato colocava-se como intelectual que assumia tal empreitada, teórica e politicamente. Como v</w:t>
      </w:r>
      <w:r w:rsidR="00471916">
        <w:rPr>
          <w:rFonts w:ascii="Times New Roman" w:hAnsi="Times New Roman"/>
          <w:sz w:val="24"/>
          <w:szCs w:val="24"/>
        </w:rPr>
        <w:t>ere</w:t>
      </w:r>
      <w:r>
        <w:rPr>
          <w:rFonts w:ascii="Times New Roman" w:hAnsi="Times New Roman"/>
          <w:sz w:val="24"/>
          <w:szCs w:val="24"/>
        </w:rPr>
        <w:t>mos, fo</w:t>
      </w:r>
      <w:r w:rsidR="00471916">
        <w:rPr>
          <w:rFonts w:ascii="Times New Roman" w:hAnsi="Times New Roman"/>
          <w:sz w:val="24"/>
          <w:szCs w:val="24"/>
        </w:rPr>
        <w:t>ram</w:t>
      </w:r>
      <w:r>
        <w:rPr>
          <w:rFonts w:ascii="Times New Roman" w:hAnsi="Times New Roman"/>
          <w:sz w:val="24"/>
          <w:szCs w:val="24"/>
        </w:rPr>
        <w:t xml:space="preserve"> resgatada</w:t>
      </w:r>
      <w:r w:rsidR="00471916">
        <w:rPr>
          <w:rFonts w:ascii="Times New Roman" w:hAnsi="Times New Roman"/>
          <w:sz w:val="24"/>
          <w:szCs w:val="24"/>
        </w:rPr>
        <w:t>s</w:t>
      </w:r>
      <w:r>
        <w:rPr>
          <w:rFonts w:ascii="Times New Roman" w:hAnsi="Times New Roman"/>
          <w:sz w:val="24"/>
          <w:szCs w:val="24"/>
        </w:rPr>
        <w:t xml:space="preserve"> e valorizada</w:t>
      </w:r>
      <w:r w:rsidR="00471916">
        <w:rPr>
          <w:rFonts w:ascii="Times New Roman" w:hAnsi="Times New Roman"/>
          <w:sz w:val="24"/>
          <w:szCs w:val="24"/>
        </w:rPr>
        <w:t>s</w:t>
      </w:r>
      <w:r>
        <w:rPr>
          <w:rFonts w:ascii="Times New Roman" w:hAnsi="Times New Roman"/>
          <w:sz w:val="24"/>
          <w:szCs w:val="24"/>
        </w:rPr>
        <w:t xml:space="preserve"> as intervenções de Celso Furtado quanto a essa estratégia, embora jamais houvesse ingressado no partido e José Dirceu havia expressado claramente suas posições</w:t>
      </w:r>
      <w:r w:rsidR="009002E8">
        <w:rPr>
          <w:rFonts w:ascii="Times New Roman" w:hAnsi="Times New Roman"/>
          <w:sz w:val="24"/>
          <w:szCs w:val="24"/>
        </w:rPr>
        <w:t xml:space="preserve"> sobre o tema, como vimos</w:t>
      </w:r>
      <w:r>
        <w:rPr>
          <w:rFonts w:ascii="Times New Roman" w:hAnsi="Times New Roman"/>
          <w:sz w:val="24"/>
          <w:szCs w:val="24"/>
        </w:rPr>
        <w:t>. Na verdade, obviamente, todos os secretários-executivos retomavam a importância da concertação social como espécie doutrinária para dentro e para fora do CDES: tanto de orquestração interna à conduta dos conselheiros na produção de debates e trabalho, quanto ao seu valor estratégico na elaboração da ideia de “desenvolvimento com inclusão social”. Porém, nem todos os secretários-executivos a tomavam numa mesma e exata apreensão, como no caso de Jaques Wagner:</w:t>
      </w:r>
    </w:p>
    <w:p w:rsidR="00CD354E" w:rsidRPr="000742AE" w:rsidRDefault="00CD354E" w:rsidP="00CD354E">
      <w:pPr>
        <w:spacing w:line="240" w:lineRule="auto"/>
        <w:ind w:left="2268"/>
        <w:jc w:val="both"/>
        <w:rPr>
          <w:rFonts w:ascii="Times New Roman" w:hAnsi="Times New Roman"/>
          <w:sz w:val="20"/>
          <w:szCs w:val="20"/>
        </w:rPr>
      </w:pPr>
      <w:r w:rsidRPr="000742AE">
        <w:rPr>
          <w:rFonts w:ascii="Times New Roman" w:hAnsi="Times New Roman"/>
          <w:sz w:val="20"/>
          <w:szCs w:val="20"/>
        </w:rPr>
        <w:t xml:space="preserve">O que nós estamos tentando produzir é um processo de aproximação de segmentos tão diferentes, mas que estão em torno de um mesmo objetivo de construir o Brasil (...). E este é um processo de diálogo, de negociação, de aproximação, de diminuição de diferenças, de identificação de pontos convergentes. </w:t>
      </w:r>
      <w:r w:rsidRPr="000742AE">
        <w:rPr>
          <w:rFonts w:ascii="Times New Roman" w:hAnsi="Times New Roman"/>
          <w:b/>
          <w:sz w:val="20"/>
          <w:szCs w:val="20"/>
        </w:rPr>
        <w:t>Nós não vamos nunca chegar ao consenso, e quero dizer que para mim todo consenso é raso. Eu acho que a gente chega a um acordo, a gente faz negociação e chega a um acordo. Consenso para mim é impossível, e mesmo que se diga que é consenso que nós todos amamos o Brasil, também é verdade que cada um ama de uma maneira diferente</w:t>
      </w:r>
      <w:r w:rsidRPr="000742AE">
        <w:rPr>
          <w:rFonts w:ascii="Times New Roman" w:hAnsi="Times New Roman"/>
          <w:sz w:val="20"/>
          <w:szCs w:val="20"/>
        </w:rPr>
        <w:t xml:space="preserve"> (ATA da 11ª Reunião Plenária, 10/03/2005, p. 04, grifos meus).</w:t>
      </w:r>
    </w:p>
    <w:p w:rsidR="00CD354E"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De todo modo, a intervenção direta do presidente Lula da Silva na plenária do Conselho sobre esse tema sugeriria sua importância estratégica como programa de arrefecimento das lutas sociais e como preparação do terreno na busca pela calmaria social necessária à garantia de retorno líquido e certo dos investimentos presentes e futuros, na forma de lucros exponenciais, garantia de contratos, segurança jurídica, ou seja, ao que Palocci recorrentemente aludia como “ambiente propício de negócios”.</w:t>
      </w:r>
    </w:p>
    <w:p w:rsidR="00CD354E" w:rsidRDefault="00CD354E" w:rsidP="00CD354E">
      <w:pPr>
        <w:spacing w:line="360" w:lineRule="auto"/>
        <w:ind w:firstLine="708"/>
        <w:jc w:val="both"/>
        <w:rPr>
          <w:rFonts w:ascii="Times New Roman" w:hAnsi="Times New Roman"/>
          <w:sz w:val="24"/>
          <w:szCs w:val="24"/>
        </w:rPr>
      </w:pPr>
      <w:r>
        <w:rPr>
          <w:rFonts w:ascii="Times New Roman" w:hAnsi="Times New Roman"/>
          <w:sz w:val="24"/>
          <w:szCs w:val="24"/>
        </w:rPr>
        <w:t xml:space="preserve"> Nesta direção, era preciso constituir uma sólida base de apoio política e social para aprovação das </w:t>
      </w:r>
      <w:r w:rsidR="00471916">
        <w:rPr>
          <w:rFonts w:ascii="Times New Roman" w:hAnsi="Times New Roman"/>
          <w:sz w:val="24"/>
          <w:szCs w:val="24"/>
        </w:rPr>
        <w:t>contrar</w:t>
      </w:r>
      <w:r>
        <w:rPr>
          <w:rFonts w:ascii="Times New Roman" w:hAnsi="Times New Roman"/>
          <w:sz w:val="24"/>
          <w:szCs w:val="24"/>
        </w:rPr>
        <w:t xml:space="preserve">reformas e o acionamento do ideário pactualista ou concertacionista sedimentava (pré)disposições aceitas e compartilhadas. Negociar era preciso, desde que não pusesse em xeque o núcleo duro das contrarreformas, descaracterizando-as. Para tanto, de crucial importância eram os pronunciamentos emblemáticos do próprio Lula da Silva nas plenárias do CDES, que ecoavam com força nas plenárias posteriores por meio dos secretários-executivos em presença.  Os dois trechos abaixo referem-se aos pronunciamentos de Lula da Silva na questão das </w:t>
      </w:r>
      <w:r w:rsidR="00471916">
        <w:rPr>
          <w:rFonts w:ascii="Times New Roman" w:hAnsi="Times New Roman"/>
          <w:sz w:val="24"/>
          <w:szCs w:val="24"/>
        </w:rPr>
        <w:t>contrar</w:t>
      </w:r>
      <w:r>
        <w:rPr>
          <w:rFonts w:ascii="Times New Roman" w:hAnsi="Times New Roman"/>
          <w:sz w:val="24"/>
          <w:szCs w:val="24"/>
        </w:rPr>
        <w:t>reformas em 2003, sendo o primeiro quando da instalação do CDES, e o segundo por ocasião da reforma tributária:</w:t>
      </w:r>
    </w:p>
    <w:p w:rsidR="00CD354E" w:rsidRPr="00E01868" w:rsidRDefault="00CD354E" w:rsidP="00CD354E">
      <w:pPr>
        <w:autoSpaceDE w:val="0"/>
        <w:autoSpaceDN w:val="0"/>
        <w:adjustRightInd w:val="0"/>
        <w:spacing w:after="0" w:line="240" w:lineRule="auto"/>
        <w:ind w:left="2268"/>
        <w:jc w:val="both"/>
        <w:rPr>
          <w:rFonts w:ascii="Times New Roman" w:hAnsi="Times New Roman"/>
          <w:sz w:val="20"/>
          <w:szCs w:val="20"/>
        </w:rPr>
      </w:pPr>
      <w:r w:rsidRPr="00E01868">
        <w:rPr>
          <w:rFonts w:ascii="Times New Roman" w:hAnsi="Times New Roman"/>
          <w:sz w:val="20"/>
          <w:szCs w:val="20"/>
        </w:rPr>
        <w:t>As reformas têm justamente a finalidade de criar as condições para o crescimento, que não será um crescimento qualquer e, sim, um crescimento capaz de assegurar uma nova coesão social, pela inclusão cada vez maior do conjunto da população na democracia e na economia.</w:t>
      </w:r>
      <w:r>
        <w:rPr>
          <w:rFonts w:ascii="Times New Roman" w:hAnsi="Times New Roman"/>
          <w:sz w:val="20"/>
          <w:szCs w:val="20"/>
        </w:rPr>
        <w:t xml:space="preserve"> (...)</w:t>
      </w:r>
    </w:p>
    <w:p w:rsidR="00CD354E" w:rsidRPr="009C4027" w:rsidRDefault="00CD354E" w:rsidP="00CD354E">
      <w:pPr>
        <w:autoSpaceDE w:val="0"/>
        <w:autoSpaceDN w:val="0"/>
        <w:adjustRightInd w:val="0"/>
        <w:spacing w:after="0" w:line="240" w:lineRule="auto"/>
        <w:ind w:left="2268"/>
        <w:jc w:val="both"/>
        <w:rPr>
          <w:rFonts w:ascii="Times New Roman" w:hAnsi="Times New Roman"/>
          <w:sz w:val="20"/>
          <w:szCs w:val="20"/>
        </w:rPr>
      </w:pPr>
      <w:r w:rsidRPr="009C4027">
        <w:rPr>
          <w:rFonts w:ascii="Times New Roman" w:hAnsi="Times New Roman"/>
          <w:sz w:val="20"/>
          <w:szCs w:val="20"/>
        </w:rPr>
        <w:t xml:space="preserve">Neste Conselho, </w:t>
      </w:r>
      <w:r w:rsidRPr="00DC2163">
        <w:rPr>
          <w:rFonts w:ascii="Times New Roman" w:hAnsi="Times New Roman"/>
          <w:sz w:val="20"/>
          <w:szCs w:val="20"/>
        </w:rPr>
        <w:t>independentemente do pensamento de cada um de nós sobre as reformas</w:t>
      </w:r>
      <w:r>
        <w:rPr>
          <w:rFonts w:ascii="Times New Roman" w:hAnsi="Times New Roman"/>
          <w:sz w:val="20"/>
          <w:szCs w:val="20"/>
        </w:rPr>
        <w:t xml:space="preserve">, </w:t>
      </w:r>
      <w:r w:rsidRPr="009C4027">
        <w:rPr>
          <w:rFonts w:ascii="Times New Roman" w:hAnsi="Times New Roman"/>
          <w:sz w:val="20"/>
          <w:szCs w:val="20"/>
        </w:rPr>
        <w:t xml:space="preserve">é fundamental que coloquemos, acima dos interesses particulares ou setoriais, </w:t>
      </w:r>
      <w:r w:rsidRPr="009C4027">
        <w:rPr>
          <w:rFonts w:ascii="Times New Roman" w:hAnsi="Times New Roman"/>
          <w:b/>
          <w:sz w:val="20"/>
          <w:szCs w:val="20"/>
        </w:rPr>
        <w:t>os interesses gerais</w:t>
      </w:r>
      <w:r w:rsidRPr="009C4027">
        <w:rPr>
          <w:rFonts w:ascii="Times New Roman" w:hAnsi="Times New Roman"/>
          <w:sz w:val="20"/>
          <w:szCs w:val="20"/>
        </w:rPr>
        <w:t xml:space="preserve"> do país e do povo brasileiro.</w:t>
      </w:r>
    </w:p>
    <w:p w:rsidR="00CD354E" w:rsidRPr="009C4027" w:rsidRDefault="00CD354E" w:rsidP="00CD354E">
      <w:pPr>
        <w:autoSpaceDE w:val="0"/>
        <w:autoSpaceDN w:val="0"/>
        <w:adjustRightInd w:val="0"/>
        <w:spacing w:after="0" w:line="240" w:lineRule="auto"/>
        <w:ind w:left="2268"/>
        <w:jc w:val="both"/>
        <w:rPr>
          <w:rFonts w:ascii="Times New Roman" w:hAnsi="Times New Roman"/>
          <w:sz w:val="20"/>
          <w:szCs w:val="20"/>
        </w:rPr>
      </w:pPr>
      <w:r w:rsidRPr="009C4027">
        <w:rPr>
          <w:rFonts w:ascii="Times New Roman" w:hAnsi="Times New Roman"/>
          <w:sz w:val="20"/>
          <w:szCs w:val="20"/>
        </w:rPr>
        <w:t xml:space="preserve">Acredito que essa seja uma condição preliminar e essencial para alcançarmos um patamar mais alto de </w:t>
      </w:r>
      <w:r w:rsidRPr="009C4027">
        <w:rPr>
          <w:rFonts w:ascii="Times New Roman" w:hAnsi="Times New Roman"/>
          <w:b/>
          <w:sz w:val="20"/>
          <w:szCs w:val="20"/>
        </w:rPr>
        <w:t>civilidade democrática</w:t>
      </w:r>
      <w:r w:rsidRPr="009C4027">
        <w:rPr>
          <w:rFonts w:ascii="Times New Roman" w:hAnsi="Times New Roman"/>
          <w:sz w:val="20"/>
          <w:szCs w:val="20"/>
        </w:rPr>
        <w:t xml:space="preserve"> nos nossos trabalhos e para construirmos um </w:t>
      </w:r>
      <w:r w:rsidRPr="009C4027">
        <w:rPr>
          <w:rFonts w:ascii="Times New Roman" w:hAnsi="Times New Roman"/>
          <w:b/>
          <w:sz w:val="20"/>
          <w:szCs w:val="20"/>
        </w:rPr>
        <w:t>pacto social pelas mudanças</w:t>
      </w:r>
      <w:r w:rsidRPr="009C4027">
        <w:rPr>
          <w:rFonts w:ascii="Times New Roman" w:hAnsi="Times New Roman"/>
          <w:sz w:val="20"/>
          <w:szCs w:val="20"/>
        </w:rPr>
        <w:t xml:space="preserve"> indispensáveis ao país.</w:t>
      </w:r>
    </w:p>
    <w:p w:rsidR="00CD354E" w:rsidRDefault="00CD354E" w:rsidP="00CD354E">
      <w:pPr>
        <w:autoSpaceDE w:val="0"/>
        <w:autoSpaceDN w:val="0"/>
        <w:adjustRightInd w:val="0"/>
        <w:spacing w:after="0" w:line="240" w:lineRule="auto"/>
        <w:ind w:left="2268"/>
        <w:jc w:val="both"/>
        <w:rPr>
          <w:rFonts w:ascii="Times New Roman" w:hAnsi="Times New Roman"/>
          <w:sz w:val="20"/>
          <w:szCs w:val="20"/>
        </w:rPr>
      </w:pPr>
      <w:r w:rsidRPr="009C4027">
        <w:rPr>
          <w:rFonts w:ascii="Times New Roman" w:hAnsi="Times New Roman"/>
          <w:sz w:val="20"/>
          <w:szCs w:val="20"/>
        </w:rPr>
        <w:t xml:space="preserve">Neste novo patamar, as diferenças não acabam, mas se reconstroem num nível mais elevado, priorizando-se os </w:t>
      </w:r>
      <w:r w:rsidRPr="009C4027">
        <w:rPr>
          <w:rFonts w:ascii="Times New Roman" w:hAnsi="Times New Roman"/>
          <w:b/>
          <w:sz w:val="20"/>
          <w:szCs w:val="20"/>
        </w:rPr>
        <w:t>pontos de convergência</w:t>
      </w:r>
      <w:r w:rsidRPr="009C4027">
        <w:rPr>
          <w:rFonts w:ascii="Times New Roman" w:hAnsi="Times New Roman"/>
          <w:sz w:val="20"/>
          <w:szCs w:val="20"/>
        </w:rPr>
        <w:t xml:space="preserve">. A busca de consensos contribui para a sociedade avançar, criando </w:t>
      </w:r>
      <w:r w:rsidRPr="009C4027">
        <w:rPr>
          <w:rFonts w:ascii="Times New Roman" w:hAnsi="Times New Roman"/>
          <w:b/>
          <w:sz w:val="20"/>
          <w:szCs w:val="20"/>
        </w:rPr>
        <w:t>condições para que os empreendedores invistam com segurança e tranq</w:t>
      </w:r>
      <w:r w:rsidR="005913F9">
        <w:rPr>
          <w:rFonts w:ascii="Times New Roman" w:hAnsi="Times New Roman"/>
          <w:b/>
          <w:sz w:val="20"/>
          <w:szCs w:val="20"/>
        </w:rPr>
        <w:t>u</w:t>
      </w:r>
      <w:r w:rsidRPr="009C4027">
        <w:rPr>
          <w:rFonts w:ascii="Times New Roman" w:hAnsi="Times New Roman"/>
          <w:b/>
          <w:sz w:val="20"/>
          <w:szCs w:val="20"/>
        </w:rPr>
        <w:t>ilidade</w:t>
      </w:r>
      <w:r w:rsidRPr="009C4027">
        <w:rPr>
          <w:rFonts w:ascii="Times New Roman" w:hAnsi="Times New Roman"/>
          <w:sz w:val="20"/>
          <w:szCs w:val="20"/>
        </w:rPr>
        <w:t xml:space="preserve"> e os assalariados possam ter uma remuneração justa, com os seus direitos sociais e trabalhistas respeitados.</w:t>
      </w:r>
      <w:r>
        <w:rPr>
          <w:rStyle w:val="Refdenotaderodap"/>
          <w:rFonts w:ascii="Times New Roman" w:hAnsi="Times New Roman"/>
          <w:sz w:val="20"/>
          <w:szCs w:val="20"/>
        </w:rPr>
        <w:footnoteReference w:id="380"/>
      </w:r>
    </w:p>
    <w:p w:rsidR="00CD354E" w:rsidRDefault="00CD354E" w:rsidP="00CD354E">
      <w:pPr>
        <w:autoSpaceDE w:val="0"/>
        <w:autoSpaceDN w:val="0"/>
        <w:adjustRightInd w:val="0"/>
        <w:spacing w:after="0" w:line="240" w:lineRule="auto"/>
        <w:ind w:left="2268"/>
        <w:jc w:val="both"/>
        <w:rPr>
          <w:rFonts w:ascii="Times New Roman" w:hAnsi="Times New Roman"/>
          <w:sz w:val="20"/>
          <w:szCs w:val="20"/>
        </w:rPr>
      </w:pPr>
    </w:p>
    <w:p w:rsidR="00CD354E" w:rsidRPr="009C4027" w:rsidRDefault="00CD354E" w:rsidP="00CD354E">
      <w:pPr>
        <w:autoSpaceDE w:val="0"/>
        <w:autoSpaceDN w:val="0"/>
        <w:adjustRightInd w:val="0"/>
        <w:spacing w:after="0" w:line="240" w:lineRule="auto"/>
        <w:ind w:left="2268"/>
        <w:jc w:val="both"/>
        <w:rPr>
          <w:rFonts w:ascii="Times New Roman" w:hAnsi="Times New Roman"/>
          <w:sz w:val="20"/>
          <w:szCs w:val="20"/>
        </w:rPr>
      </w:pPr>
      <w:r>
        <w:rPr>
          <w:rFonts w:ascii="Times New Roman" w:hAnsi="Times New Roman"/>
          <w:sz w:val="20"/>
          <w:szCs w:val="20"/>
        </w:rPr>
        <w:t xml:space="preserve">(...) nós </w:t>
      </w:r>
      <w:r w:rsidRPr="00455CD0">
        <w:rPr>
          <w:rFonts w:ascii="Times New Roman" w:hAnsi="Times New Roman"/>
          <w:b/>
          <w:sz w:val="20"/>
          <w:szCs w:val="20"/>
        </w:rPr>
        <w:t>vamos ensinar este país a negociar</w:t>
      </w:r>
      <w:r>
        <w:rPr>
          <w:rFonts w:ascii="Times New Roman" w:hAnsi="Times New Roman"/>
          <w:sz w:val="20"/>
          <w:szCs w:val="20"/>
        </w:rPr>
        <w:t xml:space="preserve">. Nós vamos ensinar este país a </w:t>
      </w:r>
      <w:r w:rsidRPr="00455CD0">
        <w:rPr>
          <w:rFonts w:ascii="Times New Roman" w:hAnsi="Times New Roman"/>
          <w:b/>
          <w:sz w:val="20"/>
          <w:szCs w:val="20"/>
        </w:rPr>
        <w:t>atingir a maturidade</w:t>
      </w:r>
      <w:r>
        <w:rPr>
          <w:rFonts w:ascii="Times New Roman" w:hAnsi="Times New Roman"/>
          <w:sz w:val="20"/>
          <w:szCs w:val="20"/>
        </w:rPr>
        <w:t xml:space="preserve"> que ele precisa para dar o salto de qualidade interno e externo que ele precisa ter. Nós precisamos ter a grandeza de entender que as negociações se fazem extremamente necessárias (ATA da 4ª Reunião Plenária, 04/09/2003, p. 05, grifos meus).</w:t>
      </w:r>
    </w:p>
    <w:p w:rsidR="00CD354E" w:rsidRDefault="00CD354E" w:rsidP="00CD354E">
      <w:pPr>
        <w:autoSpaceDE w:val="0"/>
        <w:autoSpaceDN w:val="0"/>
        <w:adjustRightInd w:val="0"/>
        <w:spacing w:after="0" w:line="240" w:lineRule="auto"/>
        <w:rPr>
          <w:rFonts w:ascii="Times New Roman" w:hAnsi="Times New Roman"/>
          <w:sz w:val="24"/>
          <w:szCs w:val="24"/>
        </w:rPr>
      </w:pPr>
    </w:p>
    <w:p w:rsidR="00CD354E" w:rsidRPr="001C3DC8"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 xml:space="preserve">A </w:t>
      </w:r>
      <w:r w:rsidRPr="001C3DC8">
        <w:rPr>
          <w:rFonts w:ascii="Times New Roman" w:hAnsi="Times New Roman"/>
          <w:sz w:val="24"/>
          <w:szCs w:val="24"/>
        </w:rPr>
        <w:t xml:space="preserve">arquitetura dessa nova sociabilidade burguesa estava esquadrinhada antes mesmo da eleição de Lula da Silva à Presidência, </w:t>
      </w:r>
      <w:r>
        <w:rPr>
          <w:rFonts w:ascii="Times New Roman" w:hAnsi="Times New Roman"/>
          <w:sz w:val="24"/>
          <w:szCs w:val="24"/>
        </w:rPr>
        <w:t>como se depreende de um trecho do programa de governo de 2002</w:t>
      </w:r>
      <w:r w:rsidRPr="001C3DC8">
        <w:rPr>
          <w:rFonts w:ascii="Times New Roman" w:hAnsi="Times New Roman"/>
          <w:sz w:val="24"/>
          <w:szCs w:val="24"/>
        </w:rPr>
        <w:t xml:space="preserve"> intitulado “Um Brasil para Todos: Crescimento, Emprego e Inclusão Social”:</w:t>
      </w:r>
    </w:p>
    <w:p w:rsidR="00CD354E" w:rsidRPr="001C3DC8" w:rsidRDefault="00CD354E" w:rsidP="00CD354E">
      <w:pPr>
        <w:spacing w:after="240" w:line="240" w:lineRule="auto"/>
        <w:ind w:left="2340"/>
        <w:jc w:val="both"/>
        <w:rPr>
          <w:rFonts w:ascii="Times New Roman" w:hAnsi="Times New Roman"/>
          <w:sz w:val="20"/>
          <w:szCs w:val="20"/>
        </w:rPr>
      </w:pPr>
      <w:r w:rsidRPr="001C3DC8">
        <w:rPr>
          <w:rFonts w:ascii="Times New Roman" w:hAnsi="Times New Roman"/>
          <w:sz w:val="20"/>
          <w:szCs w:val="20"/>
        </w:rPr>
        <w:t xml:space="preserve">Nosso governo será marcado pelo </w:t>
      </w:r>
      <w:r w:rsidRPr="001C3DC8">
        <w:rPr>
          <w:rFonts w:ascii="Times New Roman" w:hAnsi="Times New Roman"/>
          <w:b/>
          <w:sz w:val="20"/>
          <w:szCs w:val="20"/>
        </w:rPr>
        <w:t>diálogo</w:t>
      </w:r>
      <w:r w:rsidRPr="001C3DC8">
        <w:rPr>
          <w:rFonts w:ascii="Times New Roman" w:hAnsi="Times New Roman"/>
          <w:sz w:val="20"/>
          <w:szCs w:val="20"/>
        </w:rPr>
        <w:t xml:space="preserve"> permanente com a sociedade civil. Uma das tragédias do Brasil tem sido a incapacidade dos dirigentes de estabelecer </w:t>
      </w:r>
      <w:r w:rsidRPr="001C3DC8">
        <w:rPr>
          <w:rFonts w:ascii="Times New Roman" w:hAnsi="Times New Roman"/>
          <w:b/>
          <w:sz w:val="20"/>
          <w:szCs w:val="20"/>
        </w:rPr>
        <w:t>pontes</w:t>
      </w:r>
      <w:r w:rsidRPr="001C3DC8">
        <w:rPr>
          <w:rFonts w:ascii="Times New Roman" w:hAnsi="Times New Roman"/>
          <w:sz w:val="20"/>
          <w:szCs w:val="20"/>
        </w:rPr>
        <w:t xml:space="preserve">, </w:t>
      </w:r>
      <w:r w:rsidRPr="001C3DC8">
        <w:rPr>
          <w:rFonts w:ascii="Times New Roman" w:hAnsi="Times New Roman"/>
          <w:b/>
          <w:sz w:val="20"/>
          <w:szCs w:val="20"/>
        </w:rPr>
        <w:t>acordos</w:t>
      </w:r>
      <w:r w:rsidRPr="001C3DC8">
        <w:rPr>
          <w:rFonts w:ascii="Times New Roman" w:hAnsi="Times New Roman"/>
          <w:sz w:val="20"/>
          <w:szCs w:val="20"/>
        </w:rPr>
        <w:t xml:space="preserve">, </w:t>
      </w:r>
      <w:r w:rsidRPr="001C3DC8">
        <w:rPr>
          <w:rFonts w:ascii="Times New Roman" w:hAnsi="Times New Roman"/>
          <w:b/>
          <w:sz w:val="20"/>
          <w:szCs w:val="20"/>
        </w:rPr>
        <w:t>entendimentos</w:t>
      </w:r>
      <w:r w:rsidRPr="001C3DC8">
        <w:rPr>
          <w:rFonts w:ascii="Times New Roman" w:hAnsi="Times New Roman"/>
          <w:sz w:val="20"/>
          <w:szCs w:val="20"/>
        </w:rPr>
        <w:t xml:space="preserve"> com os quais </w:t>
      </w:r>
      <w:r w:rsidRPr="009F7022">
        <w:rPr>
          <w:rFonts w:ascii="Times New Roman" w:hAnsi="Times New Roman"/>
          <w:b/>
          <w:sz w:val="20"/>
          <w:szCs w:val="20"/>
        </w:rPr>
        <w:t>todos possam ganhar</w:t>
      </w:r>
      <w:r w:rsidRPr="001C3DC8">
        <w:rPr>
          <w:rFonts w:ascii="Times New Roman" w:hAnsi="Times New Roman"/>
          <w:sz w:val="20"/>
          <w:szCs w:val="20"/>
        </w:rPr>
        <w:t>.</w:t>
      </w:r>
      <w:r>
        <w:rPr>
          <w:rStyle w:val="Refdenotaderodap"/>
          <w:rFonts w:ascii="Times New Roman" w:hAnsi="Times New Roman"/>
          <w:sz w:val="20"/>
          <w:szCs w:val="20"/>
        </w:rPr>
        <w:footnoteReference w:id="381"/>
      </w:r>
    </w:p>
    <w:p w:rsidR="00CD354E" w:rsidRDefault="00CD354E" w:rsidP="00CD354E">
      <w:pPr>
        <w:spacing w:after="0" w:line="360" w:lineRule="auto"/>
        <w:jc w:val="both"/>
        <w:rPr>
          <w:rFonts w:ascii="Times New Roman" w:hAnsi="Times New Roman"/>
          <w:sz w:val="24"/>
          <w:szCs w:val="24"/>
        </w:rPr>
      </w:pPr>
      <w:r>
        <w:tab/>
      </w:r>
      <w:r>
        <w:rPr>
          <w:rFonts w:ascii="Times New Roman" w:hAnsi="Times New Roman"/>
          <w:sz w:val="24"/>
          <w:szCs w:val="24"/>
        </w:rPr>
        <w:t>Lula da Silva acenava para a abertura de diálogo com alguns setores recalcitrantes da esquerda partidária e dos movimentos e “novas organizações” sociais mais ativos</w:t>
      </w:r>
      <w:r w:rsidR="009002E8">
        <w:rPr>
          <w:rFonts w:ascii="Times New Roman" w:hAnsi="Times New Roman"/>
          <w:sz w:val="24"/>
          <w:szCs w:val="24"/>
        </w:rPr>
        <w:t>,</w:t>
      </w:r>
      <w:r>
        <w:rPr>
          <w:rFonts w:ascii="Times New Roman" w:hAnsi="Times New Roman"/>
          <w:sz w:val="24"/>
          <w:szCs w:val="24"/>
        </w:rPr>
        <w:t xml:space="preserve"> com os quais ou mantinham historicamente relações orgânicas ou na forma de alianças políticas recorrentes. O intuito era condicioná-los a abrandar ou mesmo rever as expectativas, reposicionar as táticas, requerer paciência e rogar esperança. </w:t>
      </w:r>
    </w:p>
    <w:p w:rsidR="00CD354E"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 xml:space="preserve">O caminho estava traçado e indubitavelmente não mais passava pela luta de classes e pela transformação socialista. Produto do abandono meteórico, durante os anos 90, de um projeto de emancipação da classe trabalhadora, os acordos, pactos, alianças e consensos apregoados no CDES se voltavam também, e principalmente, à evidente busca de legitimação </w:t>
      </w:r>
      <w:r w:rsidR="005B6DE9">
        <w:rPr>
          <w:rFonts w:ascii="Times New Roman" w:hAnsi="Times New Roman"/>
          <w:sz w:val="24"/>
          <w:szCs w:val="24"/>
        </w:rPr>
        <w:t>de</w:t>
      </w:r>
      <w:r>
        <w:rPr>
          <w:rFonts w:ascii="Times New Roman" w:hAnsi="Times New Roman"/>
          <w:sz w:val="24"/>
          <w:szCs w:val="24"/>
        </w:rPr>
        <w:t xml:space="preserve"> largos e potentes setores do grande capital ao inusitado governo que assumia, mesmo após reincidentes provas de que as regras do jogo em vigência não seriam mexidas, muito menos subvertidas, tal como a pioneira </w:t>
      </w:r>
      <w:r>
        <w:rPr>
          <w:rFonts w:ascii="Times New Roman" w:hAnsi="Times New Roman"/>
          <w:i/>
          <w:sz w:val="24"/>
          <w:szCs w:val="24"/>
        </w:rPr>
        <w:t xml:space="preserve">Carta ao Povo </w:t>
      </w:r>
      <w:r w:rsidRPr="00716549">
        <w:rPr>
          <w:rFonts w:ascii="Times New Roman" w:hAnsi="Times New Roman"/>
          <w:i/>
          <w:sz w:val="24"/>
          <w:szCs w:val="24"/>
        </w:rPr>
        <w:t>Brasileir</w:t>
      </w:r>
      <w:r>
        <w:rPr>
          <w:rFonts w:ascii="Times New Roman" w:hAnsi="Times New Roman"/>
          <w:i/>
          <w:sz w:val="24"/>
          <w:szCs w:val="24"/>
        </w:rPr>
        <w:t>o</w:t>
      </w:r>
      <w:r>
        <w:rPr>
          <w:rFonts w:ascii="Times New Roman" w:hAnsi="Times New Roman"/>
          <w:sz w:val="24"/>
          <w:szCs w:val="24"/>
        </w:rPr>
        <w:t>, vinda a público em junho de 2002,demonstrara</w:t>
      </w:r>
      <w:r>
        <w:rPr>
          <w:rFonts w:ascii="Times New Roman" w:hAnsi="Times New Roman"/>
          <w:i/>
          <w:sz w:val="24"/>
          <w:szCs w:val="24"/>
        </w:rPr>
        <w:t xml:space="preserve">. </w:t>
      </w:r>
      <w:r>
        <w:rPr>
          <w:rFonts w:ascii="Times New Roman" w:hAnsi="Times New Roman"/>
          <w:sz w:val="24"/>
          <w:szCs w:val="24"/>
        </w:rPr>
        <w:t>O próprio CDES, aliás, foi um hábil instrumento, muito mais do que um compromisso, que afiançava a emersão de um pretenso projeto de desenvolvimento do capitalismo onde o grande capital monopolista fora convocado a ser protagonista, sob a imantação da lógica concertacionista.</w:t>
      </w:r>
    </w:p>
    <w:p w:rsidR="00CD354E" w:rsidRPr="00E612B9" w:rsidRDefault="00CD354E" w:rsidP="00CD354E">
      <w:pPr>
        <w:spacing w:line="360" w:lineRule="auto"/>
        <w:jc w:val="both"/>
        <w:rPr>
          <w:rFonts w:ascii="Times New Roman" w:hAnsi="Times New Roman"/>
          <w:sz w:val="24"/>
          <w:szCs w:val="24"/>
        </w:rPr>
      </w:pPr>
      <w:r>
        <w:rPr>
          <w:rFonts w:ascii="Times New Roman" w:hAnsi="Times New Roman"/>
          <w:sz w:val="24"/>
          <w:szCs w:val="24"/>
        </w:rPr>
        <w:tab/>
        <w:t>Desde o início dos anos 90, outrossim, expoentes históricos do próprio Partido dos Trabalhadores, assumiam paulatinamente a necessidade de ampliação do arco de alianças para além do estrito campo das forças populares, tendo como propósito realizar as “reformas”. Propugnava-se, desde então, a produção de um programa de governo capaz de traduzir um acordo entre trabalhadores e a burguesia. O trecho abaixo, retirado da 20ª edição da revista Teoria &amp; Debate, de fevereiro de 1993, revela o posicionamento de José Genoíno sobre estas questões. Deve-se lembrar que Genoíno e Genro, dentre outros, fundaram em fevereiro de 1990, a tendência petista “Nova Esquerda”, em substituição ao Partido Revolucionário Comunista:</w:t>
      </w:r>
      <w:r>
        <w:rPr>
          <w:rStyle w:val="Refdenotaderodap"/>
          <w:rFonts w:ascii="Times New Roman" w:hAnsi="Times New Roman"/>
          <w:sz w:val="24"/>
          <w:szCs w:val="24"/>
        </w:rPr>
        <w:footnoteReference w:id="382"/>
      </w:r>
    </w:p>
    <w:p w:rsidR="00CD354E" w:rsidRPr="00AB42F8" w:rsidRDefault="00CD354E" w:rsidP="00CD354E">
      <w:pPr>
        <w:spacing w:line="240" w:lineRule="auto"/>
        <w:ind w:left="2268"/>
        <w:jc w:val="both"/>
        <w:rPr>
          <w:rFonts w:ascii="Times New Roman" w:hAnsi="Times New Roman"/>
          <w:sz w:val="20"/>
          <w:szCs w:val="20"/>
        </w:rPr>
      </w:pPr>
      <w:r w:rsidRPr="00AB42F8">
        <w:rPr>
          <w:rFonts w:ascii="Times New Roman" w:hAnsi="Times New Roman"/>
          <w:sz w:val="20"/>
          <w:szCs w:val="20"/>
        </w:rPr>
        <w:t>O PT não fará sozinho as reformas políticas, sociais e econômicas necessárias ao nosso país. Somente um governo constituído por uma maioria política, representativo da maioria social, poderá ter condições e força para concretizar as reformas que, provavelmente, provocarão um processo de radicalização política e social. Esta questão constitui o cerne da necessidade do PT construir uma política ampla de alianças que envolva a esquerda e a centro-esquerda. A aliança político-partidária deve materializar- se num programa de governo que seja representativo, também, de um acordo social que envolva vários setores, desde os descamisados até os setores empresariais.</w:t>
      </w:r>
      <w:r>
        <w:rPr>
          <w:rStyle w:val="Refdenotaderodap"/>
          <w:rFonts w:ascii="Times New Roman" w:hAnsi="Times New Roman"/>
          <w:sz w:val="20"/>
          <w:szCs w:val="20"/>
        </w:rPr>
        <w:footnoteReference w:id="383"/>
      </w:r>
    </w:p>
    <w:p w:rsidR="00CD354E" w:rsidRPr="003457C6" w:rsidRDefault="00CD354E" w:rsidP="00CD354E">
      <w:pPr>
        <w:spacing w:after="0" w:line="360" w:lineRule="auto"/>
        <w:jc w:val="both"/>
        <w:rPr>
          <w:rFonts w:ascii="Times New Roman" w:hAnsi="Times New Roman"/>
          <w:sz w:val="24"/>
          <w:szCs w:val="24"/>
        </w:rPr>
      </w:pPr>
      <w:r>
        <w:tab/>
      </w:r>
      <w:r>
        <w:rPr>
          <w:rFonts w:ascii="Times New Roman" w:hAnsi="Times New Roman"/>
          <w:sz w:val="24"/>
          <w:szCs w:val="24"/>
        </w:rPr>
        <w:t xml:space="preserve">A preocupação deste parêntese foi trazer sucintamente algumas ponderações críticas e traçar alguma historicização ao esclarecimento acerca do conteúdo e das funções do ideário concertacionista, cara ao Conselho. Deve-se destacar a influência das experiências concertacionistas europeias, especialmente do Pacto de Moncloa (1974) e dos Conselhos Econômicos e Sociais europeus, na formatação da proposta brasileira através do CDES, aludida pelo próprio Tarso Genro por ocasião de sua criação. A 5ª Carta de Concertação, por exemplo, tributa a “pactos originários de lutas sociais, fundados em consensos que promoveram mudanças geradoras de menos desigualdade e mais justiça”, como nos casos das “sociais democracias </w:t>
      </w:r>
      <w:r w:rsidR="005913F9">
        <w:rPr>
          <w:rFonts w:ascii="Times New Roman" w:hAnsi="Times New Roman"/>
          <w:sz w:val="24"/>
          <w:szCs w:val="24"/>
        </w:rPr>
        <w:t>europeias</w:t>
      </w:r>
      <w:r>
        <w:rPr>
          <w:rFonts w:ascii="Times New Roman" w:hAnsi="Times New Roman"/>
          <w:sz w:val="24"/>
          <w:szCs w:val="24"/>
        </w:rPr>
        <w:t xml:space="preserve"> ou do </w:t>
      </w:r>
      <w:r>
        <w:rPr>
          <w:rFonts w:ascii="Times New Roman" w:hAnsi="Times New Roman"/>
          <w:i/>
          <w:sz w:val="24"/>
          <w:szCs w:val="24"/>
        </w:rPr>
        <w:t>New Deal</w:t>
      </w:r>
      <w:r>
        <w:rPr>
          <w:rFonts w:ascii="Times New Roman" w:hAnsi="Times New Roman"/>
          <w:sz w:val="24"/>
          <w:szCs w:val="24"/>
        </w:rPr>
        <w:t xml:space="preserve"> estadunidense”, a construção de “ambientes institucionalmente propícios ao investimento privado [que] não promoveram desigualdades (...)” demonstrando que é possível uma “renovação da contratualidade social” no Brasil.</w:t>
      </w:r>
      <w:r>
        <w:rPr>
          <w:rStyle w:val="Refdenotaderodap"/>
          <w:rFonts w:ascii="Times New Roman" w:hAnsi="Times New Roman"/>
          <w:sz w:val="24"/>
          <w:szCs w:val="24"/>
        </w:rPr>
        <w:footnoteReference w:id="384"/>
      </w:r>
    </w:p>
    <w:p w:rsidR="00CD354E"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 xml:space="preserve">Era sintomático das condições resultantes da reprodução ampliada do capital no Brasil nas últimas décadas o fato de quatro das seis Cartas de Concertação apresentarem, em seus textos iniciais, a preocupação com o agravamento da “descoesão social”, através do avanço da “cultura da violência”, fruto do “esgarçamento crescente do tecido social” mediante o agravamento da “exclusão social, do desemprego e pela ausência de uma política permanente de segurança pública”. Havia uma nítida inquietação quanto ao desafio de “bloquear o caminho que nos pode levar a uma ruptura da sociedade formal com a sociedade informal, dos excluídos com os incluídos, </w:t>
      </w:r>
      <w:r w:rsidRPr="00DF1550">
        <w:rPr>
          <w:rFonts w:ascii="Times New Roman" w:hAnsi="Times New Roman"/>
          <w:i/>
          <w:sz w:val="24"/>
          <w:szCs w:val="24"/>
        </w:rPr>
        <w:t>que poderá levar a um confronto de ricos e pobres, sem perspectivas de solução pela política nos marcos da democracia</w:t>
      </w:r>
      <w:r w:rsidRPr="00471916">
        <w:rPr>
          <w:rFonts w:ascii="Times New Roman" w:hAnsi="Times New Roman"/>
          <w:sz w:val="24"/>
          <w:szCs w:val="24"/>
        </w:rPr>
        <w:t>”.</w:t>
      </w:r>
      <w:r w:rsidRPr="00A55135">
        <w:rPr>
          <w:rStyle w:val="Refdenotaderodap"/>
          <w:rFonts w:ascii="Times New Roman" w:hAnsi="Times New Roman"/>
          <w:sz w:val="24"/>
          <w:szCs w:val="24"/>
        </w:rPr>
        <w:footnoteReference w:id="385"/>
      </w:r>
    </w:p>
    <w:p w:rsidR="00CD354E" w:rsidRDefault="00CD354E" w:rsidP="00CD354E">
      <w:pPr>
        <w:spacing w:line="360" w:lineRule="auto"/>
        <w:ind w:firstLine="708"/>
        <w:jc w:val="both"/>
        <w:rPr>
          <w:rFonts w:ascii="Times New Roman" w:hAnsi="Times New Roman"/>
          <w:sz w:val="24"/>
          <w:szCs w:val="24"/>
        </w:rPr>
      </w:pPr>
      <w:r>
        <w:rPr>
          <w:rFonts w:ascii="Times New Roman" w:hAnsi="Times New Roman"/>
          <w:sz w:val="24"/>
          <w:szCs w:val="24"/>
        </w:rPr>
        <w:t>A saída propugnada para “recoesionar a sociedade brasileira” era “a mudança com inclusão social, participação na vida pública e distribuição de renda” e o CDES colocava-se como “espaço público não estatal”, como importante artífice na busca de “soluções pactuadas” porque composto “de uma representação plural da sociedade civil” capaz de engendrar “a civilização do Estado brasileiro, ou seja, a subordinação do Estado à sociedade civil”,</w:t>
      </w:r>
      <w:r>
        <w:rPr>
          <w:rStyle w:val="Refdenotaderodap"/>
          <w:rFonts w:ascii="Times New Roman" w:hAnsi="Times New Roman"/>
          <w:sz w:val="24"/>
          <w:szCs w:val="24"/>
        </w:rPr>
        <w:footnoteReference w:id="386"/>
      </w:r>
      <w:r>
        <w:rPr>
          <w:rFonts w:ascii="Times New Roman" w:hAnsi="Times New Roman"/>
          <w:sz w:val="24"/>
          <w:szCs w:val="24"/>
        </w:rPr>
        <w:t xml:space="preserve"> numa típica apreensão liberal dos conceitos de Estado e de sociedade civil no capitalismo contemporâneo. Para tanto, seria necessário que os “parceiros sociais tomem consciência de algumas limitações que sempre acompanham pactos e acordos”:</w:t>
      </w:r>
    </w:p>
    <w:p w:rsidR="00CD354E" w:rsidRDefault="00CD354E" w:rsidP="00CD354E">
      <w:pPr>
        <w:spacing w:after="0" w:line="240" w:lineRule="auto"/>
        <w:ind w:left="2268"/>
        <w:jc w:val="both"/>
        <w:rPr>
          <w:rFonts w:ascii="Times New Roman" w:hAnsi="Times New Roman"/>
          <w:sz w:val="20"/>
          <w:szCs w:val="20"/>
        </w:rPr>
      </w:pPr>
      <w:r w:rsidRPr="000827A0">
        <w:rPr>
          <w:rFonts w:ascii="Times New Roman" w:hAnsi="Times New Roman"/>
          <w:sz w:val="20"/>
          <w:szCs w:val="20"/>
          <w:u w:val="single"/>
        </w:rPr>
        <w:t>primeiro</w:t>
      </w:r>
      <w:r>
        <w:rPr>
          <w:rFonts w:ascii="Times New Roman" w:hAnsi="Times New Roman"/>
          <w:sz w:val="20"/>
          <w:szCs w:val="20"/>
        </w:rPr>
        <w:t>: a agenda da concertação não vai satisfazer todos os interesses específicos de classe, grupos ou setores da sociedade, nem se destina a eliminar da cena pública interesses corporativos (...);</w:t>
      </w:r>
    </w:p>
    <w:p w:rsidR="00CD354E" w:rsidRPr="005F31BB" w:rsidRDefault="00CD354E" w:rsidP="00CD354E">
      <w:pPr>
        <w:spacing w:line="240" w:lineRule="auto"/>
        <w:ind w:left="2268"/>
        <w:jc w:val="both"/>
        <w:rPr>
          <w:rFonts w:ascii="Times New Roman" w:hAnsi="Times New Roman"/>
          <w:sz w:val="20"/>
          <w:szCs w:val="20"/>
        </w:rPr>
      </w:pPr>
      <w:r w:rsidRPr="000827A0">
        <w:rPr>
          <w:rFonts w:ascii="Times New Roman" w:hAnsi="Times New Roman"/>
          <w:sz w:val="20"/>
          <w:szCs w:val="20"/>
          <w:u w:val="single"/>
        </w:rPr>
        <w:t>segundo</w:t>
      </w:r>
      <w:r>
        <w:rPr>
          <w:rFonts w:ascii="Times New Roman" w:hAnsi="Times New Roman"/>
          <w:sz w:val="20"/>
          <w:szCs w:val="20"/>
        </w:rPr>
        <w:t>: para que haja produção de alguns consensos fundamentais é necessário que se processem conflitos regulados (...) para que se dê visibilidade a pontos comuns que interessam ao Brasil como nação, acima dos interesses setoriais e de classes.</w:t>
      </w:r>
      <w:r>
        <w:rPr>
          <w:rStyle w:val="Refdenotaderodap"/>
          <w:rFonts w:ascii="Times New Roman" w:hAnsi="Times New Roman"/>
          <w:sz w:val="20"/>
          <w:szCs w:val="20"/>
        </w:rPr>
        <w:footnoteReference w:id="387"/>
      </w:r>
    </w:p>
    <w:p w:rsidR="00CD354E"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 xml:space="preserve">Com esses pressupostos, era bastante comum nas reuniões e documentos do Conselho a advertência de que as corporações possuíam a legitimidade política de buscar o atendimento de seus interesses e de que isto compunha o “jogo democrático”. Contudo, o objetivo seria o de construir um projeto de desenvolvimento onde os interesses corporativos ou de grupos particulares fossem substituídos pelos “interesses gerais”, os quais resultariam das propostas e decisões tomadas </w:t>
      </w:r>
      <w:r w:rsidRPr="00710D35">
        <w:rPr>
          <w:rFonts w:ascii="Times New Roman" w:hAnsi="Times New Roman"/>
          <w:i/>
          <w:sz w:val="24"/>
          <w:szCs w:val="24"/>
        </w:rPr>
        <w:t>em consenso</w:t>
      </w:r>
      <w:r>
        <w:rPr>
          <w:rFonts w:ascii="Times New Roman" w:hAnsi="Times New Roman"/>
          <w:sz w:val="24"/>
          <w:szCs w:val="24"/>
        </w:rPr>
        <w:t xml:space="preserve"> pelo conjunto dos conselheiros. </w:t>
      </w:r>
    </w:p>
    <w:p w:rsidR="00CD354E"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 xml:space="preserve">A ideia propagada era a de que cada conselheiro, através da concertação, deveria saber abdicar de seus interesses corporativos para que se erguessem meios de construir um projeto onde todos ganhassem. Reconhecia-se a presença de interesses contrários e em disputa, mas se </w:t>
      </w:r>
      <w:r w:rsidRPr="00773B29">
        <w:rPr>
          <w:rFonts w:ascii="Times New Roman" w:hAnsi="Times New Roman"/>
          <w:sz w:val="24"/>
          <w:szCs w:val="24"/>
        </w:rPr>
        <w:t>deve</w:t>
      </w:r>
      <w:r>
        <w:rPr>
          <w:rFonts w:ascii="Times New Roman" w:hAnsi="Times New Roman"/>
          <w:sz w:val="24"/>
          <w:szCs w:val="24"/>
        </w:rPr>
        <w:t>ria procurar meios que garantissem</w:t>
      </w:r>
      <w:r w:rsidRPr="00773B29">
        <w:rPr>
          <w:rFonts w:ascii="Times New Roman" w:hAnsi="Times New Roman"/>
          <w:sz w:val="24"/>
          <w:szCs w:val="24"/>
        </w:rPr>
        <w:t xml:space="preserve"> um </w:t>
      </w:r>
      <w:r w:rsidRPr="00773B29">
        <w:rPr>
          <w:rFonts w:ascii="Times New Roman" w:hAnsi="Times New Roman"/>
          <w:i/>
          <w:sz w:val="24"/>
          <w:szCs w:val="24"/>
        </w:rPr>
        <w:t>consenso mínimo</w:t>
      </w:r>
      <w:r w:rsidRPr="00773B29">
        <w:rPr>
          <w:rFonts w:ascii="Times New Roman" w:hAnsi="Times New Roman"/>
          <w:sz w:val="24"/>
          <w:szCs w:val="24"/>
        </w:rPr>
        <w:t xml:space="preserve"> em torno de algumas quest</w:t>
      </w:r>
      <w:r>
        <w:rPr>
          <w:rFonts w:ascii="Times New Roman" w:hAnsi="Times New Roman"/>
          <w:sz w:val="24"/>
          <w:szCs w:val="24"/>
        </w:rPr>
        <w:t>ões nodais que assolavam o país. Seria</w:t>
      </w:r>
      <w:r w:rsidRPr="00773B29">
        <w:rPr>
          <w:rFonts w:ascii="Times New Roman" w:hAnsi="Times New Roman"/>
          <w:sz w:val="24"/>
          <w:szCs w:val="24"/>
        </w:rPr>
        <w:t xml:space="preserve"> através do “diálogo”, da “negociação” e da “pactuação” que se busca</w:t>
      </w:r>
      <w:r>
        <w:rPr>
          <w:rFonts w:ascii="Times New Roman" w:hAnsi="Times New Roman"/>
          <w:sz w:val="24"/>
          <w:szCs w:val="24"/>
        </w:rPr>
        <w:t>va</w:t>
      </w:r>
      <w:r w:rsidRPr="00773B29">
        <w:rPr>
          <w:rFonts w:ascii="Times New Roman" w:hAnsi="Times New Roman"/>
          <w:sz w:val="24"/>
          <w:szCs w:val="24"/>
        </w:rPr>
        <w:t>m fórmulas consensuais com vistas a clarificar os caminhos que levariam o Brasil rumo ao “desenvolvimento com sustentabilidade”.</w:t>
      </w:r>
      <w:r w:rsidRPr="00710D35">
        <w:rPr>
          <w:rFonts w:ascii="Times New Roman" w:hAnsi="Times New Roman"/>
          <w:i/>
          <w:sz w:val="24"/>
          <w:szCs w:val="24"/>
        </w:rPr>
        <w:t>Es</w:t>
      </w:r>
      <w:r>
        <w:rPr>
          <w:rFonts w:ascii="Times New Roman" w:hAnsi="Times New Roman"/>
          <w:i/>
          <w:sz w:val="24"/>
          <w:szCs w:val="24"/>
        </w:rPr>
        <w:t>s</w:t>
      </w:r>
      <w:r w:rsidRPr="00710D35">
        <w:rPr>
          <w:rFonts w:ascii="Times New Roman" w:hAnsi="Times New Roman"/>
          <w:i/>
          <w:sz w:val="24"/>
          <w:szCs w:val="24"/>
        </w:rPr>
        <w:t>e era um dos requisitos mais salientados</w:t>
      </w:r>
      <w:r>
        <w:rPr>
          <w:rFonts w:ascii="Times New Roman" w:hAnsi="Times New Roman"/>
          <w:i/>
          <w:sz w:val="24"/>
          <w:szCs w:val="24"/>
        </w:rPr>
        <w:t xml:space="preserve"> e evocados</w:t>
      </w:r>
      <w:r w:rsidRPr="00710D35">
        <w:rPr>
          <w:rFonts w:ascii="Times New Roman" w:hAnsi="Times New Roman"/>
          <w:i/>
          <w:sz w:val="24"/>
          <w:szCs w:val="24"/>
        </w:rPr>
        <w:t xml:space="preserve"> no CDES</w:t>
      </w:r>
      <w:r>
        <w:rPr>
          <w:rFonts w:ascii="Times New Roman" w:hAnsi="Times New Roman"/>
          <w:i/>
          <w:sz w:val="24"/>
          <w:szCs w:val="24"/>
        </w:rPr>
        <w:t>, principalmente pelos secretários-executivos e pelo Presidente da República,</w:t>
      </w:r>
      <w:r w:rsidRPr="00710D35">
        <w:rPr>
          <w:rFonts w:ascii="Times New Roman" w:hAnsi="Times New Roman"/>
          <w:i/>
          <w:sz w:val="24"/>
          <w:szCs w:val="24"/>
        </w:rPr>
        <w:t xml:space="preserve"> para o aprimoramento da democracia</w:t>
      </w:r>
      <w:r>
        <w:rPr>
          <w:rFonts w:ascii="Times New Roman" w:hAnsi="Times New Roman"/>
          <w:sz w:val="24"/>
          <w:szCs w:val="24"/>
        </w:rPr>
        <w:t xml:space="preserve"> e era um ponto recorrente nas Cartas:</w:t>
      </w:r>
    </w:p>
    <w:p w:rsidR="00CD354E" w:rsidRPr="00710D35" w:rsidRDefault="00CD354E" w:rsidP="00CD354E">
      <w:pPr>
        <w:spacing w:line="240" w:lineRule="auto"/>
        <w:ind w:left="2268"/>
        <w:jc w:val="both"/>
        <w:rPr>
          <w:rFonts w:ascii="Times New Roman" w:hAnsi="Times New Roman"/>
          <w:sz w:val="20"/>
          <w:szCs w:val="20"/>
        </w:rPr>
      </w:pPr>
      <w:r w:rsidRPr="00710D35">
        <w:rPr>
          <w:rFonts w:ascii="Times New Roman" w:hAnsi="Times New Roman"/>
          <w:sz w:val="20"/>
          <w:szCs w:val="20"/>
        </w:rPr>
        <w:t xml:space="preserve">Há, também, naturalmente, grupos da sociedade atuando no sentido de apresentar suas propostas e defender seus interesses. A democracia inclui as corporações, porém não pode se limitar a elas. A capacidade de negociar, dialogar, buscar consensos é o caminho necessário para assegurar que as disputas na arena política tenham como resultado decisões que </w:t>
      </w:r>
      <w:r>
        <w:rPr>
          <w:rFonts w:ascii="Times New Roman" w:hAnsi="Times New Roman"/>
          <w:sz w:val="20"/>
          <w:szCs w:val="20"/>
        </w:rPr>
        <w:t>privilegiem o interesse público</w:t>
      </w:r>
      <w:r w:rsidRPr="00710D35">
        <w:rPr>
          <w:rFonts w:ascii="Times New Roman" w:hAnsi="Times New Roman"/>
          <w:sz w:val="20"/>
          <w:szCs w:val="20"/>
        </w:rPr>
        <w:t>.</w:t>
      </w:r>
      <w:r>
        <w:rPr>
          <w:rStyle w:val="Refdenotaderodap"/>
          <w:rFonts w:ascii="Times New Roman" w:hAnsi="Times New Roman"/>
          <w:sz w:val="20"/>
          <w:szCs w:val="20"/>
        </w:rPr>
        <w:footnoteReference w:id="388"/>
      </w:r>
    </w:p>
    <w:p w:rsidR="00AB6180" w:rsidRPr="00C33FA2" w:rsidRDefault="00CD354E" w:rsidP="00CD354E">
      <w:pPr>
        <w:spacing w:after="0" w:line="360" w:lineRule="auto"/>
        <w:ind w:firstLine="708"/>
        <w:jc w:val="both"/>
        <w:rPr>
          <w:rFonts w:ascii="Times New Roman" w:hAnsi="Times New Roman"/>
          <w:sz w:val="24"/>
          <w:szCs w:val="24"/>
        </w:rPr>
      </w:pPr>
      <w:r w:rsidRPr="00C33FA2">
        <w:rPr>
          <w:rFonts w:ascii="Times New Roman" w:hAnsi="Times New Roman"/>
          <w:sz w:val="24"/>
          <w:szCs w:val="24"/>
        </w:rPr>
        <w:t xml:space="preserve">Tratamos sumariamente não apenas o componente ideológico social-liberal da </w:t>
      </w:r>
      <w:r w:rsidRPr="00C33FA2">
        <w:rPr>
          <w:rFonts w:ascii="Times New Roman" w:hAnsi="Times New Roman"/>
          <w:i/>
          <w:sz w:val="24"/>
          <w:szCs w:val="24"/>
        </w:rPr>
        <w:t>pactuação</w:t>
      </w:r>
      <w:r w:rsidRPr="00C33FA2">
        <w:rPr>
          <w:rFonts w:ascii="Times New Roman" w:hAnsi="Times New Roman"/>
          <w:sz w:val="24"/>
          <w:szCs w:val="24"/>
        </w:rPr>
        <w:t xml:space="preserve"> no CDES, mas também o caminho concreto de sua construção. Ele não foi linear, nem nasceu pronto, isto é, o que já estava abandonado nos anos 90 (a proposta socialista) seria doravante dedicado à construção de pautas e ao agendamento de percursos em comum com as burguesias, “educando-as” para o exercício da hegemonia e sendo também educadas por ele. A tarefa mais difícil para as burguesias seria mover com cuidado o operador político que então se credenciava (a direção petista), filtrando</w:t>
      </w:r>
      <w:r w:rsidR="00AB6180" w:rsidRPr="00C33FA2">
        <w:rPr>
          <w:rFonts w:ascii="Times New Roman" w:hAnsi="Times New Roman"/>
          <w:sz w:val="24"/>
          <w:szCs w:val="24"/>
        </w:rPr>
        <w:t>,</w:t>
      </w:r>
      <w:r w:rsidRPr="00C33FA2">
        <w:rPr>
          <w:rFonts w:ascii="Times New Roman" w:hAnsi="Times New Roman"/>
          <w:sz w:val="24"/>
          <w:szCs w:val="24"/>
        </w:rPr>
        <w:t xml:space="preserve"> depurando </w:t>
      </w:r>
      <w:r w:rsidR="00AB6180" w:rsidRPr="00C33FA2">
        <w:rPr>
          <w:rFonts w:ascii="Times New Roman" w:hAnsi="Times New Roman"/>
          <w:sz w:val="24"/>
          <w:szCs w:val="24"/>
        </w:rPr>
        <w:t xml:space="preserve">ou até mesmo afastando de </w:t>
      </w:r>
      <w:r w:rsidR="000E70D1" w:rsidRPr="00C33FA2">
        <w:rPr>
          <w:rFonts w:ascii="Times New Roman" w:hAnsi="Times New Roman"/>
          <w:sz w:val="24"/>
          <w:szCs w:val="24"/>
        </w:rPr>
        <w:t xml:space="preserve">suas bases </w:t>
      </w:r>
      <w:r w:rsidRPr="00C33FA2">
        <w:rPr>
          <w:rFonts w:ascii="Times New Roman" w:hAnsi="Times New Roman"/>
          <w:sz w:val="24"/>
          <w:szCs w:val="24"/>
        </w:rPr>
        <w:t>os elementos programáticos considerados mais perigosos e aversivos</w:t>
      </w:r>
      <w:r w:rsidR="000E70D1" w:rsidRPr="00C33FA2">
        <w:rPr>
          <w:rFonts w:ascii="Times New Roman" w:hAnsi="Times New Roman"/>
          <w:sz w:val="24"/>
          <w:szCs w:val="24"/>
        </w:rPr>
        <w:t xml:space="preserve">. Cabia também </w:t>
      </w:r>
      <w:r w:rsidRPr="00C33FA2">
        <w:rPr>
          <w:rFonts w:ascii="Times New Roman" w:hAnsi="Times New Roman"/>
          <w:sz w:val="24"/>
          <w:szCs w:val="24"/>
        </w:rPr>
        <w:t>suaviza</w:t>
      </w:r>
      <w:r w:rsidR="000E70D1" w:rsidRPr="00C33FA2">
        <w:rPr>
          <w:rFonts w:ascii="Times New Roman" w:hAnsi="Times New Roman"/>
          <w:sz w:val="24"/>
          <w:szCs w:val="24"/>
        </w:rPr>
        <w:t>r ainda mais</w:t>
      </w:r>
      <w:r w:rsidRPr="00C33FA2">
        <w:rPr>
          <w:rFonts w:ascii="Times New Roman" w:hAnsi="Times New Roman"/>
          <w:sz w:val="24"/>
          <w:szCs w:val="24"/>
        </w:rPr>
        <w:t xml:space="preserve"> o discurso </w:t>
      </w:r>
      <w:r w:rsidR="000E70D1" w:rsidRPr="00C33FA2">
        <w:rPr>
          <w:rFonts w:ascii="Times New Roman" w:hAnsi="Times New Roman"/>
          <w:sz w:val="24"/>
          <w:szCs w:val="24"/>
        </w:rPr>
        <w:t xml:space="preserve">da direção </w:t>
      </w:r>
      <w:r w:rsidRPr="00C33FA2">
        <w:rPr>
          <w:rFonts w:ascii="Times New Roman" w:hAnsi="Times New Roman"/>
          <w:sz w:val="24"/>
          <w:szCs w:val="24"/>
        </w:rPr>
        <w:t xml:space="preserve">e </w:t>
      </w:r>
      <w:r w:rsidR="000E70D1" w:rsidRPr="00C33FA2">
        <w:rPr>
          <w:rFonts w:ascii="Times New Roman" w:hAnsi="Times New Roman"/>
          <w:sz w:val="24"/>
          <w:szCs w:val="24"/>
        </w:rPr>
        <w:t>exigi</w:t>
      </w:r>
      <w:r w:rsidR="00AB6180" w:rsidRPr="00C33FA2">
        <w:rPr>
          <w:rFonts w:ascii="Times New Roman" w:hAnsi="Times New Roman"/>
          <w:sz w:val="24"/>
          <w:szCs w:val="24"/>
        </w:rPr>
        <w:t>r-se-ia</w:t>
      </w:r>
      <w:r w:rsidR="000E70D1" w:rsidRPr="00C33FA2">
        <w:rPr>
          <w:rFonts w:ascii="Times New Roman" w:hAnsi="Times New Roman"/>
          <w:sz w:val="24"/>
          <w:szCs w:val="24"/>
        </w:rPr>
        <w:t xml:space="preserve"> dela </w:t>
      </w:r>
      <w:r w:rsidRPr="00C33FA2">
        <w:rPr>
          <w:rFonts w:ascii="Times New Roman" w:hAnsi="Times New Roman"/>
          <w:sz w:val="24"/>
          <w:szCs w:val="24"/>
        </w:rPr>
        <w:t>provações constantes e cada vez mais distanciadoras de suas raízes</w:t>
      </w:r>
      <w:r w:rsidR="000E70D1" w:rsidRPr="00C33FA2">
        <w:rPr>
          <w:rFonts w:ascii="Times New Roman" w:hAnsi="Times New Roman"/>
          <w:sz w:val="24"/>
          <w:szCs w:val="24"/>
        </w:rPr>
        <w:t xml:space="preserve"> e de suas bases</w:t>
      </w:r>
      <w:r w:rsidRPr="00C33FA2">
        <w:rPr>
          <w:rFonts w:ascii="Times New Roman" w:hAnsi="Times New Roman"/>
          <w:sz w:val="24"/>
          <w:szCs w:val="24"/>
        </w:rPr>
        <w:t xml:space="preserve">. </w:t>
      </w:r>
    </w:p>
    <w:p w:rsidR="00CD354E" w:rsidRPr="00C33FA2" w:rsidRDefault="00CD354E" w:rsidP="00CD354E">
      <w:pPr>
        <w:spacing w:after="0" w:line="360" w:lineRule="auto"/>
        <w:ind w:firstLine="708"/>
        <w:jc w:val="both"/>
        <w:rPr>
          <w:rFonts w:ascii="Times New Roman" w:hAnsi="Times New Roman"/>
          <w:sz w:val="24"/>
          <w:szCs w:val="24"/>
        </w:rPr>
      </w:pPr>
      <w:r w:rsidRPr="00C33FA2">
        <w:rPr>
          <w:rFonts w:ascii="Times New Roman" w:hAnsi="Times New Roman"/>
          <w:sz w:val="24"/>
          <w:szCs w:val="24"/>
        </w:rPr>
        <w:t>O fato é que, a partir d</w:t>
      </w:r>
      <w:r w:rsidR="00AB6180" w:rsidRPr="00C33FA2">
        <w:rPr>
          <w:rFonts w:ascii="Times New Roman" w:hAnsi="Times New Roman"/>
          <w:sz w:val="24"/>
          <w:szCs w:val="24"/>
        </w:rPr>
        <w:t xml:space="preserve">a segunda metade do </w:t>
      </w:r>
      <w:r w:rsidRPr="00C33FA2">
        <w:rPr>
          <w:rFonts w:ascii="Times New Roman" w:hAnsi="Times New Roman"/>
          <w:sz w:val="24"/>
          <w:szCs w:val="24"/>
        </w:rPr>
        <w:t xml:space="preserve"> segundo mandato de FHC, </w:t>
      </w:r>
      <w:r w:rsidR="00E65A15" w:rsidRPr="00C33FA2">
        <w:rPr>
          <w:rFonts w:ascii="Times New Roman" w:hAnsi="Times New Roman"/>
          <w:sz w:val="24"/>
          <w:szCs w:val="24"/>
        </w:rPr>
        <w:t xml:space="preserve">ambos os lados </w:t>
      </w:r>
      <w:r w:rsidRPr="00C33FA2">
        <w:rPr>
          <w:rFonts w:ascii="Times New Roman" w:hAnsi="Times New Roman"/>
          <w:sz w:val="24"/>
          <w:szCs w:val="24"/>
        </w:rPr>
        <w:t>aceitaram a empreitada e o Conselho serviu, simultaneamente, como permanente espaço de (re)a</w:t>
      </w:r>
      <w:r w:rsidR="00E65A15">
        <w:rPr>
          <w:rFonts w:ascii="Times New Roman" w:hAnsi="Times New Roman"/>
          <w:sz w:val="24"/>
          <w:szCs w:val="24"/>
        </w:rPr>
        <w:t>valiações e de (re)ajustamentos</w:t>
      </w:r>
      <w:r w:rsidRPr="00C33FA2">
        <w:rPr>
          <w:rFonts w:ascii="Times New Roman" w:hAnsi="Times New Roman"/>
          <w:sz w:val="24"/>
          <w:szCs w:val="24"/>
        </w:rPr>
        <w:t xml:space="preserve">. </w:t>
      </w:r>
      <w:r w:rsidR="00AB6180" w:rsidRPr="00C33FA2">
        <w:rPr>
          <w:rFonts w:ascii="Times New Roman" w:hAnsi="Times New Roman"/>
          <w:sz w:val="24"/>
          <w:szCs w:val="24"/>
        </w:rPr>
        <w:t>Nele, o</w:t>
      </w:r>
      <w:r w:rsidRPr="00C33FA2">
        <w:rPr>
          <w:rFonts w:ascii="Times New Roman" w:hAnsi="Times New Roman"/>
          <w:sz w:val="24"/>
          <w:szCs w:val="24"/>
        </w:rPr>
        <w:t xml:space="preserve"> extravasamento da meteórica aproximação entre parte do empresariado e da cúpula petista e cutista para os segmentos não empresariais e não cutistas ampliava o escopo de atuação da operacionalização da hegemonia</w:t>
      </w:r>
      <w:r w:rsidR="00AB6180" w:rsidRPr="00C33FA2">
        <w:rPr>
          <w:rFonts w:ascii="Times New Roman" w:hAnsi="Times New Roman"/>
          <w:sz w:val="24"/>
          <w:szCs w:val="24"/>
        </w:rPr>
        <w:t xml:space="preserve"> burguesa</w:t>
      </w:r>
      <w:r w:rsidRPr="00C33FA2">
        <w:rPr>
          <w:rFonts w:ascii="Times New Roman" w:hAnsi="Times New Roman"/>
          <w:sz w:val="24"/>
          <w:szCs w:val="24"/>
        </w:rPr>
        <w:t xml:space="preserve">. Embora minoritários no CDES, sua adesão era importantíssima na medida em que dava provas para os operadores e articuladores de que a “concertação” era não só possível, mas sobretudo resultante de um processo de ajustamento de “tensões” que, por meio do “diálogo”, elevar-se-ia a democracia a um patamar pluralista, participativo e consensual. Este quadro é muito próximo do resgate </w:t>
      </w:r>
      <w:r w:rsidRPr="00C33FA2">
        <w:rPr>
          <w:rFonts w:ascii="Times New Roman" w:hAnsi="Times New Roman"/>
          <w:i/>
          <w:sz w:val="24"/>
          <w:szCs w:val="24"/>
        </w:rPr>
        <w:t>às avessas</w:t>
      </w:r>
      <w:r w:rsidRPr="00C33FA2">
        <w:rPr>
          <w:rFonts w:ascii="Times New Roman" w:hAnsi="Times New Roman"/>
          <w:sz w:val="24"/>
          <w:szCs w:val="24"/>
        </w:rPr>
        <w:t xml:space="preserve"> dos conselhos populares de meados dos anos 1980. </w:t>
      </w:r>
      <w:r w:rsidR="001C2A03" w:rsidRPr="00C33FA2">
        <w:rPr>
          <w:rFonts w:ascii="Times New Roman" w:hAnsi="Times New Roman"/>
          <w:sz w:val="24"/>
          <w:szCs w:val="24"/>
        </w:rPr>
        <w:t xml:space="preserve">Apenas </w:t>
      </w:r>
      <w:r w:rsidRPr="00C33FA2">
        <w:rPr>
          <w:rFonts w:ascii="Times New Roman" w:hAnsi="Times New Roman"/>
          <w:sz w:val="24"/>
          <w:szCs w:val="24"/>
        </w:rPr>
        <w:t xml:space="preserve">um partido de origem popular e protagonizador dessas experiências teria o “cacife” suficiente para se credenciar como o único ou o melhor operadorpolítico para a burguesia em tal empreendimento.   </w:t>
      </w:r>
    </w:p>
    <w:p w:rsidR="00CD354E" w:rsidRDefault="00471916" w:rsidP="00CD354E">
      <w:pPr>
        <w:spacing w:after="0" w:line="360" w:lineRule="auto"/>
        <w:ind w:firstLine="708"/>
        <w:jc w:val="both"/>
        <w:rPr>
          <w:rFonts w:ascii="Times New Roman" w:hAnsi="Times New Roman"/>
          <w:sz w:val="24"/>
          <w:szCs w:val="24"/>
        </w:rPr>
      </w:pPr>
      <w:r>
        <w:rPr>
          <w:rFonts w:ascii="Times New Roman" w:hAnsi="Times New Roman"/>
          <w:sz w:val="24"/>
          <w:szCs w:val="24"/>
        </w:rPr>
        <w:t>Continuemos</w:t>
      </w:r>
      <w:r w:rsidR="00CD354E">
        <w:rPr>
          <w:rFonts w:ascii="Times New Roman" w:hAnsi="Times New Roman"/>
          <w:sz w:val="24"/>
          <w:szCs w:val="24"/>
        </w:rPr>
        <w:t xml:space="preserve"> na tarefa de retomar os elementos basilares na constituição do “desenvolvimento sustentável” por meio das Cartas de Concertação, desde uma abordagem econômico-social. Antes, porém, é preciso mencionar que é somente como exposição meramente didática que nos detivemos primeiramente ao exame da proposta concertacionista que, como vimos, constituía de forma orgânica o projeto de “desenvolvimento” que se propunha. Outra observação importante é a de que a Carta de Concertação posterior retoma</w:t>
      </w:r>
      <w:r>
        <w:rPr>
          <w:rFonts w:ascii="Times New Roman" w:hAnsi="Times New Roman"/>
          <w:sz w:val="24"/>
          <w:szCs w:val="24"/>
        </w:rPr>
        <w:t>va</w:t>
      </w:r>
      <w:r w:rsidR="00CD354E">
        <w:rPr>
          <w:rFonts w:ascii="Times New Roman" w:hAnsi="Times New Roman"/>
          <w:sz w:val="24"/>
          <w:szCs w:val="24"/>
        </w:rPr>
        <w:t xml:space="preserve">, costumeiramente, premissas, temas e objetos de análises tratados na(s) anterior(es). Nesses casos, remeteremos ao sentido e ao conteúdo mais amplo daquilo </w:t>
      </w:r>
      <w:r w:rsidR="0015084E">
        <w:rPr>
          <w:rFonts w:ascii="Times New Roman" w:hAnsi="Times New Roman"/>
          <w:sz w:val="24"/>
          <w:szCs w:val="24"/>
        </w:rPr>
        <w:t>que o conjunto das Cartas propunha</w:t>
      </w:r>
      <w:r w:rsidR="00CD354E">
        <w:rPr>
          <w:rFonts w:ascii="Times New Roman" w:hAnsi="Times New Roman"/>
          <w:sz w:val="24"/>
          <w:szCs w:val="24"/>
        </w:rPr>
        <w:t>, inserindo as proposições que julgamos importantes e originais.</w:t>
      </w:r>
    </w:p>
    <w:p w:rsidR="00CD354E"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 xml:space="preserve">A 2ª Carta de Concertação, </w:t>
      </w:r>
      <w:r>
        <w:rPr>
          <w:rFonts w:ascii="Times New Roman" w:hAnsi="Times New Roman"/>
          <w:i/>
          <w:sz w:val="24"/>
          <w:szCs w:val="24"/>
        </w:rPr>
        <w:t xml:space="preserve">Ação pelo Progresso e Inclusão </w:t>
      </w:r>
      <w:r w:rsidRPr="000714C7">
        <w:rPr>
          <w:rFonts w:ascii="Times New Roman" w:hAnsi="Times New Roman"/>
          <w:i/>
          <w:sz w:val="24"/>
          <w:szCs w:val="24"/>
        </w:rPr>
        <w:t>Social</w:t>
      </w:r>
      <w:r>
        <w:rPr>
          <w:rFonts w:ascii="Times New Roman" w:hAnsi="Times New Roman"/>
          <w:i/>
          <w:sz w:val="24"/>
          <w:szCs w:val="24"/>
        </w:rPr>
        <w:t xml:space="preserve">, </w:t>
      </w:r>
      <w:r>
        <w:rPr>
          <w:rFonts w:ascii="Times New Roman" w:hAnsi="Times New Roman"/>
          <w:sz w:val="24"/>
          <w:szCs w:val="24"/>
        </w:rPr>
        <w:t xml:space="preserve">de 10 de abril de 2003, elencou “pontos de unidade estratégica” da concepção de “contrualidade social renovada” que inspiravam o governo. Inequivocamente eram pontos tidos como balizadores e recorrentes nos documentos, discussões e pautas travadas no Conselho sobre as estratégias e diretrizes para promoção do desenvolvimento. Os “pontos de unidade” eram amplos o suficiente </w:t>
      </w:r>
      <w:r w:rsidR="0015084E">
        <w:rPr>
          <w:rFonts w:ascii="Times New Roman" w:hAnsi="Times New Roman"/>
          <w:sz w:val="24"/>
          <w:szCs w:val="24"/>
        </w:rPr>
        <w:t xml:space="preserve">para </w:t>
      </w:r>
      <w:r>
        <w:rPr>
          <w:rFonts w:ascii="Times New Roman" w:hAnsi="Times New Roman"/>
          <w:sz w:val="24"/>
          <w:szCs w:val="24"/>
        </w:rPr>
        <w:t xml:space="preserve">absorverem demandas dos segmentos sociais representados, inclusive a própria SEDES. </w:t>
      </w:r>
    </w:p>
    <w:p w:rsidR="00CD354E" w:rsidRPr="00943387"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De acordo com Costa, ao comparar as versões desta Carta, houve “gradual inclusão de interesses privados setoriais no plano dos objetivos do governo”.</w:t>
      </w:r>
      <w:r>
        <w:rPr>
          <w:rStyle w:val="Refdenotaderodap"/>
          <w:rFonts w:ascii="Times New Roman" w:hAnsi="Times New Roman"/>
          <w:sz w:val="24"/>
          <w:szCs w:val="24"/>
        </w:rPr>
        <w:footnoteReference w:id="389"/>
      </w:r>
      <w:r>
        <w:rPr>
          <w:rFonts w:ascii="Times New Roman" w:hAnsi="Times New Roman"/>
          <w:sz w:val="24"/>
          <w:szCs w:val="24"/>
        </w:rPr>
        <w:t xml:space="preserve"> Eis os pontos expostos de forma concisa: a) </w:t>
      </w:r>
      <w:r w:rsidRPr="00D07732">
        <w:rPr>
          <w:rFonts w:ascii="Times New Roman" w:hAnsi="Times New Roman"/>
          <w:i/>
          <w:sz w:val="24"/>
          <w:szCs w:val="24"/>
        </w:rPr>
        <w:t>reformas como condição para o crescimento</w:t>
      </w:r>
      <w:r>
        <w:rPr>
          <w:rFonts w:ascii="Times New Roman" w:hAnsi="Times New Roman"/>
          <w:sz w:val="24"/>
          <w:szCs w:val="24"/>
        </w:rPr>
        <w:t xml:space="preserve"> da economia, preservação da estabilidade fiscal do Estado, estímulo à formação de poupança e elevação da produtividade; b) políticas econômicas devem </w:t>
      </w:r>
      <w:r w:rsidRPr="00943387">
        <w:rPr>
          <w:rFonts w:ascii="Times New Roman" w:hAnsi="Times New Roman"/>
          <w:i/>
          <w:sz w:val="24"/>
          <w:szCs w:val="24"/>
        </w:rPr>
        <w:t>recoesionar a sociedade</w:t>
      </w:r>
      <w:r>
        <w:rPr>
          <w:rFonts w:ascii="Times New Roman" w:hAnsi="Times New Roman"/>
          <w:sz w:val="24"/>
          <w:szCs w:val="24"/>
        </w:rPr>
        <w:t xml:space="preserve">, reduzir a exclusão e o desemprego e incentivar a </w:t>
      </w:r>
      <w:r w:rsidRPr="00943387">
        <w:rPr>
          <w:rFonts w:ascii="Times New Roman" w:hAnsi="Times New Roman"/>
          <w:i/>
          <w:sz w:val="24"/>
          <w:szCs w:val="24"/>
        </w:rPr>
        <w:t>cooperação e parceria entre trabalhadores e empresários</w:t>
      </w:r>
      <w:r>
        <w:rPr>
          <w:rFonts w:ascii="Times New Roman" w:hAnsi="Times New Roman"/>
          <w:sz w:val="24"/>
          <w:szCs w:val="24"/>
        </w:rPr>
        <w:t xml:space="preserve">; c) </w:t>
      </w:r>
      <w:r w:rsidRPr="00943387">
        <w:rPr>
          <w:rFonts w:ascii="Times New Roman" w:hAnsi="Times New Roman"/>
          <w:i/>
          <w:sz w:val="24"/>
          <w:szCs w:val="24"/>
        </w:rPr>
        <w:t>o sistema financeiro deve ser agente da produção e do desenvolvimento</w:t>
      </w:r>
      <w:r>
        <w:rPr>
          <w:rFonts w:ascii="Times New Roman" w:hAnsi="Times New Roman"/>
          <w:sz w:val="24"/>
          <w:szCs w:val="24"/>
        </w:rPr>
        <w:t>;</w:t>
      </w:r>
      <w:r>
        <w:rPr>
          <w:rStyle w:val="Refdenotaderodap"/>
          <w:rFonts w:ascii="Times New Roman" w:hAnsi="Times New Roman"/>
          <w:sz w:val="24"/>
          <w:szCs w:val="24"/>
        </w:rPr>
        <w:footnoteReference w:id="390"/>
      </w:r>
      <w:r>
        <w:rPr>
          <w:rFonts w:ascii="Times New Roman" w:hAnsi="Times New Roman"/>
          <w:sz w:val="24"/>
          <w:szCs w:val="24"/>
        </w:rPr>
        <w:t xml:space="preserve"> d) </w:t>
      </w:r>
      <w:r w:rsidRPr="00943387">
        <w:rPr>
          <w:rFonts w:ascii="Times New Roman" w:hAnsi="Times New Roman"/>
          <w:i/>
          <w:sz w:val="24"/>
          <w:szCs w:val="24"/>
        </w:rPr>
        <w:t>impulso às exportações</w:t>
      </w:r>
      <w:r>
        <w:rPr>
          <w:rFonts w:ascii="Times New Roman" w:hAnsi="Times New Roman"/>
          <w:sz w:val="24"/>
          <w:szCs w:val="24"/>
        </w:rPr>
        <w:t xml:space="preserve"> como forma de retomada do crescimento e do emprego; e) política industrial que fortaleça o consumo interno e </w:t>
      </w:r>
      <w:r>
        <w:rPr>
          <w:rFonts w:ascii="Times New Roman" w:hAnsi="Times New Roman"/>
          <w:i/>
          <w:sz w:val="24"/>
          <w:szCs w:val="24"/>
        </w:rPr>
        <w:t>induza o surgimento de fortes empresas de expressão multinacional</w:t>
      </w:r>
      <w:r>
        <w:rPr>
          <w:rFonts w:ascii="Times New Roman" w:hAnsi="Times New Roman"/>
          <w:sz w:val="24"/>
          <w:szCs w:val="24"/>
        </w:rPr>
        <w:t>; f) empresas públicas precisam de uma política de gestão que vise a eficiência e a produtividade; g) respeito ao meio ambiente; h) democratização da propriedade da terra, através de uma planejada Reforma Agrária</w:t>
      </w:r>
      <w:r>
        <w:rPr>
          <w:rStyle w:val="Refdenotaderodap"/>
          <w:rFonts w:ascii="Times New Roman" w:hAnsi="Times New Roman"/>
          <w:sz w:val="24"/>
          <w:szCs w:val="24"/>
        </w:rPr>
        <w:footnoteReference w:id="391"/>
      </w:r>
      <w:r>
        <w:rPr>
          <w:rFonts w:ascii="Times New Roman" w:hAnsi="Times New Roman"/>
          <w:sz w:val="24"/>
          <w:szCs w:val="24"/>
        </w:rPr>
        <w:t xml:space="preserve"> e fortalecimento da Agricultura Familiar; i) recuperar a educação pública para o exercício da cidadania e para o trabalho.</w:t>
      </w:r>
      <w:r>
        <w:rPr>
          <w:rStyle w:val="Refdenotaderodap"/>
          <w:rFonts w:ascii="Times New Roman" w:hAnsi="Times New Roman"/>
          <w:sz w:val="24"/>
          <w:szCs w:val="24"/>
        </w:rPr>
        <w:footnoteReference w:id="392"/>
      </w:r>
    </w:p>
    <w:p w:rsidR="00CD354E" w:rsidRDefault="00CD354E" w:rsidP="00CD354E">
      <w:pPr>
        <w:spacing w:line="360" w:lineRule="auto"/>
        <w:jc w:val="both"/>
        <w:rPr>
          <w:rFonts w:ascii="Times New Roman" w:hAnsi="Times New Roman"/>
          <w:sz w:val="24"/>
          <w:szCs w:val="24"/>
        </w:rPr>
      </w:pPr>
      <w:r>
        <w:rPr>
          <w:rFonts w:ascii="Times New Roman" w:hAnsi="Times New Roman"/>
          <w:sz w:val="24"/>
          <w:szCs w:val="24"/>
        </w:rPr>
        <w:tab/>
        <w:t xml:space="preserve">A 3ª Carta de Concertação, </w:t>
      </w:r>
      <w:r>
        <w:rPr>
          <w:rFonts w:ascii="Times New Roman" w:hAnsi="Times New Roman"/>
          <w:i/>
          <w:sz w:val="24"/>
          <w:szCs w:val="24"/>
        </w:rPr>
        <w:t>Fundamentos para um Novo Contrato Social,</w:t>
      </w:r>
      <w:r>
        <w:rPr>
          <w:rFonts w:ascii="Times New Roman" w:hAnsi="Times New Roman"/>
          <w:sz w:val="24"/>
          <w:szCs w:val="24"/>
        </w:rPr>
        <w:t xml:space="preserve"> aprovada em 12 de junho de 2003, foi um libelo a favor dos rumos tomados pela política econômica, expressando firme posição do governo em relação às críticas manifestadas por muitos conselheiros. Ressaltava que a formulação responsável de um novo projeto nacional seria acompanhada de um compromisso de “firmar uma renovada autoridade sobre a política econômica, sem deflagrar um processo de ruptura e em consonância com os mercados e com a estabilidade”.</w:t>
      </w:r>
      <w:r>
        <w:rPr>
          <w:rStyle w:val="Refdenotaderodap"/>
          <w:rFonts w:ascii="Times New Roman" w:hAnsi="Times New Roman"/>
          <w:sz w:val="24"/>
          <w:szCs w:val="24"/>
        </w:rPr>
        <w:footnoteReference w:id="393"/>
      </w:r>
      <w:r>
        <w:rPr>
          <w:rFonts w:ascii="Times New Roman" w:hAnsi="Times New Roman"/>
          <w:sz w:val="24"/>
          <w:szCs w:val="24"/>
        </w:rPr>
        <w:t xml:space="preserve"> Parecia, de fato, ser um prolongamento da </w:t>
      </w:r>
      <w:r>
        <w:rPr>
          <w:rFonts w:ascii="Times New Roman" w:hAnsi="Times New Roman"/>
          <w:i/>
          <w:sz w:val="24"/>
          <w:szCs w:val="24"/>
        </w:rPr>
        <w:t xml:space="preserve">Carta ao Povo Brasileiro </w:t>
      </w:r>
      <w:r>
        <w:rPr>
          <w:rFonts w:ascii="Times New Roman" w:hAnsi="Times New Roman"/>
          <w:sz w:val="24"/>
          <w:szCs w:val="24"/>
        </w:rPr>
        <w:t>ao afirmar que a “atual política econômica (...) vem ganhando confiança e criando um clima mais favorável junto aos mercados financeiros, o que se reflete inclusive na redução do risco país”</w:t>
      </w:r>
      <w:r w:rsidR="0015084E">
        <w:rPr>
          <w:rStyle w:val="Refdenotaderodap"/>
          <w:rFonts w:ascii="Times New Roman" w:hAnsi="Times New Roman"/>
          <w:sz w:val="24"/>
          <w:szCs w:val="24"/>
        </w:rPr>
        <w:footnoteReference w:id="394"/>
      </w:r>
      <w:r>
        <w:rPr>
          <w:rFonts w:ascii="Times New Roman" w:hAnsi="Times New Roman"/>
          <w:sz w:val="24"/>
          <w:szCs w:val="24"/>
        </w:rPr>
        <w:t xml:space="preserve"> para, em seguida, sustentar ser “necessário que o governe crie um clima de confiança e aprove as reformas estruturais requeridas pelo equilíbrio fiscal do país, com o objetivo de retomar o crescimento econômico com sentido social”.</w:t>
      </w:r>
      <w:r>
        <w:rPr>
          <w:rStyle w:val="Refdenotaderodap"/>
          <w:rFonts w:ascii="Times New Roman" w:hAnsi="Times New Roman"/>
          <w:sz w:val="24"/>
          <w:szCs w:val="24"/>
        </w:rPr>
        <w:footnoteReference w:id="395"/>
      </w:r>
      <w:r>
        <w:rPr>
          <w:rFonts w:ascii="Times New Roman" w:hAnsi="Times New Roman"/>
          <w:sz w:val="24"/>
          <w:szCs w:val="24"/>
        </w:rPr>
        <w:t xml:space="preserve"> A Carta traz ainda a importância de “maior autonomia do governo em relação à política econômica, permitindo um papel mais ativo aos seus formuladores”</w:t>
      </w:r>
      <w:r>
        <w:rPr>
          <w:rStyle w:val="Refdenotaderodap"/>
          <w:rFonts w:ascii="Times New Roman" w:hAnsi="Times New Roman"/>
          <w:sz w:val="24"/>
          <w:szCs w:val="24"/>
        </w:rPr>
        <w:footnoteReference w:id="396"/>
      </w:r>
      <w:r>
        <w:rPr>
          <w:rFonts w:ascii="Times New Roman" w:hAnsi="Times New Roman"/>
          <w:sz w:val="24"/>
          <w:szCs w:val="24"/>
        </w:rPr>
        <w:t xml:space="preserve"> e faz questão de lembrar o papel e o lugar do CDES, num momento de reação da SEDES:</w:t>
      </w:r>
    </w:p>
    <w:p w:rsidR="00CD354E" w:rsidRPr="00FE3FA8" w:rsidRDefault="00CD354E" w:rsidP="00CD354E">
      <w:pPr>
        <w:spacing w:line="240" w:lineRule="auto"/>
        <w:ind w:left="2268"/>
        <w:jc w:val="both"/>
        <w:rPr>
          <w:rFonts w:ascii="Times New Roman" w:hAnsi="Times New Roman"/>
          <w:sz w:val="20"/>
          <w:szCs w:val="20"/>
        </w:rPr>
      </w:pPr>
      <w:r w:rsidRPr="00FE3FA8">
        <w:rPr>
          <w:rFonts w:ascii="Times New Roman" w:hAnsi="Times New Roman"/>
          <w:sz w:val="20"/>
          <w:szCs w:val="20"/>
        </w:rPr>
        <w:t xml:space="preserve">A tarefa do Conselho de Desenvolvimento Econômico e Social, marco político de proposição de um novo contrato social, não chega ser nem formular plano de governo, </w:t>
      </w:r>
      <w:r w:rsidRPr="00990876">
        <w:rPr>
          <w:rFonts w:ascii="Times New Roman" w:hAnsi="Times New Roman"/>
          <w:b/>
          <w:sz w:val="20"/>
          <w:szCs w:val="20"/>
        </w:rPr>
        <w:t>nem propor políticas econômicas</w:t>
      </w:r>
      <w:r w:rsidRPr="00FE3FA8">
        <w:rPr>
          <w:rFonts w:ascii="Times New Roman" w:hAnsi="Times New Roman"/>
          <w:sz w:val="20"/>
          <w:szCs w:val="20"/>
        </w:rPr>
        <w:t>, mas oferecer os pontos de convergência de interesses que permitam o acordo político para a sustentabilidade do crescimento, do</w:t>
      </w:r>
      <w:r>
        <w:rPr>
          <w:rFonts w:ascii="Times New Roman" w:hAnsi="Times New Roman"/>
          <w:sz w:val="20"/>
          <w:szCs w:val="20"/>
        </w:rPr>
        <w:t xml:space="preserve"> emprego e da inclusão</w:t>
      </w:r>
      <w:r w:rsidRPr="00FE3FA8">
        <w:rPr>
          <w:rFonts w:ascii="Times New Roman" w:hAnsi="Times New Roman"/>
          <w:sz w:val="20"/>
          <w:szCs w:val="20"/>
        </w:rPr>
        <w:t>.</w:t>
      </w:r>
      <w:r>
        <w:rPr>
          <w:rStyle w:val="Refdenotaderodap"/>
          <w:rFonts w:ascii="Times New Roman" w:hAnsi="Times New Roman"/>
          <w:sz w:val="20"/>
          <w:szCs w:val="20"/>
        </w:rPr>
        <w:footnoteReference w:id="397"/>
      </w:r>
    </w:p>
    <w:p w:rsidR="00CD354E" w:rsidRDefault="00CD354E" w:rsidP="00CD354E">
      <w:pPr>
        <w:spacing w:after="0" w:line="360" w:lineRule="auto"/>
        <w:jc w:val="both"/>
        <w:rPr>
          <w:rFonts w:ascii="Times New Roman" w:hAnsi="Times New Roman"/>
          <w:sz w:val="24"/>
          <w:szCs w:val="24"/>
        </w:rPr>
      </w:pPr>
      <w:r>
        <w:rPr>
          <w:rFonts w:ascii="Times New Roman" w:hAnsi="Times New Roman"/>
          <w:sz w:val="24"/>
          <w:szCs w:val="24"/>
        </w:rPr>
        <w:tab/>
        <w:t xml:space="preserve">Estabelecido o inegociável (manutenção da austeridade da política econômica e implementação de </w:t>
      </w:r>
      <w:r w:rsidR="0015084E">
        <w:rPr>
          <w:rFonts w:ascii="Times New Roman" w:hAnsi="Times New Roman"/>
          <w:sz w:val="24"/>
          <w:szCs w:val="24"/>
        </w:rPr>
        <w:t>contrar</w:t>
      </w:r>
      <w:r>
        <w:rPr>
          <w:rFonts w:ascii="Times New Roman" w:hAnsi="Times New Roman"/>
          <w:sz w:val="24"/>
          <w:szCs w:val="24"/>
        </w:rPr>
        <w:t>reformas estruturais), era preciso atender os diversos interesses presentes, enunciando plataformas amplas o bastante para não causar desgastes, ao mesmo tempo claramente voltadas à satisfação de grandes grupos empresariais: a) o Estado deve promover o equilíbrio entre o livre mercado e o intervencionismo; b) a política externa deve ser capaz de fortalecer o mercado interno e impulsionar a criação e consolidação de grupos econômicos privados e empresas de interesse público com capacidade de disputar globalmente; c) a noção de crescimento deve estar acompanhada de políticas de inclusão social, de geração de emprego e renda e desinformalização, de fortalecimento da pequena e média empresa; d) fortalecer os sistemas produtivos locais, de modo a minimizar os riscos e maximizar as potencialidades para o capital empreendedor.</w:t>
      </w:r>
      <w:r>
        <w:rPr>
          <w:rStyle w:val="Refdenotaderodap"/>
          <w:rFonts w:ascii="Times New Roman" w:hAnsi="Times New Roman"/>
          <w:sz w:val="24"/>
          <w:szCs w:val="24"/>
        </w:rPr>
        <w:footnoteReference w:id="398"/>
      </w:r>
    </w:p>
    <w:p w:rsidR="00CD354E" w:rsidRDefault="00CD354E" w:rsidP="00CD354E">
      <w:pPr>
        <w:spacing w:after="0" w:line="360" w:lineRule="auto"/>
        <w:jc w:val="both"/>
        <w:rPr>
          <w:rFonts w:ascii="Times New Roman" w:hAnsi="Times New Roman"/>
          <w:sz w:val="24"/>
          <w:szCs w:val="24"/>
        </w:rPr>
      </w:pPr>
      <w:r>
        <w:rPr>
          <w:rFonts w:ascii="Times New Roman" w:hAnsi="Times New Roman"/>
          <w:sz w:val="24"/>
          <w:szCs w:val="24"/>
        </w:rPr>
        <w:tab/>
        <w:t xml:space="preserve">Além destas prerrogativas, para a retomada do crescimento, sempre ao lado da implantação das </w:t>
      </w:r>
      <w:r w:rsidR="0015084E">
        <w:rPr>
          <w:rFonts w:ascii="Times New Roman" w:hAnsi="Times New Roman"/>
          <w:sz w:val="24"/>
          <w:szCs w:val="24"/>
        </w:rPr>
        <w:t>contrar</w:t>
      </w:r>
      <w:r>
        <w:rPr>
          <w:rFonts w:ascii="Times New Roman" w:hAnsi="Times New Roman"/>
          <w:sz w:val="24"/>
          <w:szCs w:val="24"/>
        </w:rPr>
        <w:t>reformas estruturais, seria imprescindível a baixa inflação, a redução da relação dívida/PIB e a eliminação da vulnerabilidade externa, sem a qual se tornaria inviável o financiamento do desenvolvimento “através do efetivo ingresso de recursos externos e do aumento das exportações”.</w:t>
      </w:r>
      <w:r>
        <w:rPr>
          <w:rStyle w:val="Refdenotaderodap"/>
          <w:rFonts w:ascii="Times New Roman" w:hAnsi="Times New Roman"/>
          <w:sz w:val="24"/>
          <w:szCs w:val="24"/>
        </w:rPr>
        <w:footnoteReference w:id="399"/>
      </w:r>
      <w:r>
        <w:rPr>
          <w:rFonts w:ascii="Times New Roman" w:hAnsi="Times New Roman"/>
          <w:sz w:val="24"/>
          <w:szCs w:val="24"/>
        </w:rPr>
        <w:t xml:space="preserve"> Nesse sentido, a Carta direcionava a política industrial para “setores competitivos, (...) nos segmentos chave para o desenvolvimento da economia, pois o planejamento estratégico do país passa necessariamente pela redução do grau de dependência do setor externo (...)”.</w:t>
      </w:r>
      <w:r>
        <w:rPr>
          <w:rStyle w:val="Refdenotaderodap"/>
          <w:rFonts w:ascii="Times New Roman" w:hAnsi="Times New Roman"/>
          <w:sz w:val="24"/>
          <w:szCs w:val="24"/>
        </w:rPr>
        <w:footnoteReference w:id="400"/>
      </w:r>
      <w:r>
        <w:rPr>
          <w:rFonts w:ascii="Times New Roman" w:hAnsi="Times New Roman"/>
          <w:sz w:val="24"/>
          <w:szCs w:val="24"/>
        </w:rPr>
        <w:t xml:space="preserve"> Diante disso, o documento reconhecia a “ação do governo no sentido de direcionar a economia para a produção”, “promover a substituição de importações” e orientar fortemente a política econômica “para os setores de infraestrutura e bens de capital, no sentido de garantir as bases do crescimento e evitar problemas de oferta que possam afetar a estabilidade dos preços”.</w:t>
      </w:r>
      <w:r>
        <w:rPr>
          <w:rStyle w:val="Refdenotaderodap"/>
          <w:rFonts w:ascii="Times New Roman" w:hAnsi="Times New Roman"/>
          <w:sz w:val="24"/>
          <w:szCs w:val="24"/>
        </w:rPr>
        <w:footnoteReference w:id="401"/>
      </w:r>
    </w:p>
    <w:p w:rsidR="00CD354E"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O crédito direcionado dos recursos do BNDES para “impulsionar o financiamento produtivo para os setores estratégicos”, da Caixa Econômica Federal para as “áreas de crédito facilitado ao consumidor, habitação, saneamento e infraestrutura, alavancando a construção civil e promovendo a melhoria imediata das condições de vida”, e o microcrédito para micro e pequenas empresas e cooperativas, também figurariam entre os instrumentos de política econômica, exigindo, como recursos reembolsáveis, “retorno econômico ou social mínimo”.</w:t>
      </w:r>
      <w:r>
        <w:rPr>
          <w:rStyle w:val="Refdenotaderodap"/>
          <w:rFonts w:ascii="Times New Roman" w:hAnsi="Times New Roman"/>
          <w:sz w:val="24"/>
          <w:szCs w:val="24"/>
        </w:rPr>
        <w:footnoteReference w:id="402"/>
      </w:r>
    </w:p>
    <w:p w:rsidR="00CD354E" w:rsidRDefault="00CD354E" w:rsidP="00CD354E">
      <w:pPr>
        <w:spacing w:after="0" w:line="360" w:lineRule="auto"/>
        <w:jc w:val="both"/>
        <w:rPr>
          <w:rFonts w:ascii="Times New Roman" w:hAnsi="Times New Roman"/>
          <w:sz w:val="24"/>
          <w:szCs w:val="24"/>
        </w:rPr>
      </w:pPr>
      <w:r>
        <w:rPr>
          <w:rFonts w:ascii="Times New Roman" w:hAnsi="Times New Roman"/>
          <w:sz w:val="24"/>
          <w:szCs w:val="24"/>
        </w:rPr>
        <w:tab/>
        <w:t>O reconhecimento da ampliação do “controle público” do Estado pelas instituições da sociedade civil estaria dentre os fundamentos para “um projeto estratégico do país”. Isto se efetivaria através da “multiplicação, da racionalização e da integração de conselhos, fóruns e comissões de monitoramento, fiscalização, indução e consulta”. O documento assevera que “tais instituições de caráter público não estatal são instrumentos de aprofundamento e inovação democrática (...)”.</w:t>
      </w:r>
      <w:r>
        <w:rPr>
          <w:rStyle w:val="Refdenotaderodap"/>
          <w:rFonts w:ascii="Times New Roman" w:hAnsi="Times New Roman"/>
          <w:sz w:val="24"/>
          <w:szCs w:val="24"/>
        </w:rPr>
        <w:footnoteReference w:id="403"/>
      </w:r>
      <w:r>
        <w:rPr>
          <w:rFonts w:ascii="Times New Roman" w:hAnsi="Times New Roman"/>
          <w:sz w:val="24"/>
          <w:szCs w:val="24"/>
        </w:rPr>
        <w:t xml:space="preserve"> Esse tema foi retomado apenas em 2006, após a crise do mensalão, quando o Conselho começou a travar um debate acerca da reforma política que, no fundo, para alguns conselheiros, significava uma reforma do próprio Estado, via “radicalização da democracia”.</w:t>
      </w:r>
    </w:p>
    <w:p w:rsidR="00CD354E" w:rsidRDefault="00CD354E" w:rsidP="00CD354E">
      <w:pPr>
        <w:spacing w:after="0" w:line="360" w:lineRule="auto"/>
        <w:jc w:val="both"/>
        <w:rPr>
          <w:rFonts w:ascii="Times New Roman" w:hAnsi="Times New Roman"/>
          <w:sz w:val="24"/>
          <w:szCs w:val="24"/>
        </w:rPr>
      </w:pPr>
      <w:r>
        <w:rPr>
          <w:rFonts w:ascii="Times New Roman" w:hAnsi="Times New Roman"/>
          <w:sz w:val="24"/>
          <w:szCs w:val="24"/>
        </w:rPr>
        <w:tab/>
        <w:t xml:space="preserve">Uma vaga ideia de desenvolvimento sustentável foi expressa na 4ª Carta de Concertação, de 4 de setembro de 2003, intitulada </w:t>
      </w:r>
      <w:r>
        <w:rPr>
          <w:rFonts w:ascii="Times New Roman" w:hAnsi="Times New Roman"/>
          <w:i/>
          <w:sz w:val="24"/>
          <w:szCs w:val="24"/>
        </w:rPr>
        <w:t>O Desafio da Transição e o Papel da Sociedade – a Retomada do Crescimento</w:t>
      </w:r>
      <w:r>
        <w:rPr>
          <w:rFonts w:ascii="Times New Roman" w:hAnsi="Times New Roman"/>
          <w:sz w:val="24"/>
          <w:szCs w:val="24"/>
        </w:rPr>
        <w:t xml:space="preserve">. Consta na publicação que “o país quer mudança com segurança, previsibilidade, solidez e durabilidade”. Mesmo assinalando que “alguns efeitos colaterais” oriundas de “medidas fortes” adotadas pelo governo “deixam a sociedade apreensiva ou impaciente”, o documento revela que “o Conselho propõe que sejam tomadas </w:t>
      </w:r>
      <w:r>
        <w:rPr>
          <w:rFonts w:ascii="Times New Roman" w:hAnsi="Times New Roman"/>
          <w:i/>
          <w:sz w:val="24"/>
          <w:szCs w:val="24"/>
        </w:rPr>
        <w:t>medidas imediatas</w:t>
      </w:r>
      <w:r>
        <w:rPr>
          <w:rFonts w:ascii="Times New Roman" w:hAnsi="Times New Roman"/>
          <w:sz w:val="24"/>
          <w:szCs w:val="24"/>
        </w:rPr>
        <w:t xml:space="preserve"> que avancem na transição para um novo eixo de política econômica (...)”.</w:t>
      </w:r>
      <w:r>
        <w:rPr>
          <w:rStyle w:val="Refdenotaderodap"/>
          <w:rFonts w:ascii="Times New Roman" w:hAnsi="Times New Roman"/>
          <w:sz w:val="24"/>
          <w:szCs w:val="24"/>
        </w:rPr>
        <w:footnoteReference w:id="404"/>
      </w:r>
      <w:r>
        <w:rPr>
          <w:rFonts w:ascii="Times New Roman" w:hAnsi="Times New Roman"/>
          <w:sz w:val="24"/>
          <w:szCs w:val="24"/>
        </w:rPr>
        <w:t xml:space="preserve">  Tal ambiguidade no texto resultava, provavelmente, de posições as quais a SEDES tentava assegurar um ambiente de legitimação das opções tomadas pelo governo na área econômica por um lado, e por outro do volume acumulado de críticas dos conselheiros (mas não apenas deles) em relação à política de austeridade econômica levada a cabo pela equipe econômica dirigida por Palocci.</w:t>
      </w:r>
    </w:p>
    <w:p w:rsidR="00CD354E" w:rsidRDefault="00CD354E" w:rsidP="00CD354E">
      <w:pPr>
        <w:spacing w:after="0" w:line="360" w:lineRule="auto"/>
        <w:jc w:val="both"/>
        <w:rPr>
          <w:rFonts w:ascii="Times New Roman" w:hAnsi="Times New Roman"/>
          <w:sz w:val="24"/>
          <w:szCs w:val="24"/>
        </w:rPr>
      </w:pPr>
      <w:r>
        <w:rPr>
          <w:rFonts w:ascii="Times New Roman" w:hAnsi="Times New Roman"/>
          <w:sz w:val="24"/>
          <w:szCs w:val="24"/>
        </w:rPr>
        <w:tab/>
        <w:t xml:space="preserve">A 5ª Carta de Concertação introduz o tema da “parceria entre o Estado e a iniciativa privada”. A SEDES sacramentava o alargamento do sentido comumente dado ao termo “parceria”, já que esta “não mais se concretiza </w:t>
      </w:r>
      <w:r>
        <w:rPr>
          <w:rFonts w:ascii="Times New Roman" w:hAnsi="Times New Roman"/>
          <w:i/>
          <w:sz w:val="24"/>
          <w:szCs w:val="24"/>
        </w:rPr>
        <w:t xml:space="preserve">somente </w:t>
      </w:r>
      <w:r>
        <w:rPr>
          <w:rFonts w:ascii="Times New Roman" w:hAnsi="Times New Roman"/>
          <w:sz w:val="24"/>
          <w:szCs w:val="24"/>
        </w:rPr>
        <w:t>sob a forma da aplicação de tributos recolhidos para oferecer ao capital trabalhadores bem treinados, um ambiente urbano seguro e civilizado (...)”</w:t>
      </w:r>
      <w:r>
        <w:rPr>
          <w:rStyle w:val="Refdenotaderodap"/>
          <w:rFonts w:ascii="Times New Roman" w:hAnsi="Times New Roman"/>
          <w:sz w:val="24"/>
          <w:szCs w:val="24"/>
        </w:rPr>
        <w:footnoteReference w:id="405"/>
      </w:r>
      <w:r>
        <w:rPr>
          <w:rFonts w:ascii="Times New Roman" w:hAnsi="Times New Roman"/>
          <w:sz w:val="24"/>
          <w:szCs w:val="24"/>
        </w:rPr>
        <w:t xml:space="preserve"> em clara alusão ao Sistema S. Tratava-se de “formar uma nova parceria, sem que o Estado se aliene das tarefas públicas” e que exigia uma “responsabilidade conjunta entre governo e as empresas”, nas áreas que requerem investimentos na produção, infraestrutura ou sociais.</w:t>
      </w:r>
    </w:p>
    <w:p w:rsidR="00CD354E" w:rsidRDefault="00CD354E" w:rsidP="00CD354E">
      <w:pPr>
        <w:spacing w:line="360" w:lineRule="auto"/>
        <w:ind w:firstLine="708"/>
        <w:jc w:val="both"/>
        <w:rPr>
          <w:rFonts w:ascii="Times New Roman" w:hAnsi="Times New Roman"/>
          <w:sz w:val="24"/>
          <w:szCs w:val="24"/>
        </w:rPr>
      </w:pPr>
      <w:r>
        <w:rPr>
          <w:rFonts w:ascii="Times New Roman" w:hAnsi="Times New Roman"/>
          <w:sz w:val="24"/>
          <w:szCs w:val="24"/>
        </w:rPr>
        <w:t>De um lado, o documento ressalta que o advento e a viabilidade das Parcerias Público Privadas (PPPs) tenderiam, a partir da ação do Estado, a “restringir os riscos dos investimentos de mais longo prazo”, “recuperando a capacidade de investimento, bem como o papel de financiamento do Estado”. De outro lado, é claro o chamamento dos empresários a investirem nas políticas públicas e de “responsabilidade social”: “os investidores devem assumir parcelas de responsabilidade que antes cabiam quase inteiramente ao Estado”,</w:t>
      </w:r>
      <w:r>
        <w:rPr>
          <w:rStyle w:val="Refdenotaderodap"/>
          <w:rFonts w:ascii="Times New Roman" w:hAnsi="Times New Roman"/>
          <w:sz w:val="24"/>
          <w:szCs w:val="24"/>
        </w:rPr>
        <w:footnoteReference w:id="406"/>
      </w:r>
      <w:r>
        <w:rPr>
          <w:rFonts w:ascii="Times New Roman" w:hAnsi="Times New Roman"/>
          <w:sz w:val="24"/>
          <w:szCs w:val="24"/>
        </w:rPr>
        <w:t xml:space="preserve"> sob a justificativa de que “desses dispêndios, a empresa retira elevados dividendos, que vão desde incrementos na produtividade até a consolidação de marca e imagem, que servem para conquistar mercados”.</w:t>
      </w:r>
      <w:r>
        <w:rPr>
          <w:rStyle w:val="Refdenotaderodap"/>
          <w:rFonts w:ascii="Times New Roman" w:hAnsi="Times New Roman"/>
          <w:sz w:val="24"/>
          <w:szCs w:val="24"/>
        </w:rPr>
        <w:footnoteReference w:id="407"/>
      </w:r>
      <w:r>
        <w:rPr>
          <w:rFonts w:ascii="Times New Roman" w:hAnsi="Times New Roman"/>
          <w:sz w:val="24"/>
          <w:szCs w:val="24"/>
        </w:rPr>
        <w:t xml:space="preserve"> Ao</w:t>
      </w:r>
      <w:r w:rsidR="0015084E">
        <w:rPr>
          <w:rFonts w:ascii="Times New Roman" w:hAnsi="Times New Roman"/>
          <w:sz w:val="24"/>
          <w:szCs w:val="24"/>
        </w:rPr>
        <w:t>s sindicatos também se estendia</w:t>
      </w:r>
      <w:r>
        <w:rPr>
          <w:rFonts w:ascii="Times New Roman" w:hAnsi="Times New Roman"/>
          <w:sz w:val="24"/>
          <w:szCs w:val="24"/>
        </w:rPr>
        <w:t xml:space="preserve"> a tarefa de “acolher e conduzir novas demandas sociais” atendendo as “multidões excluídas”. Os argumentos utilizados pela Carta para que capitalistas e lideranças sindicais voltassem sua atenção ao trato da “questão social” eram expostos da seguinte maneira: </w:t>
      </w:r>
    </w:p>
    <w:p w:rsidR="00CD354E" w:rsidRPr="00EC62CA" w:rsidRDefault="00CD354E" w:rsidP="00CD354E">
      <w:pPr>
        <w:spacing w:line="240" w:lineRule="auto"/>
        <w:ind w:left="2268"/>
        <w:jc w:val="both"/>
        <w:rPr>
          <w:rFonts w:ascii="Times New Roman" w:hAnsi="Times New Roman"/>
          <w:sz w:val="20"/>
          <w:szCs w:val="20"/>
        </w:rPr>
      </w:pPr>
      <w:r w:rsidRPr="00EC62CA">
        <w:rPr>
          <w:rFonts w:ascii="Times New Roman" w:hAnsi="Times New Roman"/>
          <w:sz w:val="20"/>
          <w:szCs w:val="20"/>
        </w:rPr>
        <w:t>Se o capital pode, no limite, daí retirar produtividade e lucro, o trabalho também retira até mesmo a sua qualidade mínima de vida, posto ser o próprio trabalhador quem costuma conviver, muito proximamente, com as mazelas decorrentes das condições degradadas impostas aos rebaixados ou excluídos. E o trabalhador acaba sendo a maior vítima da violência marginal que impera nas periferias urbanas e favelas.</w:t>
      </w:r>
      <w:r>
        <w:rPr>
          <w:rStyle w:val="Refdenotaderodap"/>
          <w:rFonts w:ascii="Times New Roman" w:hAnsi="Times New Roman"/>
          <w:sz w:val="20"/>
          <w:szCs w:val="20"/>
        </w:rPr>
        <w:footnoteReference w:id="408"/>
      </w:r>
    </w:p>
    <w:p w:rsidR="00CD354E" w:rsidRPr="00C33FA2" w:rsidRDefault="00CD354E" w:rsidP="00CD354E">
      <w:pPr>
        <w:spacing w:after="0" w:line="360" w:lineRule="auto"/>
        <w:jc w:val="both"/>
        <w:rPr>
          <w:rFonts w:ascii="Times New Roman" w:hAnsi="Times New Roman"/>
          <w:sz w:val="24"/>
          <w:szCs w:val="24"/>
        </w:rPr>
      </w:pPr>
      <w:r>
        <w:rPr>
          <w:rFonts w:ascii="Times New Roman" w:hAnsi="Times New Roman"/>
          <w:sz w:val="24"/>
          <w:szCs w:val="24"/>
        </w:rPr>
        <w:tab/>
      </w:r>
      <w:r w:rsidRPr="00C33FA2">
        <w:rPr>
          <w:rFonts w:ascii="Times New Roman" w:hAnsi="Times New Roman"/>
          <w:sz w:val="24"/>
          <w:szCs w:val="24"/>
        </w:rPr>
        <w:t xml:space="preserve">Tais argumentos, como sabemos, incentivam que empresários e sindicalistas assumam tarefas sociais embasados </w:t>
      </w:r>
      <w:r w:rsidR="0009140E" w:rsidRPr="00C33FA2">
        <w:rPr>
          <w:rFonts w:ascii="Times New Roman" w:hAnsi="Times New Roman"/>
          <w:sz w:val="24"/>
          <w:szCs w:val="24"/>
        </w:rPr>
        <w:t>na</w:t>
      </w:r>
      <w:r w:rsidRPr="00C33FA2">
        <w:rPr>
          <w:rFonts w:ascii="Times New Roman" w:hAnsi="Times New Roman"/>
          <w:sz w:val="24"/>
          <w:szCs w:val="24"/>
        </w:rPr>
        <w:t xml:space="preserve"> mercantil-filantropização da questão social. O trecho é bastante claro e direto quanto às expectativas da inserção do empresariado neste campo: “a retirada de elevados dividendos” e as possilidades abertas quanto à promoção de “marca e imagem” da empresa com vistas à “conquista de mercados”. Que amplos setores do empresariado visualizassem possibilidades de expansão de lucros na administração precária da pauperização de massas de trabalhadores apenas confirma e reatualiza a necessária e secular agenda social do empresariado como forma de manutenção da dominação burguesa. Porém, ao lado disso, impressiona o forte pragmatismo político, acompanhado de forte dose de individualismo e mesmo de reacionarismo quanto ao envolvimento das lideranças sindicais e dos próprios trabalhadores frente às “multidões excluídas”: importava dirimir a miséria para salvar “a qualidade mínima de vida” porque é o trabalhador quem “costuma viver (...) com as mazelas” e “acaba sendo a maior vítima </w:t>
      </w:r>
      <w:r w:rsidRPr="00C33FA2">
        <w:rPr>
          <w:rFonts w:ascii="Times New Roman" w:hAnsi="Times New Roman"/>
          <w:i/>
          <w:sz w:val="24"/>
          <w:szCs w:val="24"/>
        </w:rPr>
        <w:t xml:space="preserve">da violência marginal </w:t>
      </w:r>
      <w:r w:rsidRPr="00C33FA2">
        <w:rPr>
          <w:rFonts w:ascii="Times New Roman" w:hAnsi="Times New Roman"/>
          <w:sz w:val="24"/>
          <w:szCs w:val="24"/>
        </w:rPr>
        <w:t>(...)”. Sem entrar na discussão de que a violência é historicamente emanada do Estado burguês e dos grupos dominantes, impressiona o tratamento descurado de qualquer conteúdo de cooperação ou solidariedade elementar entre os membros da própria classe trabalhadora. Cabe lembrar que as Cartas de Concertação foram ratificadas pelo conjunto dos conselheiros.</w:t>
      </w:r>
    </w:p>
    <w:p w:rsidR="00CD354E" w:rsidRDefault="00CD354E" w:rsidP="00CD354E">
      <w:pPr>
        <w:spacing w:after="0" w:line="360" w:lineRule="auto"/>
        <w:ind w:firstLine="708"/>
        <w:jc w:val="both"/>
        <w:rPr>
          <w:rFonts w:ascii="Times New Roman" w:hAnsi="Times New Roman"/>
          <w:sz w:val="24"/>
          <w:szCs w:val="24"/>
        </w:rPr>
      </w:pPr>
      <w:r>
        <w:rPr>
          <w:rFonts w:ascii="Times New Roman" w:hAnsi="Times New Roman"/>
          <w:sz w:val="24"/>
          <w:szCs w:val="24"/>
        </w:rPr>
        <w:t xml:space="preserve">A 6ª Carta de Concertação, </w:t>
      </w:r>
      <w:r>
        <w:rPr>
          <w:rFonts w:ascii="Times New Roman" w:hAnsi="Times New Roman"/>
          <w:i/>
          <w:sz w:val="24"/>
          <w:szCs w:val="24"/>
        </w:rPr>
        <w:t xml:space="preserve">Política Industrial como Consenso para uma Agenda de </w:t>
      </w:r>
      <w:r w:rsidRPr="00652A09">
        <w:rPr>
          <w:rFonts w:ascii="Times New Roman" w:hAnsi="Times New Roman"/>
          <w:i/>
          <w:sz w:val="24"/>
          <w:szCs w:val="24"/>
        </w:rPr>
        <w:t>Desenvolvimento</w:t>
      </w:r>
      <w:r>
        <w:rPr>
          <w:rFonts w:ascii="Times New Roman" w:hAnsi="Times New Roman"/>
          <w:i/>
          <w:sz w:val="24"/>
          <w:szCs w:val="24"/>
        </w:rPr>
        <w:t xml:space="preserve">, </w:t>
      </w:r>
      <w:r w:rsidRPr="00652A09">
        <w:rPr>
          <w:rFonts w:ascii="Times New Roman" w:hAnsi="Times New Roman"/>
          <w:sz w:val="24"/>
          <w:szCs w:val="24"/>
        </w:rPr>
        <w:t xml:space="preserve">aprovada </w:t>
      </w:r>
      <w:r>
        <w:rPr>
          <w:rFonts w:ascii="Times New Roman" w:hAnsi="Times New Roman"/>
          <w:sz w:val="24"/>
          <w:szCs w:val="24"/>
        </w:rPr>
        <w:t>em 11 de março de 2004, é unicamente voltada aos interesses prioritários do empresariado. O documento retoma e aprofunda questões já colocadas nas cartas anteriores, como pequenas inovações: a necessidade de implantação de uma política industrial, tecnológica e de comércio exterior (PITCE);</w:t>
      </w:r>
      <w:r>
        <w:rPr>
          <w:rStyle w:val="Refdenotaderodap"/>
          <w:rFonts w:ascii="Times New Roman" w:hAnsi="Times New Roman"/>
          <w:sz w:val="24"/>
          <w:szCs w:val="24"/>
        </w:rPr>
        <w:footnoteReference w:id="409"/>
      </w:r>
      <w:r>
        <w:rPr>
          <w:rFonts w:ascii="Times New Roman" w:hAnsi="Times New Roman"/>
          <w:sz w:val="24"/>
          <w:szCs w:val="24"/>
        </w:rPr>
        <w:t xml:space="preserve"> a PPP como mecanismo institucional de “afirmação do papel do Estado como regulador e promotor do desenvolvimento”, como meio de “melhorar as condições de vida da população, satisfazer as necessidades de infraestrutura da economia e viabilizar a exploração de mercados atraentes para os segmentos empresariais”;</w:t>
      </w:r>
      <w:r>
        <w:rPr>
          <w:rStyle w:val="Refdenotaderodap"/>
          <w:rFonts w:ascii="Times New Roman" w:hAnsi="Times New Roman"/>
          <w:sz w:val="24"/>
          <w:szCs w:val="24"/>
        </w:rPr>
        <w:footnoteReference w:id="410"/>
      </w:r>
      <w:r>
        <w:rPr>
          <w:rFonts w:ascii="Times New Roman" w:hAnsi="Times New Roman"/>
          <w:sz w:val="24"/>
          <w:szCs w:val="24"/>
        </w:rPr>
        <w:t xml:space="preserve"> a difusão do crédito; redução da vulnerabilidade externa como foco da PITCE no esforço de elevar o patamar de exportações, “especialmente de bens de maior conteúdo tecnológico agregado”, incluindo também “uma política de negociação internacional eficaz que propicie melhoria de preços das </w:t>
      </w:r>
      <w:r>
        <w:rPr>
          <w:rFonts w:ascii="Times New Roman" w:hAnsi="Times New Roman"/>
          <w:i/>
          <w:sz w:val="24"/>
          <w:szCs w:val="24"/>
        </w:rPr>
        <w:t>commodities</w:t>
      </w:r>
      <w:r>
        <w:rPr>
          <w:rFonts w:ascii="Times New Roman" w:hAnsi="Times New Roman"/>
          <w:sz w:val="24"/>
          <w:szCs w:val="24"/>
        </w:rPr>
        <w:t xml:space="preserve"> e maior acesso aos mercados externos compradores de produtos industrializados brasileiros, de maior valor agregado (...)”;</w:t>
      </w:r>
      <w:r>
        <w:rPr>
          <w:rStyle w:val="Refdenotaderodap"/>
          <w:rFonts w:ascii="Times New Roman" w:hAnsi="Times New Roman"/>
          <w:sz w:val="24"/>
          <w:szCs w:val="24"/>
        </w:rPr>
        <w:footnoteReference w:id="411"/>
      </w:r>
      <w:r>
        <w:rPr>
          <w:rFonts w:ascii="Times New Roman" w:hAnsi="Times New Roman"/>
          <w:sz w:val="24"/>
          <w:szCs w:val="24"/>
        </w:rPr>
        <w:t xml:space="preserve"> a política industrial deveria incentivar as micro e pequenas empresas, a agricultura e a pecuária e a construção civil; criação de instrumentos institucionais de coordenação e discussão das prioridades da política industrial como a Agência Brasileira de Desenvolvimento Industrial (ABDI) e de um Conselho de Política Industrial.</w:t>
      </w:r>
      <w:r>
        <w:rPr>
          <w:rStyle w:val="Refdenotaderodap"/>
          <w:rFonts w:ascii="Times New Roman" w:hAnsi="Times New Roman"/>
          <w:sz w:val="24"/>
          <w:szCs w:val="24"/>
        </w:rPr>
        <w:footnoteReference w:id="412"/>
      </w:r>
    </w:p>
    <w:p w:rsidR="00CD354E" w:rsidRDefault="00CD354E" w:rsidP="00CD354E">
      <w:pPr>
        <w:spacing w:after="0" w:line="360" w:lineRule="auto"/>
        <w:jc w:val="both"/>
        <w:rPr>
          <w:rFonts w:ascii="Times New Roman" w:hAnsi="Times New Roman"/>
          <w:sz w:val="24"/>
          <w:szCs w:val="24"/>
        </w:rPr>
      </w:pPr>
      <w:r>
        <w:rPr>
          <w:rFonts w:ascii="Times New Roman" w:hAnsi="Times New Roman"/>
          <w:sz w:val="24"/>
          <w:szCs w:val="24"/>
        </w:rPr>
        <w:tab/>
        <w:t xml:space="preserve">É importante mencionar que, com raras exceções, </w:t>
      </w:r>
      <w:r>
        <w:rPr>
          <w:rFonts w:ascii="Times New Roman" w:hAnsi="Times New Roman"/>
          <w:i/>
          <w:sz w:val="24"/>
          <w:szCs w:val="24"/>
        </w:rPr>
        <w:t xml:space="preserve">todas as propostas ou demandas colocadas nas Cartas de Concertação </w:t>
      </w:r>
      <w:r w:rsidRPr="006D27D1">
        <w:rPr>
          <w:rFonts w:ascii="Times New Roman" w:hAnsi="Times New Roman"/>
          <w:sz w:val="24"/>
          <w:szCs w:val="24"/>
        </w:rPr>
        <w:t xml:space="preserve">tornaram-se objetos de </w:t>
      </w:r>
      <w:r>
        <w:rPr>
          <w:rFonts w:ascii="Times New Roman" w:hAnsi="Times New Roman"/>
          <w:sz w:val="24"/>
          <w:szCs w:val="24"/>
        </w:rPr>
        <w:t>recorrentes</w:t>
      </w:r>
      <w:r w:rsidRPr="006D27D1">
        <w:rPr>
          <w:rFonts w:ascii="Times New Roman" w:hAnsi="Times New Roman"/>
          <w:sz w:val="24"/>
          <w:szCs w:val="24"/>
        </w:rPr>
        <w:t xml:space="preserve"> debates nas plenárias e de Grupos de Trabalho no Conselho, de estudos e pesquisas aprofundados, inclusive com a interlocução de outras agências estatais especializadas no tema em discussão, com promoção de eventos (colóquios, workshops, seminários, conferências, mesas redondas etc) com especialistas nacionais e estrangeiros. </w:t>
      </w:r>
      <w:r>
        <w:rPr>
          <w:rFonts w:ascii="Times New Roman" w:hAnsi="Times New Roman"/>
          <w:sz w:val="24"/>
          <w:szCs w:val="24"/>
        </w:rPr>
        <w:t xml:space="preserve">Não poucas proposições </w:t>
      </w:r>
      <w:r w:rsidRPr="006D27D1">
        <w:rPr>
          <w:rFonts w:ascii="Times New Roman" w:hAnsi="Times New Roman"/>
          <w:sz w:val="24"/>
          <w:szCs w:val="24"/>
        </w:rPr>
        <w:t>se inseri</w:t>
      </w:r>
      <w:r>
        <w:rPr>
          <w:rFonts w:ascii="Times New Roman" w:hAnsi="Times New Roman"/>
          <w:sz w:val="24"/>
          <w:szCs w:val="24"/>
        </w:rPr>
        <w:t>ram, após devidos aprofundamentos e aperfeiçoamentos,</w:t>
      </w:r>
      <w:r w:rsidRPr="006D27D1">
        <w:rPr>
          <w:rFonts w:ascii="Times New Roman" w:hAnsi="Times New Roman"/>
          <w:sz w:val="24"/>
          <w:szCs w:val="24"/>
        </w:rPr>
        <w:t xml:space="preserve"> como linhas mestras de definição </w:t>
      </w:r>
      <w:r>
        <w:rPr>
          <w:rFonts w:ascii="Times New Roman" w:hAnsi="Times New Roman"/>
          <w:sz w:val="24"/>
          <w:szCs w:val="24"/>
        </w:rPr>
        <w:t xml:space="preserve">de </w:t>
      </w:r>
      <w:r w:rsidRPr="006D27D1">
        <w:rPr>
          <w:rFonts w:ascii="Times New Roman" w:hAnsi="Times New Roman"/>
          <w:sz w:val="24"/>
          <w:szCs w:val="24"/>
        </w:rPr>
        <w:t>documentos e planos estratégicos para o projeto que se desenhava</w:t>
      </w:r>
      <w:r>
        <w:rPr>
          <w:rFonts w:ascii="Times New Roman" w:hAnsi="Times New Roman"/>
          <w:sz w:val="24"/>
          <w:szCs w:val="24"/>
        </w:rPr>
        <w:t xml:space="preserve"> no CDES. </w:t>
      </w:r>
    </w:p>
    <w:p w:rsidR="00CD354E" w:rsidRPr="003E7B44" w:rsidRDefault="00CD354E" w:rsidP="00CD354E">
      <w:pPr>
        <w:spacing w:after="0" w:line="360" w:lineRule="auto"/>
        <w:ind w:firstLine="708"/>
        <w:jc w:val="both"/>
        <w:rPr>
          <w:rFonts w:ascii="Times New Roman" w:hAnsi="Times New Roman"/>
          <w:sz w:val="24"/>
          <w:szCs w:val="24"/>
        </w:rPr>
      </w:pPr>
      <w:r w:rsidRPr="003E7B44">
        <w:rPr>
          <w:rFonts w:ascii="Times New Roman" w:hAnsi="Times New Roman"/>
          <w:sz w:val="24"/>
          <w:szCs w:val="24"/>
        </w:rPr>
        <w:t xml:space="preserve">As Cartas de Concertação não se constituíam meramente como um plano de intenções ou de propostas abstratas, mas sobretudo como o </w:t>
      </w:r>
      <w:r w:rsidRPr="003E7B44">
        <w:rPr>
          <w:rFonts w:ascii="Times New Roman" w:hAnsi="Times New Roman"/>
          <w:i/>
          <w:sz w:val="24"/>
          <w:szCs w:val="24"/>
        </w:rPr>
        <w:t>gérmen ou a “estufa de cultivo”</w:t>
      </w:r>
      <w:r w:rsidRPr="003E7B44">
        <w:rPr>
          <w:rFonts w:ascii="Times New Roman" w:hAnsi="Times New Roman"/>
          <w:sz w:val="24"/>
          <w:szCs w:val="24"/>
        </w:rPr>
        <w:t xml:space="preserve">, ou ambos,do anteprojeto de desenvolvimento cunhado entre os conselheiros e os especialistas do governo representado pela SEDES. Elas eram, antes de tudo, um preparo psíquico-pedagógico “civilizatório” de como os grupos sociais deveriam entrar e proceder no debate político. Normas de conduta acordadas que definiam previamente os limites dos embates, as expectativas de confrontos, o encapsulamento preventivo de disrupções. Não à toa, após os ligeiríssimos debates sobre as contrarreformas em 2003, as Cartas foram de pronto colocadas como pautas a serem acordadas. </w:t>
      </w:r>
    </w:p>
    <w:p w:rsidR="00CD354E" w:rsidRPr="003E7B44" w:rsidRDefault="00CD354E" w:rsidP="00CD354E">
      <w:pPr>
        <w:spacing w:line="360" w:lineRule="auto"/>
        <w:ind w:firstLine="708"/>
        <w:jc w:val="both"/>
        <w:rPr>
          <w:rFonts w:ascii="Times New Roman" w:hAnsi="Times New Roman"/>
          <w:sz w:val="24"/>
          <w:szCs w:val="24"/>
        </w:rPr>
      </w:pPr>
      <w:r w:rsidRPr="003E7B44">
        <w:rPr>
          <w:rFonts w:ascii="Times New Roman" w:hAnsi="Times New Roman"/>
          <w:sz w:val="24"/>
          <w:szCs w:val="24"/>
        </w:rPr>
        <w:t xml:space="preserve">Era preciso apaziguar os ânimos, reduzir e acalmar expectativas de grupos sociais diversos, homogeneizar conselheiros de setores econômicos, políticos e culturais bastante díspares sob a condição de “cidadãos” e/ou de “lideranças sociais”, tratando-os como “iguais” e esforçando-se para que no CDES, </w:t>
      </w:r>
      <w:r w:rsidR="0009140E" w:rsidRPr="003E7B44">
        <w:rPr>
          <w:rFonts w:ascii="Times New Roman" w:hAnsi="Times New Roman"/>
          <w:sz w:val="24"/>
          <w:szCs w:val="24"/>
        </w:rPr>
        <w:t xml:space="preserve">na </w:t>
      </w:r>
      <w:r w:rsidRPr="003E7B44">
        <w:rPr>
          <w:rFonts w:ascii="Times New Roman" w:hAnsi="Times New Roman"/>
          <w:sz w:val="24"/>
          <w:szCs w:val="24"/>
        </w:rPr>
        <w:t xml:space="preserve">arena “democrática participativa”, o conjunto dos conselheiros assim se enxergassem. Para tanto, era preciso também trabalhar extensivamente a ideia de que todos estavam ali construindo um projeto de desenvolvimento de “interesse nacional”, para o “bem comum”, pela busca pelo “progresso social para todos”, dentre outros ideários de busca de coesão social acionados pelo Estado burguês. Esse trabalho conscientemente pedagógico, exaustivo, paciente, operado pela SEDES, tinha como intuito, sem dúvida, por parte do operador político, acalmar ou educar suas bases, preparando-as </w:t>
      </w:r>
      <w:r w:rsidR="00241281">
        <w:rPr>
          <w:rFonts w:ascii="Times New Roman" w:hAnsi="Times New Roman"/>
          <w:sz w:val="24"/>
          <w:szCs w:val="24"/>
        </w:rPr>
        <w:t xml:space="preserve">para </w:t>
      </w:r>
      <w:r w:rsidRPr="003E7B44">
        <w:rPr>
          <w:rFonts w:ascii="Times New Roman" w:hAnsi="Times New Roman"/>
          <w:sz w:val="24"/>
          <w:szCs w:val="24"/>
        </w:rPr>
        <w:t xml:space="preserve">o terreno </w:t>
      </w:r>
      <w:r w:rsidR="00241281">
        <w:rPr>
          <w:rFonts w:ascii="Times New Roman" w:hAnsi="Times New Roman"/>
          <w:sz w:val="24"/>
          <w:szCs w:val="24"/>
        </w:rPr>
        <w:t>d</w:t>
      </w:r>
      <w:r w:rsidRPr="003E7B44">
        <w:rPr>
          <w:rFonts w:ascii="Times New Roman" w:hAnsi="Times New Roman"/>
          <w:sz w:val="24"/>
          <w:szCs w:val="24"/>
        </w:rPr>
        <w:t xml:space="preserve">as grandes contrarreformas e, em seguida, </w:t>
      </w:r>
      <w:r w:rsidR="00473BB8">
        <w:rPr>
          <w:rFonts w:ascii="Times New Roman" w:hAnsi="Times New Roman"/>
          <w:sz w:val="24"/>
          <w:szCs w:val="24"/>
        </w:rPr>
        <w:t>d</w:t>
      </w:r>
      <w:r w:rsidRPr="003E7B44">
        <w:rPr>
          <w:rFonts w:ascii="Times New Roman" w:hAnsi="Times New Roman"/>
          <w:sz w:val="24"/>
          <w:szCs w:val="24"/>
        </w:rPr>
        <w:t xml:space="preserve">as </w:t>
      </w:r>
      <w:r w:rsidR="00473BB8">
        <w:rPr>
          <w:rFonts w:ascii="Times New Roman" w:hAnsi="Times New Roman"/>
          <w:sz w:val="24"/>
          <w:szCs w:val="24"/>
        </w:rPr>
        <w:t>(micro) contrar</w:t>
      </w:r>
      <w:r w:rsidRPr="003E7B44">
        <w:rPr>
          <w:rFonts w:ascii="Times New Roman" w:hAnsi="Times New Roman"/>
          <w:sz w:val="24"/>
          <w:szCs w:val="24"/>
        </w:rPr>
        <w:t xml:space="preserve">reformas </w:t>
      </w:r>
      <w:r w:rsidR="00473BB8">
        <w:rPr>
          <w:rFonts w:ascii="Times New Roman" w:hAnsi="Times New Roman"/>
          <w:sz w:val="24"/>
          <w:szCs w:val="24"/>
        </w:rPr>
        <w:t>“</w:t>
      </w:r>
      <w:r w:rsidRPr="003E7B44">
        <w:rPr>
          <w:rFonts w:ascii="Times New Roman" w:hAnsi="Times New Roman"/>
          <w:sz w:val="24"/>
          <w:szCs w:val="24"/>
        </w:rPr>
        <w:t xml:space="preserve">a conta-gotas”, que seriam aplicadas na dosagem e </w:t>
      </w:r>
      <w:r w:rsidR="0009140E" w:rsidRPr="003E7B44">
        <w:rPr>
          <w:rFonts w:ascii="Times New Roman" w:hAnsi="Times New Roman"/>
          <w:sz w:val="24"/>
          <w:szCs w:val="24"/>
        </w:rPr>
        <w:t>nos momentos oportunos. O operador mostrava</w:t>
      </w:r>
      <w:r w:rsidRPr="003E7B44">
        <w:rPr>
          <w:rFonts w:ascii="Times New Roman" w:hAnsi="Times New Roman"/>
          <w:sz w:val="24"/>
          <w:szCs w:val="24"/>
        </w:rPr>
        <w:t xml:space="preserve"> para as burguesias que seria capaz de direcionar suas bases </w:t>
      </w:r>
      <w:r w:rsidR="0009140E" w:rsidRPr="003E7B44">
        <w:rPr>
          <w:rFonts w:ascii="Times New Roman" w:hAnsi="Times New Roman"/>
          <w:sz w:val="24"/>
          <w:szCs w:val="24"/>
        </w:rPr>
        <w:t>e</w:t>
      </w:r>
      <w:r w:rsidRPr="003E7B44">
        <w:rPr>
          <w:rFonts w:ascii="Times New Roman" w:hAnsi="Times New Roman"/>
          <w:sz w:val="24"/>
          <w:szCs w:val="24"/>
        </w:rPr>
        <w:t xml:space="preserve"> de facilitar  ou mesmo convocar a adesão ao projeto em curso, apesar das tensões. Outrossim, </w:t>
      </w:r>
      <w:r w:rsidR="0015084E">
        <w:rPr>
          <w:rFonts w:ascii="Times New Roman" w:hAnsi="Times New Roman"/>
          <w:sz w:val="24"/>
          <w:szCs w:val="24"/>
        </w:rPr>
        <w:t xml:space="preserve">tratava-se de </w:t>
      </w:r>
      <w:r w:rsidRPr="003E7B44">
        <w:rPr>
          <w:rFonts w:ascii="Times New Roman" w:hAnsi="Times New Roman"/>
          <w:sz w:val="24"/>
          <w:szCs w:val="24"/>
        </w:rPr>
        <w:t>desenhar a estruturação de um processo de amalgamento entre um projeto burguês que já estava em curso, e que não seria alterado, e o ingresso de um operador que trazia novos elementos fundamentais par</w:t>
      </w:r>
      <w:r w:rsidR="0009140E" w:rsidRPr="003E7B44">
        <w:rPr>
          <w:rFonts w:ascii="Times New Roman" w:hAnsi="Times New Roman"/>
          <w:sz w:val="24"/>
          <w:szCs w:val="24"/>
        </w:rPr>
        <w:t>a o exercício da hegemonia, com</w:t>
      </w:r>
      <w:r w:rsidRPr="003E7B44">
        <w:rPr>
          <w:rFonts w:ascii="Times New Roman" w:hAnsi="Times New Roman"/>
          <w:sz w:val="24"/>
          <w:szCs w:val="24"/>
        </w:rPr>
        <w:t xml:space="preserve"> base de sustentação popular que o governo anterior não oferecia.</w:t>
      </w:r>
    </w:p>
    <w:p w:rsidR="00303FA9" w:rsidRPr="00CD354E" w:rsidRDefault="00CD354E" w:rsidP="00723308">
      <w:pPr>
        <w:autoSpaceDE w:val="0"/>
        <w:autoSpaceDN w:val="0"/>
        <w:adjustRightInd w:val="0"/>
        <w:jc w:val="both"/>
        <w:rPr>
          <w:rFonts w:ascii="Times New Roman" w:hAnsi="Times New Roman"/>
          <w:b/>
          <w:sz w:val="24"/>
          <w:szCs w:val="24"/>
        </w:rPr>
      </w:pPr>
      <w:r>
        <w:rPr>
          <w:rFonts w:ascii="Times New Roman" w:hAnsi="Times New Roman"/>
          <w:b/>
          <w:sz w:val="24"/>
          <w:szCs w:val="24"/>
        </w:rPr>
        <w:t>3.</w:t>
      </w:r>
      <w:r w:rsidR="003A69C2">
        <w:rPr>
          <w:rFonts w:ascii="Times New Roman" w:hAnsi="Times New Roman"/>
          <w:b/>
          <w:sz w:val="24"/>
          <w:szCs w:val="24"/>
        </w:rPr>
        <w:t>3</w:t>
      </w:r>
      <w:r w:rsidR="00303FA9" w:rsidRPr="00CD354E">
        <w:rPr>
          <w:rFonts w:ascii="Times New Roman" w:hAnsi="Times New Roman"/>
          <w:b/>
          <w:sz w:val="24"/>
          <w:szCs w:val="24"/>
        </w:rPr>
        <w:t xml:space="preserve">– A construção da noção de “desenvolvimento com equidade” </w:t>
      </w:r>
      <w:r w:rsidRPr="00CD354E">
        <w:rPr>
          <w:rFonts w:ascii="Times New Roman" w:hAnsi="Times New Roman"/>
          <w:b/>
          <w:sz w:val="24"/>
          <w:szCs w:val="24"/>
        </w:rPr>
        <w:t xml:space="preserve">e as </w:t>
      </w:r>
      <w:r w:rsidR="00023593">
        <w:rPr>
          <w:rFonts w:ascii="Times New Roman" w:hAnsi="Times New Roman"/>
          <w:b/>
          <w:sz w:val="24"/>
          <w:szCs w:val="24"/>
        </w:rPr>
        <w:t>tensões em torno da política econômica</w:t>
      </w:r>
      <w:r w:rsidRPr="00CD354E">
        <w:rPr>
          <w:rFonts w:ascii="Times New Roman" w:hAnsi="Times New Roman"/>
          <w:b/>
          <w:sz w:val="24"/>
          <w:szCs w:val="24"/>
        </w:rPr>
        <w:t xml:space="preserve"> no CDES (2004-2005)</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 xml:space="preserve">Muito provavelmente a menção e o trato sobre a temática do “desenvolvimento” e do “crescimento” econômico e social foram os que mais estiveram presentes nos debates, eventos e documentos do CDES. A imprecisão na definição desses termos era de fato uma regra, situação agravada na ausência absoluta de uma conceitualização precisa e rigorosa. A rigor, eles apareciam sempre acompanhados de epítetos como “sustentado”, “com equidade”, “com inclusão social”, “com distribuição de renda”, dentre outros mais ou menos equivalentes, o que contribuía e traduzia um certo </w:t>
      </w:r>
      <w:r>
        <w:rPr>
          <w:rFonts w:ascii="Times New Roman" w:hAnsi="Times New Roman"/>
          <w:i/>
          <w:sz w:val="24"/>
          <w:szCs w:val="24"/>
        </w:rPr>
        <w:t>ab</w:t>
      </w:r>
      <w:r>
        <w:rPr>
          <w:rFonts w:ascii="Times New Roman" w:hAnsi="Times New Roman"/>
          <w:sz w:val="24"/>
          <w:szCs w:val="24"/>
        </w:rPr>
        <w:t xml:space="preserve">uso e despreocupação por parte daqueles que </w:t>
      </w:r>
      <w:r w:rsidR="00EC2704">
        <w:rPr>
          <w:rFonts w:ascii="Times New Roman" w:hAnsi="Times New Roman"/>
          <w:sz w:val="24"/>
          <w:szCs w:val="24"/>
        </w:rPr>
        <w:t>precisavam que fosse “naturalizada” a questão</w:t>
      </w:r>
      <w:r w:rsidR="003079F1">
        <w:rPr>
          <w:rFonts w:ascii="Times New Roman" w:hAnsi="Times New Roman"/>
          <w:sz w:val="24"/>
          <w:szCs w:val="24"/>
        </w:rPr>
        <w:t xml:space="preserve"> “substantiva”</w:t>
      </w:r>
      <w:r w:rsidR="0068451C">
        <w:rPr>
          <w:rFonts w:ascii="Times New Roman" w:hAnsi="Times New Roman"/>
          <w:sz w:val="24"/>
          <w:szCs w:val="24"/>
        </w:rPr>
        <w:t xml:space="preserve">–a </w:t>
      </w:r>
      <w:r w:rsidR="00EC2704">
        <w:rPr>
          <w:rFonts w:ascii="Times New Roman" w:hAnsi="Times New Roman"/>
          <w:sz w:val="24"/>
          <w:szCs w:val="24"/>
        </w:rPr>
        <w:t>do desenvolvimento</w:t>
      </w:r>
      <w:r w:rsidR="003079F1">
        <w:rPr>
          <w:rFonts w:ascii="Times New Roman" w:hAnsi="Times New Roman"/>
          <w:sz w:val="24"/>
          <w:szCs w:val="24"/>
        </w:rPr>
        <w:t xml:space="preserve"> como avanço do capitalismo </w:t>
      </w:r>
      <w:r w:rsidR="00095250">
        <w:rPr>
          <w:rFonts w:ascii="Times New Roman" w:hAnsi="Times New Roman"/>
          <w:sz w:val="24"/>
          <w:szCs w:val="24"/>
        </w:rPr>
        <w:t>–</w:t>
      </w:r>
      <w:r w:rsidR="003079F1">
        <w:rPr>
          <w:rFonts w:ascii="Times New Roman" w:hAnsi="Times New Roman"/>
          <w:sz w:val="24"/>
          <w:szCs w:val="24"/>
        </w:rPr>
        <w:t xml:space="preserve"> e a ela se agregassem </w:t>
      </w:r>
      <w:r w:rsidR="003079F1" w:rsidRPr="00095250">
        <w:rPr>
          <w:rFonts w:ascii="Times New Roman" w:hAnsi="Times New Roman"/>
          <w:i/>
          <w:sz w:val="24"/>
          <w:szCs w:val="24"/>
        </w:rPr>
        <w:t>voluntariamente</w:t>
      </w:r>
      <w:r w:rsidR="003079F1">
        <w:rPr>
          <w:rFonts w:ascii="Times New Roman" w:hAnsi="Times New Roman"/>
          <w:sz w:val="24"/>
          <w:szCs w:val="24"/>
        </w:rPr>
        <w:t xml:space="preserve"> os setores subalternos, por meio da adjetivação julgada adequada, traduzida pelos epítetos acima</w:t>
      </w:r>
      <w:r w:rsidR="0068451C">
        <w:rPr>
          <w:rFonts w:ascii="Times New Roman" w:hAnsi="Times New Roman"/>
          <w:sz w:val="24"/>
          <w:szCs w:val="24"/>
        </w:rPr>
        <w:t>, mas fundamental para a adesão ao “substantivo”.</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A utilização de uma terminologia imprecisa, indiscriminada e indiferenciada, contudo, não expressava incertezas e vacilações quanto ao horizonte ou ao rumo desejado (o desenvolvimento do capitalismo), se bem que o caminho, obviamente, não estava previamente definido, ou, de outra forma, o embate em tal empreitada aparecia como expressão das limitações orquestradas ora pelo próprio governo, principalmente no que se refere à política macroeconômica, mas também ao atendimento de outras importantes demandas, ora pela própria SEDES, no que se refere ao funcionamento da dinâmica interna do Conselho. Se esta última demanda foi razoavelmente satisfeita, a primeira motivou severas críticas e tensões internas.</w:t>
      </w:r>
    </w:p>
    <w:p w:rsidR="00303FA9" w:rsidRDefault="00303FA9" w:rsidP="00303FA9">
      <w:pPr>
        <w:spacing w:line="360" w:lineRule="auto"/>
        <w:ind w:firstLine="708"/>
        <w:jc w:val="both"/>
        <w:rPr>
          <w:rFonts w:ascii="Times New Roman" w:hAnsi="Times New Roman"/>
          <w:sz w:val="24"/>
          <w:szCs w:val="24"/>
        </w:rPr>
      </w:pPr>
      <w:r>
        <w:rPr>
          <w:rFonts w:ascii="Times New Roman" w:hAnsi="Times New Roman"/>
          <w:sz w:val="24"/>
          <w:szCs w:val="24"/>
        </w:rPr>
        <w:t xml:space="preserve">A mais importante referência teórica, ao menos no plano do discurso, sobre o tema do desenvolvimento no CDES foi Celso Furtado. No dia 5 de agosto de 2004, o CDES promoveu, sob a coordenação de Jaques Wagner, secretário-executivo da Secretaria do Conselho (SEDES) à época, a Mesa Redonda denominada “Diálogo Social, Alavanca para o Desenvolvimento”. Neste evento, participaram o presidente Lula da Silva, conselheiros, ministros de Estado e do alto escalão do governo e convidados estrangeiros, dentre os quais se destacaram Maria João Rodrigues (Assessora da Presidência da União Europeia), Roger Briesch (Presidente do Comitê Econômico e Social da União Europeia) e Julian Ariza Rico (Vice-presidente do Conselho Econômico e Social da União Europeia). A abertura da solenidade, contudo, ficou a cargo do economista e professor Celso Furtado que, devido à debilidade de seu estado de saúde, remeteu à plenária do evento um vídeo gravado acerca dos “rumos do desenvolvimento” no Brasil recente. Nele, Celso Furtado dizia que </w:t>
      </w:r>
    </w:p>
    <w:p w:rsidR="00303FA9" w:rsidRPr="008B5142" w:rsidRDefault="00303FA9" w:rsidP="00303FA9">
      <w:pPr>
        <w:spacing w:line="240" w:lineRule="auto"/>
        <w:ind w:left="2268"/>
        <w:jc w:val="both"/>
        <w:rPr>
          <w:rFonts w:ascii="Times New Roman" w:hAnsi="Times New Roman"/>
          <w:sz w:val="20"/>
          <w:szCs w:val="20"/>
        </w:rPr>
      </w:pPr>
      <w:r w:rsidRPr="008B5142">
        <w:rPr>
          <w:rFonts w:ascii="Times New Roman" w:hAnsi="Times New Roman"/>
          <w:sz w:val="20"/>
          <w:szCs w:val="20"/>
        </w:rPr>
        <w:t xml:space="preserve">A distinção entre crescimento econômico e desenvolvimento é uma questão que muito me apaixona. Fui quem primeiro formulou este problema, o que significa crescimento e o que significa desenvolvimento, mostrando que quando se fala desenvolvimento se introduziu o social e o político. </w:t>
      </w:r>
      <w:r w:rsidRPr="00EF0195">
        <w:rPr>
          <w:rFonts w:ascii="Times New Roman" w:hAnsi="Times New Roman"/>
          <w:b/>
          <w:sz w:val="20"/>
          <w:szCs w:val="20"/>
        </w:rPr>
        <w:t>Não se fala de desenvolvimento senão a partir do social</w:t>
      </w:r>
      <w:r w:rsidRPr="008B5142">
        <w:rPr>
          <w:rFonts w:ascii="Times New Roman" w:hAnsi="Times New Roman"/>
          <w:sz w:val="20"/>
          <w:szCs w:val="20"/>
        </w:rPr>
        <w:t>, ao passo que se fala de crescimento econômico a partir dos dados estatísticos: PIB; renda nacional; exportações. Não precisa do social. Você pode ter crescimento econômico bastante forte, como o Brasil teve durante 30 anos seguidos, com crescimento de 7% ao ano, um crescimento extraordinário, com pouco desenvolvimento, desenvolvimento quase nulo, porque o sistema, a estrutura do sistema, não favorecia a abordagem dos problemas sociais.</w:t>
      </w:r>
      <w:r>
        <w:rPr>
          <w:rStyle w:val="Refdenotaderodap"/>
          <w:rFonts w:ascii="Times New Roman" w:hAnsi="Times New Roman"/>
          <w:sz w:val="20"/>
          <w:szCs w:val="20"/>
        </w:rPr>
        <w:footnoteReference w:id="413"/>
      </w:r>
    </w:p>
    <w:p w:rsidR="00303FA9" w:rsidRDefault="00303FA9" w:rsidP="00D65B8F">
      <w:pPr>
        <w:spacing w:before="240" w:after="0" w:line="360" w:lineRule="auto"/>
        <w:ind w:firstLine="708"/>
        <w:jc w:val="both"/>
        <w:rPr>
          <w:rFonts w:ascii="Times New Roman" w:hAnsi="Times New Roman"/>
          <w:sz w:val="24"/>
          <w:szCs w:val="24"/>
        </w:rPr>
      </w:pPr>
      <w:r>
        <w:rPr>
          <w:rFonts w:ascii="Times New Roman" w:hAnsi="Times New Roman"/>
          <w:sz w:val="24"/>
          <w:szCs w:val="24"/>
        </w:rPr>
        <w:t xml:space="preserve">A fala de Furtado é trazida aqui porque ela sempre foi lembrada e reverenciada dentro do Conselho. Desenvolvimento incluiria, neste diapasão, necessariamente </w:t>
      </w:r>
      <w:r w:rsidR="00241281">
        <w:rPr>
          <w:rFonts w:ascii="Times New Roman" w:hAnsi="Times New Roman"/>
          <w:sz w:val="24"/>
          <w:szCs w:val="24"/>
        </w:rPr>
        <w:t>a</w:t>
      </w:r>
      <w:r w:rsidRPr="00F96001">
        <w:rPr>
          <w:rFonts w:ascii="Times New Roman" w:hAnsi="Times New Roman"/>
          <w:i/>
          <w:sz w:val="24"/>
          <w:szCs w:val="24"/>
        </w:rPr>
        <w:t>diminuição d</w:t>
      </w:r>
      <w:r w:rsidR="00241281">
        <w:rPr>
          <w:rFonts w:ascii="Times New Roman" w:hAnsi="Times New Roman"/>
          <w:i/>
          <w:sz w:val="24"/>
          <w:szCs w:val="24"/>
        </w:rPr>
        <w:t>as</w:t>
      </w:r>
      <w:r w:rsidRPr="00F96001">
        <w:rPr>
          <w:rFonts w:ascii="Times New Roman" w:hAnsi="Times New Roman"/>
          <w:i/>
          <w:sz w:val="24"/>
          <w:szCs w:val="24"/>
        </w:rPr>
        <w:t xml:space="preserve"> desigualdades sociais.</w:t>
      </w:r>
      <w:r>
        <w:rPr>
          <w:rFonts w:ascii="Times New Roman" w:hAnsi="Times New Roman"/>
          <w:sz w:val="24"/>
          <w:szCs w:val="24"/>
        </w:rPr>
        <w:t xml:space="preserve"> Como veremos, a partir da Agenda Nacional de Desenvolvimento (AND), construída no CDES entre 2004 e 2005, toda e qualquer política pública a ser formulada e adotada pelos ministérios deveria contemplar este critério básico: a “redução das </w:t>
      </w:r>
      <w:r w:rsidR="002838D3">
        <w:rPr>
          <w:rFonts w:ascii="Times New Roman" w:hAnsi="Times New Roman"/>
          <w:sz w:val="24"/>
          <w:szCs w:val="24"/>
        </w:rPr>
        <w:t>iniq</w:t>
      </w:r>
      <w:r w:rsidR="005913F9">
        <w:rPr>
          <w:rFonts w:ascii="Times New Roman" w:hAnsi="Times New Roman"/>
          <w:sz w:val="24"/>
          <w:szCs w:val="24"/>
        </w:rPr>
        <w:t>u</w:t>
      </w:r>
      <w:r w:rsidR="002838D3">
        <w:rPr>
          <w:rFonts w:ascii="Times New Roman" w:hAnsi="Times New Roman"/>
          <w:sz w:val="24"/>
          <w:szCs w:val="24"/>
        </w:rPr>
        <w:t>idades”</w:t>
      </w:r>
      <w:r>
        <w:rPr>
          <w:rFonts w:ascii="Times New Roman" w:hAnsi="Times New Roman"/>
          <w:sz w:val="24"/>
          <w:szCs w:val="24"/>
        </w:rPr>
        <w:t xml:space="preserve">. </w:t>
      </w:r>
      <w:r w:rsidRPr="00111811">
        <w:rPr>
          <w:rFonts w:ascii="Times New Roman" w:hAnsi="Times New Roman"/>
          <w:sz w:val="24"/>
          <w:szCs w:val="24"/>
        </w:rPr>
        <w:t xml:space="preserve">Já o crescimento, ainda segundo Furtado, também seria essencial, mas </w:t>
      </w:r>
      <w:r>
        <w:rPr>
          <w:rFonts w:ascii="Times New Roman" w:hAnsi="Times New Roman"/>
          <w:sz w:val="24"/>
          <w:szCs w:val="24"/>
        </w:rPr>
        <w:t>“</w:t>
      </w:r>
      <w:r w:rsidRPr="00111811">
        <w:rPr>
          <w:rFonts w:ascii="Times New Roman" w:hAnsi="Times New Roman"/>
          <w:sz w:val="24"/>
          <w:szCs w:val="24"/>
        </w:rPr>
        <w:t xml:space="preserve">saber que você pode ter crescimento sem desenvolvimento, (...) gerando concentração de renda e riqueza (...). </w:t>
      </w:r>
      <w:r w:rsidRPr="00111811">
        <w:rPr>
          <w:rFonts w:ascii="Times New Roman" w:hAnsi="Times New Roman"/>
          <w:b/>
          <w:sz w:val="24"/>
          <w:szCs w:val="24"/>
        </w:rPr>
        <w:t>Por isso, a orientação deve ser a seguinte: se não avança na criação de emprego e na distribuição de renda, estamos andando para trás</w:t>
      </w:r>
      <w:r>
        <w:rPr>
          <w:rFonts w:ascii="Times New Roman" w:hAnsi="Times New Roman"/>
          <w:b/>
          <w:sz w:val="24"/>
          <w:szCs w:val="24"/>
        </w:rPr>
        <w:t xml:space="preserve">”, </w:t>
      </w:r>
      <w:r>
        <w:rPr>
          <w:rFonts w:ascii="Times New Roman" w:hAnsi="Times New Roman"/>
          <w:sz w:val="24"/>
          <w:szCs w:val="24"/>
        </w:rPr>
        <w:t>arrematando que “</w:t>
      </w:r>
      <w:r>
        <w:rPr>
          <w:rFonts w:ascii="Times New Roman" w:hAnsi="Times New Roman"/>
          <w:b/>
          <w:sz w:val="24"/>
          <w:szCs w:val="24"/>
        </w:rPr>
        <w:t>a última batalha a perder é a do emprego</w:t>
      </w:r>
      <w:r>
        <w:rPr>
          <w:rFonts w:ascii="Times New Roman" w:hAnsi="Times New Roman"/>
          <w:sz w:val="24"/>
          <w:szCs w:val="24"/>
        </w:rPr>
        <w:t>”.</w:t>
      </w:r>
      <w:r>
        <w:rPr>
          <w:rStyle w:val="Refdenotaderodap"/>
          <w:rFonts w:ascii="Times New Roman" w:hAnsi="Times New Roman"/>
          <w:sz w:val="24"/>
          <w:szCs w:val="24"/>
        </w:rPr>
        <w:footnoteReference w:id="414"/>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A “batalha do emprego”, porém, deveria ter efeito sobre a oferta</w:t>
      </w:r>
      <w:r w:rsidR="00013EB3">
        <w:rPr>
          <w:rFonts w:ascii="Times New Roman" w:hAnsi="Times New Roman"/>
          <w:sz w:val="24"/>
          <w:szCs w:val="24"/>
        </w:rPr>
        <w:t xml:space="preserve"> agregada</w:t>
      </w:r>
      <w:r>
        <w:rPr>
          <w:rFonts w:ascii="Times New Roman" w:hAnsi="Times New Roman"/>
          <w:sz w:val="24"/>
          <w:szCs w:val="24"/>
        </w:rPr>
        <w:t>, assegurando-lhe sustentabilidade. Não se tratava de frentes de trabalho, mas de empregos “que criem riqueza, que incidam na produção”.</w:t>
      </w:r>
      <w:r>
        <w:rPr>
          <w:rStyle w:val="Refdenotaderodap"/>
          <w:rFonts w:ascii="Times New Roman" w:hAnsi="Times New Roman"/>
          <w:sz w:val="24"/>
          <w:szCs w:val="24"/>
        </w:rPr>
        <w:footnoteReference w:id="415"/>
      </w:r>
      <w:r>
        <w:rPr>
          <w:rFonts w:ascii="Times New Roman" w:hAnsi="Times New Roman"/>
          <w:sz w:val="24"/>
          <w:szCs w:val="24"/>
        </w:rPr>
        <w:t xml:space="preserve"> O crescimento da oferta, entretanto, demandaria regulação, evitando a inflação e assim exigiria “planejamento de qualidade, sofisticado”.  Para sair da “enrascada” dada pela “enorme capacidade potencial de oferta e uma enorme demanda reprimida”, o economista advogou a necessidade de “ter o Estado articulado com a classe empresarial. Com planos de obras públicas, de investimentos e o empresariado disposto a aceitar riscos”.</w:t>
      </w:r>
      <w:r>
        <w:rPr>
          <w:rStyle w:val="Refdenotaderodap"/>
          <w:rFonts w:ascii="Times New Roman" w:hAnsi="Times New Roman"/>
          <w:sz w:val="24"/>
          <w:szCs w:val="24"/>
        </w:rPr>
        <w:footnoteReference w:id="416"/>
      </w:r>
      <w:r>
        <w:rPr>
          <w:rFonts w:ascii="Times New Roman" w:hAnsi="Times New Roman"/>
          <w:sz w:val="24"/>
          <w:szCs w:val="24"/>
        </w:rPr>
        <w:t xml:space="preserve"> Era preciso, portanto, uma “intervenção do Estado, no sentido de aumentar os investimentos, de forçar a sociedade a investir mais. </w:t>
      </w:r>
      <w:r>
        <w:rPr>
          <w:rFonts w:ascii="Times New Roman" w:hAnsi="Times New Roman"/>
          <w:b/>
          <w:sz w:val="24"/>
          <w:szCs w:val="24"/>
        </w:rPr>
        <w:t>O desenvolvimento é uma construção da sociedade, mas é preciso que ela tenha vontade de fazê-lo</w:t>
      </w:r>
      <w:r>
        <w:rPr>
          <w:rFonts w:ascii="Times New Roman" w:hAnsi="Times New Roman"/>
          <w:sz w:val="24"/>
          <w:szCs w:val="24"/>
        </w:rPr>
        <w:t>”.</w:t>
      </w:r>
      <w:r>
        <w:rPr>
          <w:rStyle w:val="Refdenotaderodap"/>
          <w:rFonts w:ascii="Times New Roman" w:hAnsi="Times New Roman"/>
          <w:sz w:val="24"/>
          <w:szCs w:val="24"/>
        </w:rPr>
        <w:footnoteReference w:id="417"/>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 xml:space="preserve">A estratégia furtadiana autodesignada de “desenvolvimento autêntico” </w:t>
      </w:r>
      <w:r w:rsidR="00095250">
        <w:rPr>
          <w:rFonts w:ascii="Times New Roman" w:hAnsi="Times New Roman"/>
          <w:sz w:val="24"/>
          <w:szCs w:val="24"/>
        </w:rPr>
        <w:t>–</w:t>
      </w:r>
      <w:r>
        <w:rPr>
          <w:rFonts w:ascii="Times New Roman" w:hAnsi="Times New Roman"/>
          <w:sz w:val="24"/>
          <w:szCs w:val="24"/>
        </w:rPr>
        <w:t xml:space="preserve"> “quando o crescimento cria emprego, distribui a renda, melhora o perfil da estrutura social” – se colocava de encontro à ortodoxia do governo Lula da Silva que, “arrastado por uma inércia”, firmava “uma linha econômica tradicional e muito rigorosa”. Furtado lembrou que “o pessoal do mundo do negócio e todos estão convencidos de que esta é uma política definitiva, que não há alternativa, não há espaço para mudar”, advertindo que “será grave se estivermos mesmo amarrado</w:t>
      </w:r>
      <w:r w:rsidR="00266248">
        <w:rPr>
          <w:rFonts w:ascii="Times New Roman" w:hAnsi="Times New Roman"/>
          <w:sz w:val="24"/>
          <w:szCs w:val="24"/>
        </w:rPr>
        <w:t>s</w:t>
      </w:r>
      <w:r>
        <w:rPr>
          <w:rFonts w:ascii="Times New Roman" w:hAnsi="Times New Roman"/>
          <w:sz w:val="24"/>
          <w:szCs w:val="24"/>
        </w:rPr>
        <w:t xml:space="preserve"> a essa trajetória. Digo isto como uma reflexão para o Presidente Lula”.</w:t>
      </w:r>
      <w:r>
        <w:rPr>
          <w:rStyle w:val="Refdenotaderodap"/>
          <w:rFonts w:ascii="Times New Roman" w:hAnsi="Times New Roman"/>
          <w:sz w:val="24"/>
          <w:szCs w:val="24"/>
        </w:rPr>
        <w:footnoteReference w:id="418"/>
      </w:r>
      <w:r>
        <w:rPr>
          <w:rFonts w:ascii="Times New Roman" w:hAnsi="Times New Roman"/>
          <w:sz w:val="24"/>
          <w:szCs w:val="24"/>
        </w:rPr>
        <w:t>Terminou sua mensagem apelando à necessidade de se ter “confiança no futuro”, “otimismo” e “coragem política”, postas “a serviço das autênticas causas do povo brasileiro”.</w:t>
      </w:r>
      <w:r>
        <w:rPr>
          <w:rStyle w:val="Refdenotaderodap"/>
          <w:rFonts w:ascii="Times New Roman" w:hAnsi="Times New Roman"/>
          <w:sz w:val="24"/>
          <w:szCs w:val="24"/>
        </w:rPr>
        <w:footnoteReference w:id="419"/>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 xml:space="preserve">Neste conciso registro da explanação de Furtado no evento do CDES, procuramos destacar elementos político-econômicos recorrentes nos documentos e atas do Conselho: desenvolvimento como expressão do crescimento econômico </w:t>
      </w:r>
      <w:r>
        <w:rPr>
          <w:rFonts w:ascii="Times New Roman" w:hAnsi="Times New Roman"/>
          <w:i/>
          <w:sz w:val="24"/>
          <w:szCs w:val="24"/>
        </w:rPr>
        <w:t>pari passu</w:t>
      </w:r>
      <w:r>
        <w:rPr>
          <w:rFonts w:ascii="Times New Roman" w:hAnsi="Times New Roman"/>
          <w:sz w:val="24"/>
          <w:szCs w:val="24"/>
        </w:rPr>
        <w:t xml:space="preserve"> ao combate ou diminuição das disparidades sociais; o retorno da importância do planejamento estrutural do Estado como mecanismo de prospecção e análise presente e construção de referenciais futuros;</w:t>
      </w:r>
      <w:r>
        <w:rPr>
          <w:rStyle w:val="Refdenotaderodap"/>
          <w:rFonts w:ascii="Times New Roman" w:hAnsi="Times New Roman"/>
          <w:sz w:val="24"/>
          <w:szCs w:val="24"/>
        </w:rPr>
        <w:footnoteReference w:id="420"/>
      </w:r>
      <w:r>
        <w:rPr>
          <w:rFonts w:ascii="Times New Roman" w:hAnsi="Times New Roman"/>
          <w:sz w:val="24"/>
          <w:szCs w:val="24"/>
        </w:rPr>
        <w:t xml:space="preserve"> desatar a demanda reprimida via investimentos do setor público e privado (articulação Estado-empresariado); empreender esforços na criação de empregos formais e na criação de renda como mecanismos simultâneos de estímulo ao desenvolvimento (“colocar o social à frente de tudo”); crítica à “ortodoxia” (“a economia feito empresa”) onde a economia se afasta da política (“os bancos centrais passam a ser respeitáveis porque são dirigidos pelos que são de fora dos governos, de fora da política”); reconhecimento e crítica à adoção de continuidade d</w:t>
      </w:r>
      <w:r w:rsidR="00473BB8">
        <w:rPr>
          <w:rFonts w:ascii="Times New Roman" w:hAnsi="Times New Roman"/>
          <w:sz w:val="24"/>
          <w:szCs w:val="24"/>
        </w:rPr>
        <w:t>o</w:t>
      </w:r>
      <w:r>
        <w:rPr>
          <w:rFonts w:ascii="Times New Roman" w:hAnsi="Times New Roman"/>
          <w:sz w:val="24"/>
          <w:szCs w:val="24"/>
        </w:rPr>
        <w:t xml:space="preserve"> modelo macroeconômico no governo Lula da Silva; crença num capitalismo “desenvolvido” e “humanizado”, onde </w:t>
      </w:r>
      <w:r w:rsidR="00241281">
        <w:rPr>
          <w:rFonts w:ascii="Times New Roman" w:hAnsi="Times New Roman"/>
          <w:sz w:val="24"/>
          <w:szCs w:val="24"/>
        </w:rPr>
        <w:t xml:space="preserve">elementos subjetivos como </w:t>
      </w:r>
      <w:r>
        <w:rPr>
          <w:rFonts w:ascii="Times New Roman" w:hAnsi="Times New Roman"/>
          <w:sz w:val="24"/>
          <w:szCs w:val="24"/>
        </w:rPr>
        <w:t>a “fé”, o “otimismo”, a “confiança”, a “vontade e co</w:t>
      </w:r>
      <w:r w:rsidR="00241281">
        <w:rPr>
          <w:rFonts w:ascii="Times New Roman" w:hAnsi="Times New Roman"/>
          <w:sz w:val="24"/>
          <w:szCs w:val="24"/>
        </w:rPr>
        <w:t>ragem política” apareciam</w:t>
      </w:r>
      <w:r>
        <w:rPr>
          <w:rFonts w:ascii="Times New Roman" w:hAnsi="Times New Roman"/>
          <w:sz w:val="24"/>
          <w:szCs w:val="24"/>
        </w:rPr>
        <w:t xml:space="preserve"> como requisito</w:t>
      </w:r>
      <w:r w:rsidR="00241281">
        <w:rPr>
          <w:rFonts w:ascii="Times New Roman" w:hAnsi="Times New Roman"/>
          <w:sz w:val="24"/>
          <w:szCs w:val="24"/>
        </w:rPr>
        <w:t>s</w:t>
      </w:r>
      <w:r>
        <w:rPr>
          <w:rFonts w:ascii="Times New Roman" w:hAnsi="Times New Roman"/>
          <w:sz w:val="24"/>
          <w:szCs w:val="24"/>
        </w:rPr>
        <w:t xml:space="preserve"> prévio</w:t>
      </w:r>
      <w:r w:rsidR="00241281">
        <w:rPr>
          <w:rFonts w:ascii="Times New Roman" w:hAnsi="Times New Roman"/>
          <w:sz w:val="24"/>
          <w:szCs w:val="24"/>
        </w:rPr>
        <w:t>s</w:t>
      </w:r>
      <w:r>
        <w:rPr>
          <w:rFonts w:ascii="Times New Roman" w:hAnsi="Times New Roman"/>
          <w:sz w:val="24"/>
          <w:szCs w:val="24"/>
        </w:rPr>
        <w:t xml:space="preserve"> e, </w:t>
      </w:r>
      <w:r w:rsidR="00241281">
        <w:rPr>
          <w:rFonts w:ascii="Times New Roman" w:hAnsi="Times New Roman"/>
          <w:sz w:val="24"/>
          <w:szCs w:val="24"/>
        </w:rPr>
        <w:t>eram</w:t>
      </w:r>
      <w:r w:rsidR="00254662">
        <w:rPr>
          <w:rFonts w:ascii="Times New Roman" w:hAnsi="Times New Roman"/>
          <w:sz w:val="24"/>
          <w:szCs w:val="24"/>
        </w:rPr>
        <w:t>,</w:t>
      </w:r>
      <w:r>
        <w:rPr>
          <w:rFonts w:ascii="Times New Roman" w:hAnsi="Times New Roman"/>
          <w:sz w:val="24"/>
          <w:szCs w:val="24"/>
        </w:rPr>
        <w:t>sobretudo</w:t>
      </w:r>
      <w:r w:rsidR="00254662">
        <w:rPr>
          <w:rFonts w:ascii="Times New Roman" w:hAnsi="Times New Roman"/>
          <w:sz w:val="24"/>
          <w:szCs w:val="24"/>
        </w:rPr>
        <w:t>, requisitos</w:t>
      </w:r>
      <w:r>
        <w:rPr>
          <w:rFonts w:ascii="Times New Roman" w:hAnsi="Times New Roman"/>
          <w:sz w:val="24"/>
          <w:szCs w:val="24"/>
        </w:rPr>
        <w:t xml:space="preserve"> ideológico</w:t>
      </w:r>
      <w:r w:rsidR="00254662">
        <w:rPr>
          <w:rFonts w:ascii="Times New Roman" w:hAnsi="Times New Roman"/>
          <w:sz w:val="24"/>
          <w:szCs w:val="24"/>
        </w:rPr>
        <w:t>s</w:t>
      </w:r>
      <w:r>
        <w:rPr>
          <w:rFonts w:ascii="Times New Roman" w:hAnsi="Times New Roman"/>
          <w:sz w:val="24"/>
          <w:szCs w:val="24"/>
        </w:rPr>
        <w:t>, posto que oblitera</w:t>
      </w:r>
      <w:r w:rsidR="00241281">
        <w:rPr>
          <w:rFonts w:ascii="Times New Roman" w:hAnsi="Times New Roman"/>
          <w:sz w:val="24"/>
          <w:szCs w:val="24"/>
        </w:rPr>
        <w:t>va</w:t>
      </w:r>
      <w:r>
        <w:rPr>
          <w:rFonts w:ascii="Times New Roman" w:hAnsi="Times New Roman"/>
          <w:sz w:val="24"/>
          <w:szCs w:val="24"/>
        </w:rPr>
        <w:t>m as análises das relações sociais de produção capitalistas calcadas na luta de classes, na exploração e expropriação histórica dos trabalhadores, e se convert</w:t>
      </w:r>
      <w:r w:rsidR="00241281">
        <w:rPr>
          <w:rFonts w:ascii="Times New Roman" w:hAnsi="Times New Roman"/>
          <w:sz w:val="24"/>
          <w:szCs w:val="24"/>
        </w:rPr>
        <w:t>ia</w:t>
      </w:r>
      <w:r>
        <w:rPr>
          <w:rFonts w:ascii="Times New Roman" w:hAnsi="Times New Roman"/>
          <w:sz w:val="24"/>
          <w:szCs w:val="24"/>
        </w:rPr>
        <w:t>m num subjetivismo genérico, numa “vontade geral” abstrata, horizontalizando lutas, reivindicações, projetos e expectativas, numa direção supostamente unívoca e universal, porque “nacional”.</w:t>
      </w:r>
    </w:p>
    <w:p w:rsidR="00303FA9" w:rsidRDefault="00303FA9" w:rsidP="00303FA9">
      <w:pPr>
        <w:spacing w:line="360" w:lineRule="auto"/>
        <w:ind w:firstLine="708"/>
        <w:jc w:val="both"/>
        <w:rPr>
          <w:rFonts w:ascii="Times New Roman" w:hAnsi="Times New Roman"/>
          <w:sz w:val="24"/>
          <w:szCs w:val="24"/>
        </w:rPr>
      </w:pPr>
      <w:r>
        <w:rPr>
          <w:rFonts w:ascii="Times New Roman" w:hAnsi="Times New Roman"/>
          <w:sz w:val="24"/>
          <w:szCs w:val="24"/>
        </w:rPr>
        <w:t xml:space="preserve">Na 13ª Reunião Plenária do CDES, em 25 de agosto de 2005, José Carlos Braga, professor de economia da Unicamp, foi um dos três conselheiros responsáveis pela apresentação da primeira versão da Agenda Nacional de Desenvolvimento para </w:t>
      </w:r>
      <w:r w:rsidR="00241281">
        <w:rPr>
          <w:rFonts w:ascii="Times New Roman" w:hAnsi="Times New Roman"/>
          <w:sz w:val="24"/>
          <w:szCs w:val="24"/>
        </w:rPr>
        <w:t xml:space="preserve">a plenária do </w:t>
      </w:r>
      <w:r>
        <w:rPr>
          <w:rFonts w:ascii="Times New Roman" w:hAnsi="Times New Roman"/>
          <w:sz w:val="24"/>
          <w:szCs w:val="24"/>
        </w:rPr>
        <w:t>Conselho.</w:t>
      </w:r>
      <w:r>
        <w:rPr>
          <w:rStyle w:val="Refdenotaderodap"/>
          <w:rFonts w:ascii="Times New Roman" w:hAnsi="Times New Roman"/>
          <w:sz w:val="24"/>
          <w:szCs w:val="24"/>
        </w:rPr>
        <w:footnoteReference w:id="421"/>
      </w:r>
      <w:r>
        <w:rPr>
          <w:rFonts w:ascii="Times New Roman" w:hAnsi="Times New Roman"/>
          <w:sz w:val="24"/>
          <w:szCs w:val="24"/>
        </w:rPr>
        <w:t xml:space="preserve"> Nesta ocasião, o conselheiro fez referência à influência direta de Furtado na construção da Agenda:</w:t>
      </w:r>
    </w:p>
    <w:p w:rsidR="00303FA9" w:rsidRPr="008A47B4" w:rsidRDefault="00303FA9" w:rsidP="00303FA9">
      <w:pPr>
        <w:spacing w:line="240" w:lineRule="auto"/>
        <w:ind w:left="2268"/>
        <w:jc w:val="both"/>
        <w:rPr>
          <w:rFonts w:ascii="Times New Roman" w:hAnsi="Times New Roman"/>
          <w:sz w:val="20"/>
          <w:szCs w:val="20"/>
        </w:rPr>
      </w:pPr>
      <w:r w:rsidRPr="008A47B4">
        <w:rPr>
          <w:rFonts w:ascii="Times New Roman" w:hAnsi="Times New Roman"/>
          <w:sz w:val="20"/>
          <w:szCs w:val="20"/>
        </w:rPr>
        <w:t xml:space="preserve">O primeiro tópico que eu gostaria de usar como referência é aquele que diz respeito direto </w:t>
      </w:r>
      <w:r w:rsidRPr="00861186">
        <w:rPr>
          <w:rFonts w:ascii="Times New Roman" w:hAnsi="Times New Roman"/>
          <w:b/>
          <w:sz w:val="20"/>
          <w:szCs w:val="20"/>
        </w:rPr>
        <w:t>à própria noção de desenvolvimento que tem norteado os trabalhos das diversas instâncias e pessoas que têm discutido essa Agenda Nacional de Desenvolvimento</w:t>
      </w:r>
      <w:r w:rsidRPr="008A47B4">
        <w:rPr>
          <w:rFonts w:ascii="Times New Roman" w:hAnsi="Times New Roman"/>
          <w:sz w:val="20"/>
          <w:szCs w:val="20"/>
        </w:rPr>
        <w:t>. O próprio ministro Jaques Wagner entrevistou, um pouco antes da morte, o Ministro Celso Furtado, e o documento da Agenda Nacional de Desenvolvimento traz uma referência explícita a ele quando faz referência a uma série de aspectos fundamentais do pensamento do professor Celso Furtado. Um exemplo é o capítulo a supostos, requisitos e transição, que diz o seguinte: “</w:t>
      </w:r>
      <w:r w:rsidRPr="00107DD0">
        <w:rPr>
          <w:rFonts w:ascii="Times New Roman" w:hAnsi="Times New Roman"/>
          <w:b/>
          <w:sz w:val="20"/>
          <w:szCs w:val="20"/>
        </w:rPr>
        <w:t>entendem o desenvolvimento nacional como um complexo processo de mudança estrutural que se dá em múltiplas dimensões</w:t>
      </w:r>
      <w:r w:rsidRPr="008A47B4">
        <w:rPr>
          <w:rFonts w:ascii="Times New Roman" w:hAnsi="Times New Roman"/>
          <w:sz w:val="20"/>
          <w:szCs w:val="20"/>
        </w:rPr>
        <w:t xml:space="preserve">”. (...) E continua “como afirma Celso Furtado, inequivocamente </w:t>
      </w:r>
      <w:r w:rsidRPr="00107DD0">
        <w:rPr>
          <w:rFonts w:ascii="Times New Roman" w:hAnsi="Times New Roman"/>
          <w:b/>
          <w:sz w:val="20"/>
          <w:szCs w:val="20"/>
        </w:rPr>
        <w:t>o desenvolvimento é, antes de tudo, um ato de vontade coletiva, do desejo do governo e de todas as forças sociais empenhadas em construir um outro país</w:t>
      </w:r>
      <w:r w:rsidRPr="008A47B4">
        <w:rPr>
          <w:rFonts w:ascii="Times New Roman" w:hAnsi="Times New Roman"/>
          <w:sz w:val="20"/>
          <w:szCs w:val="20"/>
        </w:rPr>
        <w:t>”</w:t>
      </w:r>
      <w:r>
        <w:rPr>
          <w:rFonts w:ascii="Times New Roman" w:hAnsi="Times New Roman"/>
          <w:sz w:val="20"/>
          <w:szCs w:val="20"/>
        </w:rPr>
        <w:t>. Portanto, pensamos que (...) essa proposta da Agenda significa dizer que o tema do desenvolvimento volta à pauta da sociedade brasileira (ATA da 13ª Reunião Plenária do CDES, p. 3, grifos meus).</w:t>
      </w:r>
    </w:p>
    <w:p w:rsidR="00303FA9" w:rsidRDefault="00303FA9" w:rsidP="003E7B44">
      <w:pPr>
        <w:spacing w:before="240" w:line="360" w:lineRule="auto"/>
        <w:jc w:val="both"/>
        <w:rPr>
          <w:rFonts w:ascii="Times New Roman" w:hAnsi="Times New Roman"/>
          <w:sz w:val="24"/>
          <w:szCs w:val="24"/>
        </w:rPr>
      </w:pPr>
      <w:r>
        <w:rPr>
          <w:rFonts w:ascii="Times New Roman" w:hAnsi="Times New Roman"/>
          <w:sz w:val="24"/>
          <w:szCs w:val="24"/>
        </w:rPr>
        <w:tab/>
        <w:t>Em sua exposição, Braga aludiu ainda que a sociedade e as políticas governamentais nos últimos anos pautaram-se pela busca de estabilidade de preços, muito em função do longo ciclo inflacionário vivenciado pelo país. Entretanto, ressaltou o conselheiro, “é chegada a hora de retomar a senda do desenvolvimento, rediscutir as sendas do desenvolvimento, os rumos do desenvolvimento no País” (idem), o que traria a necessidade de planejamento, envolvendo “uma vinculação das ações de governo, tanto no curto, no médio ou no longo prazos”:</w:t>
      </w:r>
    </w:p>
    <w:p w:rsidR="00303FA9" w:rsidRPr="00861186" w:rsidRDefault="00303FA9" w:rsidP="00303FA9">
      <w:pPr>
        <w:spacing w:line="240" w:lineRule="auto"/>
        <w:ind w:left="2268"/>
        <w:jc w:val="both"/>
        <w:rPr>
          <w:rFonts w:ascii="Times New Roman" w:hAnsi="Times New Roman"/>
          <w:sz w:val="20"/>
          <w:szCs w:val="20"/>
        </w:rPr>
      </w:pPr>
      <w:r w:rsidRPr="00861186">
        <w:rPr>
          <w:rFonts w:ascii="Times New Roman" w:hAnsi="Times New Roman"/>
          <w:sz w:val="20"/>
          <w:szCs w:val="20"/>
        </w:rPr>
        <w:t xml:space="preserve">Há uma percepção de grande parte dos conselheiros de que não se trata de tocar a política econômica, dita de curto prazo, a política fiscal, a política monetária e a política cambial e deixar que no longo prazo se resolverá, necessariamente, o desenvolvimento. (...) não basta dizer que essa política monetária seja consistente com o crescimento, porque a questão numa economia subdesenvolvida ou em desenvolvimento, como nós sabemos, não é só crescer. O Brasil já teve taxas de crescimento bastante expressivas na década de 60, na década de 70. Entretanto, várias marcas do subdesenvolvimento não foram resolvidas. O professor Celso </w:t>
      </w:r>
      <w:r w:rsidR="00241281">
        <w:rPr>
          <w:rFonts w:ascii="Times New Roman" w:hAnsi="Times New Roman"/>
          <w:sz w:val="20"/>
          <w:szCs w:val="20"/>
        </w:rPr>
        <w:t>F</w:t>
      </w:r>
      <w:r w:rsidRPr="00861186">
        <w:rPr>
          <w:rFonts w:ascii="Times New Roman" w:hAnsi="Times New Roman"/>
          <w:sz w:val="20"/>
          <w:szCs w:val="20"/>
        </w:rPr>
        <w:t>urtado morreu enfatizando isso.</w:t>
      </w:r>
      <w:r>
        <w:rPr>
          <w:rFonts w:ascii="Times New Roman" w:hAnsi="Times New Roman"/>
          <w:sz w:val="20"/>
          <w:szCs w:val="20"/>
        </w:rPr>
        <w:t xml:space="preserve"> A superação de marcas estruturais do subdesenvolvimento requer algo além do crescimento, requer que seja feita a pergunta: qual crescimento? Qual estilo de crescimento? Qual a composição do gasto público? Qual será o comportamento do emprego? Que estrutura tributária será essa? (...) Haverá um sistema de financiamentos que permitirá o alongamento de prazos e o barateamento do custo de capital para que o empresário possa investir de maneira mais progressiva? Essas perguntas são relevantes e transcendem o mero âmbito de saber o quanto vai se mover a taxa de juros, (...) o câmbio e o superávit primário (...) (idem).</w:t>
      </w:r>
    </w:p>
    <w:p w:rsidR="00303FA9" w:rsidRDefault="00303FA9" w:rsidP="00303FA9">
      <w:pPr>
        <w:spacing w:after="0" w:line="360" w:lineRule="auto"/>
        <w:jc w:val="both"/>
        <w:rPr>
          <w:rFonts w:ascii="Times New Roman" w:hAnsi="Times New Roman"/>
          <w:sz w:val="24"/>
          <w:szCs w:val="24"/>
        </w:rPr>
      </w:pPr>
      <w:r>
        <w:rPr>
          <w:rFonts w:ascii="Times New Roman" w:hAnsi="Times New Roman"/>
          <w:sz w:val="24"/>
          <w:szCs w:val="24"/>
        </w:rPr>
        <w:tab/>
        <w:t xml:space="preserve">O teor da intervenção de Braga reflete um momento especial no CDES: o coroamento da constituição um trabalho de fôlego (a AND) e que envolveu todos os conselheiros. As discussões travadas no âmbito das Reuniões Plenárias revelavam demandas preocupadas com a articulação de políticas no curto, médio e longo prazo. </w:t>
      </w:r>
    </w:p>
    <w:p w:rsidR="00303FA9" w:rsidRDefault="00303FA9" w:rsidP="00303FA9">
      <w:pPr>
        <w:spacing w:line="360" w:lineRule="auto"/>
        <w:ind w:firstLine="708"/>
        <w:jc w:val="both"/>
        <w:rPr>
          <w:rFonts w:ascii="Times New Roman" w:hAnsi="Times New Roman"/>
          <w:sz w:val="24"/>
          <w:szCs w:val="24"/>
        </w:rPr>
      </w:pPr>
      <w:r>
        <w:rPr>
          <w:rFonts w:ascii="Times New Roman" w:hAnsi="Times New Roman"/>
          <w:sz w:val="24"/>
          <w:szCs w:val="24"/>
        </w:rPr>
        <w:t xml:space="preserve">O pano de fundo era o de que a construção do desenvolvimento requeria adoção de políticas imediatas, principalmente </w:t>
      </w:r>
      <w:r w:rsidR="00241281">
        <w:rPr>
          <w:rFonts w:ascii="Times New Roman" w:hAnsi="Times New Roman"/>
          <w:sz w:val="24"/>
          <w:szCs w:val="24"/>
        </w:rPr>
        <w:t>a</w:t>
      </w:r>
      <w:r>
        <w:rPr>
          <w:rFonts w:ascii="Times New Roman" w:hAnsi="Times New Roman"/>
          <w:sz w:val="24"/>
          <w:szCs w:val="24"/>
        </w:rPr>
        <w:t>quelas voltadas ao arrefecimento da austera política econômica administrada por Palocci e Meirelles – elevadas taxas de juros e de câmbio e m</w:t>
      </w:r>
      <w:r w:rsidR="00254662">
        <w:rPr>
          <w:rFonts w:ascii="Times New Roman" w:hAnsi="Times New Roman"/>
          <w:sz w:val="24"/>
          <w:szCs w:val="24"/>
        </w:rPr>
        <w:t>egassuperávits primários -, sem que,</w:t>
      </w:r>
      <w:r>
        <w:rPr>
          <w:rFonts w:ascii="Times New Roman" w:hAnsi="Times New Roman"/>
          <w:sz w:val="24"/>
          <w:szCs w:val="24"/>
        </w:rPr>
        <w:t xml:space="preserve"> contudo, pudesse ameaçar a estabilidade econômica por meio do retorno do “imposto inflacionário”, argumento este bastante utilizado e aceito por ambos os lados (governo e conselheiros), considerado “um ganho para toda a sociedade, principalmente para os setores mais vulneráveis”. Neste ponto específico, tratava-se, especialmente para os setores empresariais, mas não apenas para eles, de acelerar o ritmo da “descompressão” da política econômica até então em vigor, considerado excessivamente cauteloso, aliado, entre outras medidas, à implementação de um conjunto de reformas e de uma política industrial. Cien</w:t>
      </w:r>
      <w:r w:rsidR="00254662">
        <w:rPr>
          <w:rFonts w:ascii="Times New Roman" w:hAnsi="Times New Roman"/>
          <w:sz w:val="24"/>
          <w:szCs w:val="24"/>
        </w:rPr>
        <w:t>te das pressões</w:t>
      </w:r>
      <w:r>
        <w:rPr>
          <w:rFonts w:ascii="Times New Roman" w:hAnsi="Times New Roman"/>
          <w:sz w:val="24"/>
          <w:szCs w:val="24"/>
        </w:rPr>
        <w:t xml:space="preserve"> sobre estas questões, Lula da Silva se pronunciava no CDES como fiador da política econômica, </w:t>
      </w:r>
      <w:r w:rsidR="00254662">
        <w:rPr>
          <w:rFonts w:ascii="Times New Roman" w:hAnsi="Times New Roman"/>
          <w:sz w:val="24"/>
          <w:szCs w:val="24"/>
        </w:rPr>
        <w:t>lastreado no</w:t>
      </w:r>
      <w:r>
        <w:rPr>
          <w:rFonts w:ascii="Times New Roman" w:hAnsi="Times New Roman"/>
          <w:sz w:val="24"/>
          <w:szCs w:val="24"/>
        </w:rPr>
        <w:t xml:space="preserve"> possibilismo:</w:t>
      </w:r>
    </w:p>
    <w:p w:rsidR="00303FA9" w:rsidRPr="00417E98" w:rsidRDefault="00303FA9" w:rsidP="00303FA9">
      <w:pPr>
        <w:spacing w:line="240" w:lineRule="auto"/>
        <w:ind w:left="2268"/>
        <w:jc w:val="both"/>
        <w:rPr>
          <w:rFonts w:ascii="Times New Roman" w:hAnsi="Times New Roman"/>
          <w:sz w:val="20"/>
          <w:szCs w:val="20"/>
        </w:rPr>
      </w:pPr>
      <w:r>
        <w:rPr>
          <w:rFonts w:ascii="Times New Roman" w:hAnsi="Times New Roman"/>
          <w:sz w:val="20"/>
          <w:szCs w:val="20"/>
        </w:rPr>
        <w:t>A nossa política econômica talvez não seja a política econômica do sonho do Palocci, do meu sonho, do sonho do Tarso ou do Guido e de vocês. Mas é a política econômica que nós temos consciência que é possível fazer nesse momento. Alguns apressados que cobram mais rapidez, oito meses atrás imaginavam o desastre no país (ATA da 4ª Reunião Plenária, 4 de setembro de 2003, p. 7).</w:t>
      </w:r>
    </w:p>
    <w:p w:rsidR="00303FA9" w:rsidRDefault="00303FA9" w:rsidP="00303FA9">
      <w:pPr>
        <w:spacing w:line="360" w:lineRule="auto"/>
        <w:ind w:firstLine="708"/>
        <w:jc w:val="both"/>
        <w:rPr>
          <w:rFonts w:ascii="Times New Roman" w:hAnsi="Times New Roman"/>
          <w:sz w:val="24"/>
          <w:szCs w:val="24"/>
        </w:rPr>
      </w:pPr>
      <w:r>
        <w:rPr>
          <w:rFonts w:ascii="Times New Roman" w:hAnsi="Times New Roman"/>
          <w:sz w:val="24"/>
          <w:szCs w:val="24"/>
        </w:rPr>
        <w:t>Junto a isso, ou melhor, simultaneamente, temáticas e propostas voltadas ao médio e longo prazos estavam presentes nas intervenções das reuniões plenárias, sobretudo nos documentos de orientação estratégica, na direção da elaboração de um projeto que reaprimorasse a expansão da acumulação capitalista no Brasil, cujas tarefas seriam de difícil implementação se as pautas de curto prazo requeridas não fossem ajustadas e mantidas na direção julgada correta. O imediatismo e o que poderia parecer como um certo etapismo por parte dos gestores da política econômica governamental eram contrastados por aquilo que os conselheiros consideravam constituir um projeto de desenvolvimento para o país, muito embora outros expressassem apoios mais ou menos velados, ou mesmo explícitos, à política oficial. Estes posicionamentos eram manifestados desde 2003 e permaneceram no CDES durante todo o primeiro mandato de Lula da Silva:</w:t>
      </w:r>
    </w:p>
    <w:p w:rsidR="00303FA9" w:rsidRDefault="00303FA9" w:rsidP="00303FA9">
      <w:pPr>
        <w:spacing w:line="240" w:lineRule="auto"/>
        <w:ind w:left="2268"/>
        <w:jc w:val="both"/>
        <w:rPr>
          <w:rFonts w:ascii="Times New Roman" w:hAnsi="Times New Roman"/>
          <w:sz w:val="20"/>
          <w:szCs w:val="20"/>
        </w:rPr>
      </w:pPr>
      <w:r w:rsidRPr="0082547F">
        <w:rPr>
          <w:rFonts w:ascii="Times New Roman" w:hAnsi="Times New Roman"/>
          <w:sz w:val="20"/>
          <w:szCs w:val="20"/>
        </w:rPr>
        <w:t>A ideia central é que, uma vez resolvidas as questões que perturbam a agenda macroeconômica brasileira, a mesma pode deixar de ser alvo permanente das atenções quotidianas, que passam a se voltar para a constituição de elementos básicos para a retomada do crescimento econômico, rumo ao desenvolvimento com distribuição de renda. Este novo modelo passa por reformas de natureza microeconômica, favorecendo o investimento, os negócios, a ampliação dos mercados, o crédito e a produtividade da economia. (...) A ação coordenada do governo prevê a ampliação dos investimentos, a implementação da parceria público-privada, a desoneração tributária sobre máquinas e equipamentos, bem como a qualificação e a avaliação permanente dos r</w:t>
      </w:r>
      <w:r>
        <w:rPr>
          <w:rFonts w:ascii="Times New Roman" w:hAnsi="Times New Roman"/>
          <w:sz w:val="20"/>
          <w:szCs w:val="20"/>
        </w:rPr>
        <w:t>esultados das políticas sociais (Ministro Palocci, ATA da 5ª Reunião Plenária, 10/12/2003, p. 4).</w:t>
      </w:r>
    </w:p>
    <w:p w:rsidR="00303FA9" w:rsidRDefault="00303FA9" w:rsidP="00303FA9">
      <w:pPr>
        <w:spacing w:line="240" w:lineRule="auto"/>
        <w:ind w:left="2268"/>
        <w:jc w:val="both"/>
        <w:rPr>
          <w:rFonts w:ascii="Times New Roman" w:hAnsi="Times New Roman"/>
          <w:sz w:val="20"/>
          <w:szCs w:val="20"/>
        </w:rPr>
      </w:pPr>
      <w:r>
        <w:rPr>
          <w:rFonts w:ascii="Times New Roman" w:hAnsi="Times New Roman"/>
          <w:sz w:val="20"/>
          <w:szCs w:val="20"/>
        </w:rPr>
        <w:t>O nosso governo consolidou a estabilidade macroeconômica através de uma política fiscal responsável, baseada em contenção de despesas; de uma política monetária forte, para combater o surto inflacionário do final de 2002, de uma melhora significativa das contas externas e da composição da dívida pública. A política de ajuste fiscal (...) tem como traço peculiar o fato de que, pela primeira vez, promovemos uma redução das despesas públicas. (...) não se pode desconsiderar que um ajuste fiscal efetivo requer um período mais prolongado para potencializar seus efeitos. (Ministro Palocci, ATA da 7ª Reunião Plenária, 13/05/2004).</w:t>
      </w:r>
    </w:p>
    <w:p w:rsidR="00303FA9" w:rsidRDefault="00303FA9" w:rsidP="00303FA9">
      <w:pPr>
        <w:spacing w:line="240" w:lineRule="auto"/>
        <w:ind w:left="2268"/>
        <w:jc w:val="both"/>
        <w:rPr>
          <w:rFonts w:ascii="Times New Roman" w:hAnsi="Times New Roman"/>
          <w:sz w:val="20"/>
          <w:szCs w:val="20"/>
        </w:rPr>
      </w:pPr>
      <w:r>
        <w:rPr>
          <w:rFonts w:ascii="Times New Roman" w:hAnsi="Times New Roman"/>
          <w:sz w:val="20"/>
          <w:szCs w:val="20"/>
        </w:rPr>
        <w:t>Gostaria de ficar animada com os dados apresentados [pelo Ministro]. O Brasil real que aparece aponta uma situação distinta, especialmente com relação ao desemprego e à queda do salário. Se a economia terá crescimento baixo, então naturalmente vamos continuar tendo aperto fiscal, sem margem para muitos investimentos. Como vamos fazer redistribuição para o estabelecimento de políticas públicas se estamos tirando valor elevado da possibilidade de gasto do governo? (Conselheira Sonia Fleury, ATA da 5ª Reunião Plenária, 10/12/2003, p. 5).</w:t>
      </w:r>
    </w:p>
    <w:p w:rsidR="00303FA9" w:rsidRDefault="00303FA9" w:rsidP="00303FA9">
      <w:pPr>
        <w:spacing w:line="240" w:lineRule="auto"/>
        <w:ind w:left="2268"/>
        <w:jc w:val="both"/>
        <w:rPr>
          <w:rFonts w:ascii="Times New Roman" w:hAnsi="Times New Roman"/>
          <w:sz w:val="20"/>
          <w:szCs w:val="20"/>
        </w:rPr>
      </w:pPr>
      <w:r w:rsidRPr="00346354">
        <w:rPr>
          <w:rFonts w:ascii="Times New Roman" w:hAnsi="Times New Roman"/>
          <w:sz w:val="20"/>
          <w:szCs w:val="20"/>
        </w:rPr>
        <w:t>O ajustamento busca retirar a pauta macroeconômica do cenário e centrar foco no desenvolvimento. No entanto, toda essa ortodoxia econômica não nos permite pensar no desenvolvimento. O SUS foi desmantelado, e piorou nos últimos meses. Logo, esse desmantelamento das políticas públicas vai ser mantido no longo prazo pelo veneno do resultado primário (Conselheira Jurema Werneck</w:t>
      </w:r>
      <w:r>
        <w:rPr>
          <w:rFonts w:ascii="Times New Roman" w:hAnsi="Times New Roman"/>
          <w:sz w:val="20"/>
          <w:szCs w:val="20"/>
        </w:rPr>
        <w:t>, ATA da 5ª Reunião Plenária, 10/12/2003, p. 5-6</w:t>
      </w:r>
      <w:r w:rsidRPr="00346354">
        <w:rPr>
          <w:rFonts w:ascii="Times New Roman" w:hAnsi="Times New Roman"/>
          <w:sz w:val="20"/>
          <w:szCs w:val="20"/>
        </w:rPr>
        <w:t>).</w:t>
      </w:r>
    </w:p>
    <w:p w:rsidR="00303FA9" w:rsidRDefault="00303FA9" w:rsidP="00303FA9">
      <w:pPr>
        <w:spacing w:line="240" w:lineRule="auto"/>
        <w:ind w:left="2268"/>
        <w:jc w:val="both"/>
        <w:rPr>
          <w:rFonts w:ascii="Times New Roman" w:hAnsi="Times New Roman"/>
          <w:sz w:val="20"/>
          <w:szCs w:val="20"/>
        </w:rPr>
      </w:pPr>
      <w:r>
        <w:rPr>
          <w:rFonts w:ascii="Times New Roman" w:hAnsi="Times New Roman"/>
          <w:sz w:val="20"/>
          <w:szCs w:val="20"/>
        </w:rPr>
        <w:t>Os números apresentados evidenciam o êxito alcançado na estabilidade macroeconômica, na sustentabilidade fiscal, na sustentabilidade externa. Porém, esses são pré-requisitos não para o crescimento e sim para o endividamento sustentável. O Estado está transferindo recursos da sociedade para o setor financeiro. O Brasil cresce quando o Estado investe em produção e para isso tem que reduzir drasticamente seus gastos com o serviço da dívida. Há que se renegociar, há que se cancelar pelo menos uma parte desta dívida (Conselheiro Pedro Oliveira, ATA da 7ª Reunião Plenária, 13/05/2004).</w:t>
      </w:r>
      <w:r>
        <w:rPr>
          <w:rStyle w:val="Refdenotaderodap"/>
          <w:rFonts w:ascii="Times New Roman" w:hAnsi="Times New Roman"/>
          <w:sz w:val="20"/>
          <w:szCs w:val="20"/>
        </w:rPr>
        <w:footnoteReference w:id="422"/>
      </w:r>
    </w:p>
    <w:p w:rsidR="00303FA9" w:rsidRDefault="00303FA9" w:rsidP="00303FA9">
      <w:pPr>
        <w:spacing w:line="240" w:lineRule="auto"/>
        <w:ind w:left="2268"/>
        <w:jc w:val="both"/>
        <w:rPr>
          <w:rFonts w:ascii="Times New Roman" w:hAnsi="Times New Roman"/>
          <w:sz w:val="20"/>
          <w:szCs w:val="20"/>
        </w:rPr>
      </w:pPr>
      <w:r>
        <w:rPr>
          <w:rFonts w:ascii="Times New Roman" w:hAnsi="Times New Roman"/>
          <w:sz w:val="20"/>
          <w:szCs w:val="20"/>
        </w:rPr>
        <w:t>Tivemos uma agenda reativa e corretiva das distorções, mas isso é necessário e não suficiente. Temos agora que construir uma agenda positiva de desenvolvimento, com reforço da infra-estrutura, da poupança e do emprego (Conselheiro Manoel Castro, ATA da 5ª Reunião Plenária, 10/12/2003, p. 4).</w:t>
      </w:r>
    </w:p>
    <w:p w:rsidR="004A1F5C" w:rsidRDefault="00303FA9" w:rsidP="00303FA9">
      <w:pPr>
        <w:spacing w:after="0" w:line="360" w:lineRule="auto"/>
        <w:jc w:val="both"/>
        <w:rPr>
          <w:rFonts w:ascii="Times New Roman" w:hAnsi="Times New Roman"/>
          <w:sz w:val="24"/>
          <w:szCs w:val="24"/>
        </w:rPr>
      </w:pPr>
      <w:r>
        <w:rPr>
          <w:rFonts w:ascii="Times New Roman" w:hAnsi="Times New Roman"/>
          <w:sz w:val="24"/>
          <w:szCs w:val="24"/>
        </w:rPr>
        <w:tab/>
        <w:t>As intervenções dos conselheiros são expostas aqui com a precisa intenção de mostrar a existência de consistentes embates entre os condutores da equipe econôm</w:t>
      </w:r>
      <w:r w:rsidR="00202AB5">
        <w:rPr>
          <w:rFonts w:ascii="Times New Roman" w:hAnsi="Times New Roman"/>
          <w:sz w:val="24"/>
          <w:szCs w:val="24"/>
        </w:rPr>
        <w:t xml:space="preserve">ica do governo </w:t>
      </w:r>
      <w:r w:rsidR="001F48B8">
        <w:rPr>
          <w:rFonts w:ascii="Times New Roman" w:hAnsi="Times New Roman"/>
          <w:sz w:val="24"/>
          <w:szCs w:val="24"/>
        </w:rPr>
        <w:t xml:space="preserve">e conselheiros que carreavam </w:t>
      </w:r>
      <w:r w:rsidR="00E976E0">
        <w:rPr>
          <w:rFonts w:ascii="Times New Roman" w:hAnsi="Times New Roman"/>
          <w:sz w:val="24"/>
          <w:szCs w:val="24"/>
        </w:rPr>
        <w:t xml:space="preserve">e expressam </w:t>
      </w:r>
      <w:r w:rsidR="001F48B8">
        <w:rPr>
          <w:rFonts w:ascii="Times New Roman" w:hAnsi="Times New Roman"/>
          <w:sz w:val="24"/>
          <w:szCs w:val="24"/>
        </w:rPr>
        <w:t xml:space="preserve">certa “sensibilidade” petista socialmente reconhecida no </w:t>
      </w:r>
      <w:r w:rsidR="00E976E0">
        <w:rPr>
          <w:rFonts w:ascii="Times New Roman" w:hAnsi="Times New Roman"/>
          <w:sz w:val="24"/>
          <w:szCs w:val="24"/>
        </w:rPr>
        <w:t xml:space="preserve">seu </w:t>
      </w:r>
      <w:r w:rsidR="001F48B8">
        <w:rPr>
          <w:rFonts w:ascii="Times New Roman" w:hAnsi="Times New Roman"/>
          <w:sz w:val="24"/>
          <w:szCs w:val="24"/>
        </w:rPr>
        <w:t>viés distributivista</w:t>
      </w:r>
      <w:r>
        <w:rPr>
          <w:rFonts w:ascii="Times New Roman" w:hAnsi="Times New Roman"/>
          <w:sz w:val="24"/>
          <w:szCs w:val="24"/>
        </w:rPr>
        <w:t xml:space="preserve">, principalmente no que tange aos caminhos, instrumentos e ritmos defendidos para se alcançar o propalado desenvolvimento, e de discordâncias entre os próprios conselheiros. </w:t>
      </w:r>
    </w:p>
    <w:p w:rsidR="004A1F5C" w:rsidRPr="00C33FA2" w:rsidRDefault="00074156" w:rsidP="004A1F5C">
      <w:pPr>
        <w:spacing w:after="0" w:line="360" w:lineRule="auto"/>
        <w:ind w:firstLine="708"/>
        <w:jc w:val="both"/>
        <w:rPr>
          <w:rFonts w:ascii="Times New Roman" w:hAnsi="Times New Roman"/>
          <w:sz w:val="24"/>
          <w:szCs w:val="24"/>
        </w:rPr>
      </w:pPr>
      <w:r w:rsidRPr="00C33FA2">
        <w:rPr>
          <w:rFonts w:ascii="Times New Roman" w:hAnsi="Times New Roman"/>
          <w:sz w:val="24"/>
          <w:szCs w:val="24"/>
        </w:rPr>
        <w:t xml:space="preserve">É interessante </w:t>
      </w:r>
      <w:r w:rsidR="004A1F5C" w:rsidRPr="00C33FA2">
        <w:rPr>
          <w:rFonts w:ascii="Times New Roman" w:hAnsi="Times New Roman"/>
          <w:sz w:val="24"/>
          <w:szCs w:val="24"/>
        </w:rPr>
        <w:t>perceber</w:t>
      </w:r>
      <w:r w:rsidRPr="00C33FA2">
        <w:rPr>
          <w:rFonts w:ascii="Times New Roman" w:hAnsi="Times New Roman"/>
          <w:sz w:val="24"/>
          <w:szCs w:val="24"/>
        </w:rPr>
        <w:t xml:space="preserve"> como </w:t>
      </w:r>
      <w:r w:rsidR="00202AB5" w:rsidRPr="00C33FA2">
        <w:rPr>
          <w:rFonts w:ascii="Times New Roman" w:hAnsi="Times New Roman"/>
          <w:sz w:val="24"/>
          <w:szCs w:val="24"/>
        </w:rPr>
        <w:t xml:space="preserve">o </w:t>
      </w:r>
      <w:r w:rsidRPr="00C33FA2">
        <w:rPr>
          <w:rFonts w:ascii="Times New Roman" w:hAnsi="Times New Roman"/>
          <w:sz w:val="24"/>
          <w:szCs w:val="24"/>
        </w:rPr>
        <w:t xml:space="preserve">próprio Palocci </w:t>
      </w:r>
      <w:r w:rsidR="00202AB5" w:rsidRPr="00C33FA2">
        <w:rPr>
          <w:rFonts w:ascii="Times New Roman" w:hAnsi="Times New Roman"/>
          <w:sz w:val="24"/>
          <w:szCs w:val="24"/>
        </w:rPr>
        <w:t xml:space="preserve">(membro histórico do PT) </w:t>
      </w:r>
      <w:r w:rsidR="00AA1E7E" w:rsidRPr="00C33FA2">
        <w:rPr>
          <w:rFonts w:ascii="Times New Roman" w:hAnsi="Times New Roman"/>
          <w:sz w:val="24"/>
          <w:szCs w:val="24"/>
        </w:rPr>
        <w:t>mobiliza</w:t>
      </w:r>
      <w:r w:rsidR="004A1F5C" w:rsidRPr="00C33FA2">
        <w:rPr>
          <w:rFonts w:ascii="Times New Roman" w:hAnsi="Times New Roman"/>
          <w:sz w:val="24"/>
          <w:szCs w:val="24"/>
        </w:rPr>
        <w:t>va</w:t>
      </w:r>
      <w:r w:rsidR="00AA1E7E" w:rsidRPr="00C33FA2">
        <w:rPr>
          <w:rFonts w:ascii="Times New Roman" w:hAnsi="Times New Roman"/>
          <w:sz w:val="24"/>
          <w:szCs w:val="24"/>
        </w:rPr>
        <w:t xml:space="preserve"> argumentos “gerenciais” para, logo em seguida, </w:t>
      </w:r>
      <w:r w:rsidR="00202AB5" w:rsidRPr="00C33FA2">
        <w:rPr>
          <w:rFonts w:ascii="Times New Roman" w:hAnsi="Times New Roman"/>
          <w:sz w:val="24"/>
          <w:szCs w:val="24"/>
        </w:rPr>
        <w:t>introduz</w:t>
      </w:r>
      <w:r w:rsidR="00AA1E7E" w:rsidRPr="00C33FA2">
        <w:rPr>
          <w:rFonts w:ascii="Times New Roman" w:hAnsi="Times New Roman"/>
          <w:sz w:val="24"/>
          <w:szCs w:val="24"/>
        </w:rPr>
        <w:t>irprontamente o</w:t>
      </w:r>
      <w:r w:rsidR="00202AB5" w:rsidRPr="00C33FA2">
        <w:rPr>
          <w:rFonts w:ascii="Times New Roman" w:hAnsi="Times New Roman"/>
          <w:sz w:val="24"/>
          <w:szCs w:val="24"/>
        </w:rPr>
        <w:t xml:space="preserve"> rechaço </w:t>
      </w:r>
      <w:r w:rsidR="00AA1E7E" w:rsidRPr="00C33FA2">
        <w:rPr>
          <w:rFonts w:ascii="Times New Roman" w:hAnsi="Times New Roman"/>
          <w:sz w:val="24"/>
          <w:szCs w:val="24"/>
        </w:rPr>
        <w:t xml:space="preserve">às reivindicações, entendidas comouma </w:t>
      </w:r>
      <w:r w:rsidRPr="00C33FA2">
        <w:rPr>
          <w:rFonts w:ascii="Times New Roman" w:hAnsi="Times New Roman"/>
          <w:sz w:val="24"/>
          <w:szCs w:val="24"/>
        </w:rPr>
        <w:t xml:space="preserve">espécie de “utopia” da sensibilidade social. </w:t>
      </w:r>
      <w:r w:rsidR="00AA1E7E" w:rsidRPr="00C33FA2">
        <w:rPr>
          <w:rFonts w:ascii="Times New Roman" w:hAnsi="Times New Roman"/>
          <w:sz w:val="24"/>
          <w:szCs w:val="24"/>
        </w:rPr>
        <w:t>Tratava-se de d</w:t>
      </w:r>
      <w:r w:rsidRPr="00C33FA2">
        <w:rPr>
          <w:rFonts w:ascii="Times New Roman" w:hAnsi="Times New Roman"/>
          <w:sz w:val="24"/>
          <w:szCs w:val="24"/>
        </w:rPr>
        <w:t xml:space="preserve">esqualificar esta sensibilidade para defini-la como algo </w:t>
      </w:r>
      <w:r w:rsidR="00AA1E7E" w:rsidRPr="00C33FA2">
        <w:rPr>
          <w:rFonts w:ascii="Times New Roman" w:hAnsi="Times New Roman"/>
          <w:sz w:val="24"/>
          <w:szCs w:val="24"/>
        </w:rPr>
        <w:t>perigosamente “</w:t>
      </w:r>
      <w:r w:rsidRPr="00C33FA2">
        <w:rPr>
          <w:rFonts w:ascii="Times New Roman" w:hAnsi="Times New Roman"/>
          <w:sz w:val="24"/>
          <w:szCs w:val="24"/>
        </w:rPr>
        <w:t>utópica</w:t>
      </w:r>
      <w:r w:rsidR="00AA1E7E" w:rsidRPr="00C33FA2">
        <w:rPr>
          <w:rFonts w:ascii="Times New Roman" w:hAnsi="Times New Roman"/>
          <w:sz w:val="24"/>
          <w:szCs w:val="24"/>
        </w:rPr>
        <w:t xml:space="preserve">”, trazendo números e exemplos de outros países para sustentar que </w:t>
      </w:r>
      <w:r w:rsidRPr="00C33FA2">
        <w:rPr>
          <w:rFonts w:ascii="Times New Roman" w:hAnsi="Times New Roman"/>
          <w:sz w:val="24"/>
          <w:szCs w:val="24"/>
        </w:rPr>
        <w:t xml:space="preserve">o </w:t>
      </w:r>
      <w:r w:rsidR="00AA1E7E" w:rsidRPr="00C33FA2">
        <w:rPr>
          <w:rFonts w:ascii="Times New Roman" w:hAnsi="Times New Roman"/>
          <w:sz w:val="24"/>
          <w:szCs w:val="24"/>
        </w:rPr>
        <w:t>principalera continuar seguindo os fundamentos econôm</w:t>
      </w:r>
      <w:r w:rsidR="00D2218A" w:rsidRPr="00C33FA2">
        <w:rPr>
          <w:rFonts w:ascii="Times New Roman" w:hAnsi="Times New Roman"/>
          <w:sz w:val="24"/>
          <w:szCs w:val="24"/>
        </w:rPr>
        <w:t>i</w:t>
      </w:r>
      <w:r w:rsidR="00AA1E7E" w:rsidRPr="00C33FA2">
        <w:rPr>
          <w:rFonts w:ascii="Times New Roman" w:hAnsi="Times New Roman"/>
          <w:sz w:val="24"/>
          <w:szCs w:val="24"/>
        </w:rPr>
        <w:t xml:space="preserve">cos tidos como os mais eficientes para a </w:t>
      </w:r>
      <w:r w:rsidRPr="00C33FA2">
        <w:rPr>
          <w:rFonts w:ascii="Times New Roman" w:hAnsi="Times New Roman"/>
          <w:sz w:val="24"/>
          <w:szCs w:val="24"/>
        </w:rPr>
        <w:t>gestão</w:t>
      </w:r>
      <w:r w:rsidR="00AA1E7E" w:rsidRPr="00C33FA2">
        <w:rPr>
          <w:rFonts w:ascii="Times New Roman" w:hAnsi="Times New Roman"/>
          <w:sz w:val="24"/>
          <w:szCs w:val="24"/>
        </w:rPr>
        <w:t xml:space="preserve"> econômica</w:t>
      </w:r>
      <w:r w:rsidRPr="00C33FA2">
        <w:rPr>
          <w:rFonts w:ascii="Times New Roman" w:hAnsi="Times New Roman"/>
          <w:sz w:val="24"/>
          <w:szCs w:val="24"/>
        </w:rPr>
        <w:t>.</w:t>
      </w:r>
      <w:r w:rsidR="004A1F5C" w:rsidRPr="00C33FA2">
        <w:rPr>
          <w:rFonts w:ascii="Times New Roman" w:hAnsi="Times New Roman"/>
          <w:sz w:val="24"/>
          <w:szCs w:val="24"/>
        </w:rPr>
        <w:t>Em sua formulação, era</w:t>
      </w:r>
      <w:r w:rsidR="00D2218A" w:rsidRPr="00C33FA2">
        <w:rPr>
          <w:rFonts w:ascii="Times New Roman" w:hAnsi="Times New Roman"/>
          <w:sz w:val="24"/>
          <w:szCs w:val="24"/>
        </w:rPr>
        <w:t xml:space="preserve"> a partir da resolução dos problemas no âmbito da economia (destravar pontos críticos e impulsioná-los para o capital) que se </w:t>
      </w:r>
      <w:r w:rsidR="004A1F5C" w:rsidRPr="00C33FA2">
        <w:rPr>
          <w:rFonts w:ascii="Times New Roman" w:hAnsi="Times New Roman"/>
          <w:sz w:val="24"/>
          <w:szCs w:val="24"/>
        </w:rPr>
        <w:t>atendia</w:t>
      </w:r>
      <w:r w:rsidR="00D2218A" w:rsidRPr="00C33FA2">
        <w:rPr>
          <w:rFonts w:ascii="Times New Roman" w:hAnsi="Times New Roman"/>
          <w:sz w:val="24"/>
          <w:szCs w:val="24"/>
        </w:rPr>
        <w:t xml:space="preserve"> às reivindicações sociais.</w:t>
      </w:r>
    </w:p>
    <w:p w:rsidR="0009528F" w:rsidRPr="00C33FA2" w:rsidRDefault="001630DC" w:rsidP="004A1F5C">
      <w:pPr>
        <w:spacing w:after="0" w:line="360" w:lineRule="auto"/>
        <w:ind w:firstLine="708"/>
        <w:jc w:val="both"/>
        <w:rPr>
          <w:rFonts w:ascii="Times New Roman" w:hAnsi="Times New Roman"/>
          <w:sz w:val="24"/>
          <w:szCs w:val="24"/>
        </w:rPr>
      </w:pPr>
      <w:r w:rsidRPr="00C33FA2">
        <w:rPr>
          <w:rFonts w:ascii="Times New Roman" w:hAnsi="Times New Roman"/>
          <w:sz w:val="24"/>
          <w:szCs w:val="24"/>
        </w:rPr>
        <w:t xml:space="preserve">Deve-se ressaltar que, no fundo, o debate trazido acima é derivado de uma luta </w:t>
      </w:r>
      <w:r w:rsidR="000C00B2" w:rsidRPr="00C33FA2">
        <w:rPr>
          <w:rFonts w:ascii="Times New Roman" w:hAnsi="Times New Roman"/>
          <w:sz w:val="24"/>
          <w:szCs w:val="24"/>
        </w:rPr>
        <w:t>política</w:t>
      </w:r>
      <w:r w:rsidRPr="00C33FA2">
        <w:rPr>
          <w:rFonts w:ascii="Times New Roman" w:hAnsi="Times New Roman"/>
          <w:sz w:val="24"/>
          <w:szCs w:val="24"/>
        </w:rPr>
        <w:t>, não necessariamente ligada aos grupos que comp</w:t>
      </w:r>
      <w:r w:rsidR="004A1F5C" w:rsidRPr="00C33FA2">
        <w:rPr>
          <w:rFonts w:ascii="Times New Roman" w:hAnsi="Times New Roman"/>
          <w:sz w:val="24"/>
          <w:szCs w:val="24"/>
        </w:rPr>
        <w:t>unha</w:t>
      </w:r>
      <w:r w:rsidRPr="00C33FA2">
        <w:rPr>
          <w:rFonts w:ascii="Times New Roman" w:hAnsi="Times New Roman"/>
          <w:sz w:val="24"/>
          <w:szCs w:val="24"/>
        </w:rPr>
        <w:t>m o PT, mas que atravessava uma “ambiência petista”</w:t>
      </w:r>
      <w:r w:rsidR="00ED3B79" w:rsidRPr="00C33FA2">
        <w:rPr>
          <w:rFonts w:ascii="Times New Roman" w:hAnsi="Times New Roman"/>
          <w:sz w:val="24"/>
          <w:szCs w:val="24"/>
        </w:rPr>
        <w:t>. Havia uma</w:t>
      </w:r>
      <w:r w:rsidRPr="00C33FA2">
        <w:rPr>
          <w:rFonts w:ascii="Times New Roman" w:hAnsi="Times New Roman"/>
          <w:sz w:val="24"/>
          <w:szCs w:val="24"/>
        </w:rPr>
        <w:t xml:space="preserve"> parcela org</w:t>
      </w:r>
      <w:r w:rsidR="00630CA0" w:rsidRPr="00C33FA2">
        <w:rPr>
          <w:rFonts w:ascii="Times New Roman" w:hAnsi="Times New Roman"/>
          <w:sz w:val="24"/>
          <w:szCs w:val="24"/>
        </w:rPr>
        <w:t>anizada no governo</w:t>
      </w:r>
      <w:r w:rsidR="0055546B" w:rsidRPr="00C33FA2">
        <w:rPr>
          <w:rStyle w:val="Refdenotaderodap"/>
          <w:rFonts w:ascii="Times New Roman" w:hAnsi="Times New Roman"/>
          <w:sz w:val="24"/>
          <w:szCs w:val="24"/>
        </w:rPr>
        <w:footnoteReference w:id="423"/>
      </w:r>
      <w:r w:rsidR="0055546B" w:rsidRPr="00C33FA2">
        <w:rPr>
          <w:rFonts w:ascii="Times New Roman" w:hAnsi="Times New Roman"/>
          <w:sz w:val="24"/>
          <w:szCs w:val="24"/>
        </w:rPr>
        <w:t xml:space="preserve">que apoiava ou amparava as medidas de ajustes (“remédio amargo, mas necessário”) </w:t>
      </w:r>
      <w:r w:rsidR="00FC28E6" w:rsidRPr="00C33FA2">
        <w:rPr>
          <w:rFonts w:ascii="Times New Roman" w:hAnsi="Times New Roman"/>
          <w:sz w:val="24"/>
          <w:szCs w:val="24"/>
        </w:rPr>
        <w:t xml:space="preserve">e </w:t>
      </w:r>
      <w:r w:rsidR="00630CA0" w:rsidRPr="00C33FA2">
        <w:rPr>
          <w:rFonts w:ascii="Times New Roman" w:hAnsi="Times New Roman"/>
          <w:sz w:val="24"/>
          <w:szCs w:val="24"/>
        </w:rPr>
        <w:t>que tinha como função amansar seus correligion</w:t>
      </w:r>
      <w:r w:rsidR="0055546B" w:rsidRPr="00C33FA2">
        <w:rPr>
          <w:rFonts w:ascii="Times New Roman" w:hAnsi="Times New Roman"/>
          <w:sz w:val="24"/>
          <w:szCs w:val="24"/>
        </w:rPr>
        <w:t>ários</w:t>
      </w:r>
      <w:r w:rsidR="00736387" w:rsidRPr="00C33FA2">
        <w:rPr>
          <w:rFonts w:ascii="Times New Roman" w:hAnsi="Times New Roman"/>
          <w:sz w:val="24"/>
          <w:szCs w:val="24"/>
        </w:rPr>
        <w:t xml:space="preserve"> e/ou setores mais inclinados às pautas populares</w:t>
      </w:r>
      <w:r w:rsidR="0055546B" w:rsidRPr="00C33FA2">
        <w:rPr>
          <w:rFonts w:ascii="Times New Roman" w:hAnsi="Times New Roman"/>
          <w:sz w:val="24"/>
          <w:szCs w:val="24"/>
        </w:rPr>
        <w:t xml:space="preserve">, </w:t>
      </w:r>
      <w:r w:rsidR="0003492B" w:rsidRPr="00C33FA2">
        <w:rPr>
          <w:rFonts w:ascii="Times New Roman" w:hAnsi="Times New Roman"/>
          <w:sz w:val="24"/>
          <w:szCs w:val="24"/>
        </w:rPr>
        <w:t>esforçando-se por</w:t>
      </w:r>
      <w:r w:rsidR="00630CA0" w:rsidRPr="00C33FA2">
        <w:rPr>
          <w:rFonts w:ascii="Times New Roman" w:hAnsi="Times New Roman"/>
          <w:sz w:val="24"/>
          <w:szCs w:val="24"/>
        </w:rPr>
        <w:t>desfigur</w:t>
      </w:r>
      <w:r w:rsidR="0003492B" w:rsidRPr="00C33FA2">
        <w:rPr>
          <w:rFonts w:ascii="Times New Roman" w:hAnsi="Times New Roman"/>
          <w:sz w:val="24"/>
          <w:szCs w:val="24"/>
        </w:rPr>
        <w:t>ar</w:t>
      </w:r>
      <w:r w:rsidR="00736387" w:rsidRPr="00C33FA2">
        <w:rPr>
          <w:rFonts w:ascii="Times New Roman" w:hAnsi="Times New Roman"/>
          <w:sz w:val="24"/>
          <w:szCs w:val="24"/>
        </w:rPr>
        <w:t>e</w:t>
      </w:r>
      <w:r w:rsidR="0055546B" w:rsidRPr="00C33FA2">
        <w:rPr>
          <w:rFonts w:ascii="Times New Roman" w:hAnsi="Times New Roman"/>
          <w:sz w:val="24"/>
          <w:szCs w:val="24"/>
        </w:rPr>
        <w:t xml:space="preserve"> de</w:t>
      </w:r>
      <w:r w:rsidR="004A1F5C" w:rsidRPr="00C33FA2">
        <w:rPr>
          <w:rFonts w:ascii="Times New Roman" w:hAnsi="Times New Roman"/>
          <w:sz w:val="24"/>
          <w:szCs w:val="24"/>
        </w:rPr>
        <w:t>s</w:t>
      </w:r>
      <w:r w:rsidR="0055546B" w:rsidRPr="00C33FA2">
        <w:rPr>
          <w:rFonts w:ascii="Times New Roman" w:hAnsi="Times New Roman"/>
          <w:sz w:val="24"/>
          <w:szCs w:val="24"/>
        </w:rPr>
        <w:t xml:space="preserve">legitimar </w:t>
      </w:r>
      <w:r w:rsidR="00630CA0" w:rsidRPr="00C33FA2">
        <w:rPr>
          <w:rFonts w:ascii="Times New Roman" w:hAnsi="Times New Roman"/>
          <w:sz w:val="24"/>
          <w:szCs w:val="24"/>
        </w:rPr>
        <w:t>suas expectativas</w:t>
      </w:r>
      <w:r w:rsidR="004A1F5C" w:rsidRPr="00C33FA2">
        <w:rPr>
          <w:rFonts w:ascii="Times New Roman" w:hAnsi="Times New Roman"/>
          <w:sz w:val="24"/>
          <w:szCs w:val="24"/>
        </w:rPr>
        <w:t>,</w:t>
      </w:r>
      <w:r w:rsidR="00736387" w:rsidRPr="00C33FA2">
        <w:rPr>
          <w:rFonts w:ascii="Times New Roman" w:hAnsi="Times New Roman"/>
          <w:sz w:val="24"/>
          <w:szCs w:val="24"/>
        </w:rPr>
        <w:t>reduzindo e encapsulando as saídas</w:t>
      </w:r>
      <w:r w:rsidR="004A1F5C" w:rsidRPr="00C33FA2">
        <w:rPr>
          <w:rFonts w:ascii="Times New Roman" w:hAnsi="Times New Roman"/>
          <w:sz w:val="24"/>
          <w:szCs w:val="24"/>
        </w:rPr>
        <w:t xml:space="preserve"> ou alternativasfrente à </w:t>
      </w:r>
      <w:r w:rsidR="00630CA0" w:rsidRPr="00C33FA2">
        <w:rPr>
          <w:rFonts w:ascii="Times New Roman" w:hAnsi="Times New Roman"/>
          <w:sz w:val="24"/>
          <w:szCs w:val="24"/>
        </w:rPr>
        <w:t>gest</w:t>
      </w:r>
      <w:r w:rsidR="00FC28E6" w:rsidRPr="00C33FA2">
        <w:rPr>
          <w:rFonts w:ascii="Times New Roman" w:hAnsi="Times New Roman"/>
          <w:sz w:val="24"/>
          <w:szCs w:val="24"/>
        </w:rPr>
        <w:t>ão</w:t>
      </w:r>
      <w:r w:rsidR="00736387" w:rsidRPr="00C33FA2">
        <w:rPr>
          <w:rFonts w:ascii="Times New Roman" w:hAnsi="Times New Roman"/>
          <w:sz w:val="24"/>
          <w:szCs w:val="24"/>
        </w:rPr>
        <w:t xml:space="preserve"> ortodoxa</w:t>
      </w:r>
      <w:r w:rsidR="00191C67" w:rsidRPr="00C33FA2">
        <w:rPr>
          <w:rFonts w:ascii="Times New Roman" w:hAnsi="Times New Roman"/>
          <w:sz w:val="24"/>
          <w:szCs w:val="24"/>
        </w:rPr>
        <w:t xml:space="preserve"> e outra que</w:t>
      </w:r>
      <w:r w:rsidR="00ED3B79" w:rsidRPr="00C33FA2">
        <w:rPr>
          <w:rFonts w:ascii="Times New Roman" w:hAnsi="Times New Roman"/>
          <w:sz w:val="24"/>
          <w:szCs w:val="24"/>
        </w:rPr>
        <w:t>, sofrendo tais investidas,</w:t>
      </w:r>
      <w:r w:rsidR="00191C67" w:rsidRPr="00C33FA2">
        <w:rPr>
          <w:rFonts w:ascii="Times New Roman" w:hAnsi="Times New Roman"/>
          <w:sz w:val="24"/>
          <w:szCs w:val="24"/>
        </w:rPr>
        <w:t xml:space="preserve"> procurava resgatar </w:t>
      </w:r>
      <w:r w:rsidR="000C00B2" w:rsidRPr="00C33FA2">
        <w:rPr>
          <w:rFonts w:ascii="Times New Roman" w:hAnsi="Times New Roman"/>
          <w:sz w:val="24"/>
          <w:szCs w:val="24"/>
        </w:rPr>
        <w:t>de forma inorgânica</w:t>
      </w:r>
      <w:r w:rsidR="00191C67" w:rsidRPr="00C33FA2">
        <w:rPr>
          <w:rFonts w:ascii="Times New Roman" w:hAnsi="Times New Roman"/>
          <w:sz w:val="24"/>
          <w:szCs w:val="24"/>
        </w:rPr>
        <w:t xml:space="preserve"> algumas bandeiras </w:t>
      </w:r>
      <w:r w:rsidR="00736387" w:rsidRPr="00C33FA2">
        <w:rPr>
          <w:rFonts w:ascii="Times New Roman" w:hAnsi="Times New Roman"/>
          <w:sz w:val="24"/>
          <w:szCs w:val="24"/>
        </w:rPr>
        <w:t xml:space="preserve">sociais </w:t>
      </w:r>
      <w:r w:rsidR="00191C67" w:rsidRPr="00C33FA2">
        <w:rPr>
          <w:rFonts w:ascii="Times New Roman" w:hAnsi="Times New Roman"/>
          <w:sz w:val="24"/>
          <w:szCs w:val="24"/>
        </w:rPr>
        <w:t>do partido.</w:t>
      </w:r>
    </w:p>
    <w:p w:rsidR="00303FA9" w:rsidRDefault="00303FA9" w:rsidP="0009528F">
      <w:pPr>
        <w:spacing w:line="360" w:lineRule="auto"/>
        <w:ind w:firstLine="708"/>
        <w:jc w:val="both"/>
        <w:rPr>
          <w:rFonts w:ascii="Times New Roman" w:hAnsi="Times New Roman"/>
          <w:sz w:val="24"/>
          <w:szCs w:val="24"/>
        </w:rPr>
      </w:pPr>
      <w:r>
        <w:rPr>
          <w:rFonts w:ascii="Times New Roman" w:hAnsi="Times New Roman"/>
          <w:sz w:val="24"/>
          <w:szCs w:val="24"/>
        </w:rPr>
        <w:t>Até a 11ª Reunião Plenária do CDES, ocorrida em março de 2005, o ministro Antônio Palocci compareceu em sete ocasiões, sendo que em cinco delas para apresentar, debater e defender o mesmo tema: os rumos e resultados da política econômica do governo.</w:t>
      </w:r>
      <w:r>
        <w:rPr>
          <w:rStyle w:val="Refdenotaderodap"/>
          <w:rFonts w:ascii="Times New Roman" w:hAnsi="Times New Roman"/>
          <w:sz w:val="24"/>
          <w:szCs w:val="24"/>
        </w:rPr>
        <w:footnoteReference w:id="424"/>
      </w:r>
      <w:r>
        <w:rPr>
          <w:rFonts w:ascii="Times New Roman" w:hAnsi="Times New Roman"/>
          <w:sz w:val="24"/>
          <w:szCs w:val="24"/>
        </w:rPr>
        <w:t xml:space="preserve"> Em nenhuma delas Palocci, por vezes acompanhado de Henrique Meirelles, logrou sucesso ou obteve razoável consenso, malgrado a posição de conselheiros, muitos vinculados ao setor bancário-financeiro, que teciam ponderações elogiosas quanto ao suposto êxito da política econômica, especialmente à estabilização macroeconômica com foco na inflação e nas contas públicas como as de Roberto Setúbal (Presidente do Itaú) e de Márcio Artur Cypriano (Presidente do Bradesco), expressas abaixo. Outros setores também sentiam-se atendidos, como a da construção civil, cujo representante no CDES era Paulo Safady Simão, presidente da Câmara Brasileira da Indústria de Construção (CBIC): </w:t>
      </w:r>
    </w:p>
    <w:p w:rsidR="00303FA9" w:rsidRDefault="00303FA9" w:rsidP="00303FA9">
      <w:pPr>
        <w:spacing w:line="240" w:lineRule="auto"/>
        <w:ind w:left="2268"/>
        <w:jc w:val="both"/>
        <w:rPr>
          <w:rFonts w:ascii="Times New Roman" w:hAnsi="Times New Roman"/>
          <w:sz w:val="20"/>
          <w:szCs w:val="20"/>
        </w:rPr>
      </w:pPr>
      <w:r>
        <w:rPr>
          <w:rFonts w:ascii="Times New Roman" w:hAnsi="Times New Roman"/>
          <w:sz w:val="20"/>
          <w:szCs w:val="20"/>
        </w:rPr>
        <w:t>Os mercados estão reagindo muito positivamente às medidas do Brasil. Existe grande confiança dos mercados sobre o cenário brasileiro, indicando perspectiva de crescimento. O FMI tem sido positivo para o Brasil no sentido de dar mais confiabilidade junto aos mercados. Olhando para frente, apesar de o país não precisar dos recursos, mesmo assim seria bom ter acordo renovado para manter confiança alta (Conselheiro Roberto Setúbal, ATA da 4ª Reunião Plenária, 4/09/2003, p. 9).</w:t>
      </w:r>
    </w:p>
    <w:p w:rsidR="00303FA9" w:rsidRDefault="00303FA9" w:rsidP="00303FA9">
      <w:pPr>
        <w:spacing w:line="240" w:lineRule="auto"/>
        <w:ind w:left="2268"/>
        <w:jc w:val="both"/>
        <w:rPr>
          <w:rFonts w:ascii="Times New Roman" w:hAnsi="Times New Roman"/>
          <w:sz w:val="20"/>
          <w:szCs w:val="20"/>
        </w:rPr>
      </w:pPr>
      <w:r w:rsidRPr="00835584">
        <w:rPr>
          <w:rFonts w:ascii="Times New Roman" w:hAnsi="Times New Roman"/>
          <w:sz w:val="20"/>
          <w:szCs w:val="20"/>
        </w:rPr>
        <w:t>O país está pronto para decolar. (...) As perspectivas para 2005 são animadoras: a médio e longo prazo a tendência é de queda da taxa Selic, os ganhos de escala e de produtividade dos bancos, e a menor volatilidade macro-econômica aponta para uma queda dos juros. E é o que todos nós esperamos (</w:t>
      </w:r>
      <w:r>
        <w:rPr>
          <w:rFonts w:ascii="Times New Roman" w:hAnsi="Times New Roman"/>
          <w:sz w:val="20"/>
          <w:szCs w:val="20"/>
        </w:rPr>
        <w:t xml:space="preserve">Conselheiro Marcio Cypriano, </w:t>
      </w:r>
      <w:r w:rsidRPr="00835584">
        <w:rPr>
          <w:rFonts w:ascii="Times New Roman" w:hAnsi="Times New Roman"/>
          <w:sz w:val="20"/>
          <w:szCs w:val="20"/>
        </w:rPr>
        <w:t>ATA da 10ª Reunião Plenária, 10/11/2004).</w:t>
      </w:r>
    </w:p>
    <w:p w:rsidR="00303FA9" w:rsidRDefault="00303FA9" w:rsidP="00303FA9">
      <w:pPr>
        <w:spacing w:line="240" w:lineRule="auto"/>
        <w:ind w:left="2268"/>
        <w:jc w:val="both"/>
        <w:rPr>
          <w:rFonts w:ascii="Times New Roman" w:hAnsi="Times New Roman"/>
          <w:sz w:val="20"/>
          <w:szCs w:val="20"/>
        </w:rPr>
      </w:pPr>
      <w:r>
        <w:rPr>
          <w:rFonts w:ascii="Times New Roman" w:hAnsi="Times New Roman"/>
          <w:sz w:val="20"/>
          <w:szCs w:val="20"/>
        </w:rPr>
        <w:t xml:space="preserve">Queria inicialmente, ministro, dizer da minha satisfação de ter ouvido a palestra do nosso ministro Palocci, o entusiasmo com que ele falou da construção civil e dos programas e projetos que o Governo tem para frente. Se de um lado o mercado imobiliário encontrou o seu rumo, a Lei nº 10.931 recentemente aprovada e sancionada pelo senhor Presidente da República traz um novo marco para o mercado imobiliário brasileiro. (...) Tenho certeza de que a intenção e o caminho são estes (...). Tenho muita convicção de que se investirmos e trabalharmos na questão da construção vamos realmente mudar o quadro social desse País. (...) tenho conversado muito com o ministro Palocci, de que haverá agora um empenho, um esforço no sentido de um investimento também na área de infra-estrutura. Estou falando de saneamento, de habitação de interesse social, de saneamento em estradas, em portos, o que vai trazer benefícios para o País </w:t>
      </w:r>
      <w:r w:rsidRPr="00835584">
        <w:rPr>
          <w:rFonts w:ascii="Times New Roman" w:hAnsi="Times New Roman"/>
          <w:sz w:val="20"/>
          <w:szCs w:val="20"/>
        </w:rPr>
        <w:t>(</w:t>
      </w:r>
      <w:r>
        <w:rPr>
          <w:rFonts w:ascii="Times New Roman" w:hAnsi="Times New Roman"/>
          <w:sz w:val="20"/>
          <w:szCs w:val="20"/>
        </w:rPr>
        <w:t xml:space="preserve">Conselheiro Paulo Simão, </w:t>
      </w:r>
      <w:r w:rsidRPr="00835584">
        <w:rPr>
          <w:rFonts w:ascii="Times New Roman" w:hAnsi="Times New Roman"/>
          <w:sz w:val="20"/>
          <w:szCs w:val="20"/>
        </w:rPr>
        <w:t>ATA da 10ª Reunião Plenária, 10/11/2004</w:t>
      </w:r>
      <w:r>
        <w:rPr>
          <w:rFonts w:ascii="Times New Roman" w:hAnsi="Times New Roman"/>
          <w:sz w:val="20"/>
          <w:szCs w:val="20"/>
        </w:rPr>
        <w:t>, p. 45-46</w:t>
      </w:r>
      <w:r w:rsidRPr="00835584">
        <w:rPr>
          <w:rFonts w:ascii="Times New Roman" w:hAnsi="Times New Roman"/>
          <w:sz w:val="20"/>
          <w:szCs w:val="20"/>
        </w:rPr>
        <w:t>).</w:t>
      </w:r>
    </w:p>
    <w:p w:rsidR="0009528F" w:rsidRDefault="00303FA9" w:rsidP="00092A76">
      <w:pPr>
        <w:spacing w:after="0" w:line="360" w:lineRule="auto"/>
        <w:ind w:firstLine="708"/>
        <w:jc w:val="both"/>
        <w:rPr>
          <w:rFonts w:ascii="Times New Roman" w:hAnsi="Times New Roman"/>
          <w:sz w:val="24"/>
          <w:szCs w:val="24"/>
        </w:rPr>
      </w:pPr>
      <w:r>
        <w:rPr>
          <w:rFonts w:ascii="Times New Roman" w:hAnsi="Times New Roman"/>
          <w:sz w:val="24"/>
          <w:szCs w:val="24"/>
        </w:rPr>
        <w:t xml:space="preserve">De toda forma, os depoimentos críticos expostos, somados a inúmeros outros de colorações e conteúdos afins, evidenciavam que a maioria dos conselheiros não se sentia satisfeita </w:t>
      </w:r>
      <w:r w:rsidR="00781356">
        <w:rPr>
          <w:rFonts w:ascii="Times New Roman" w:hAnsi="Times New Roman"/>
          <w:sz w:val="24"/>
          <w:szCs w:val="24"/>
        </w:rPr>
        <w:t>com a</w:t>
      </w:r>
      <w:r>
        <w:rPr>
          <w:rFonts w:ascii="Times New Roman" w:hAnsi="Times New Roman"/>
          <w:sz w:val="24"/>
          <w:szCs w:val="24"/>
        </w:rPr>
        <w:t xml:space="preserve"> rigidez e severidade das medidas adotadas pela área econômica</w:t>
      </w:r>
      <w:r w:rsidR="005D2F3D">
        <w:rPr>
          <w:rFonts w:ascii="Times New Roman" w:hAnsi="Times New Roman"/>
          <w:sz w:val="24"/>
          <w:szCs w:val="24"/>
        </w:rPr>
        <w:t xml:space="preserve">. Por um lado, os conselheiros próximos à “sensibilidade” petista distributiva </w:t>
      </w:r>
      <w:r>
        <w:rPr>
          <w:rFonts w:ascii="Times New Roman" w:hAnsi="Times New Roman"/>
          <w:sz w:val="24"/>
          <w:szCs w:val="24"/>
        </w:rPr>
        <w:t xml:space="preserve">anteviam que </w:t>
      </w:r>
      <w:r w:rsidR="00092A76">
        <w:rPr>
          <w:rFonts w:ascii="Times New Roman" w:hAnsi="Times New Roman"/>
          <w:sz w:val="24"/>
          <w:szCs w:val="24"/>
        </w:rPr>
        <w:t>por meio delas o aprofundamento das</w:t>
      </w:r>
      <w:r>
        <w:rPr>
          <w:rFonts w:ascii="Times New Roman" w:hAnsi="Times New Roman"/>
          <w:sz w:val="24"/>
          <w:szCs w:val="24"/>
        </w:rPr>
        <w:t xml:space="preserve"> políticas </w:t>
      </w:r>
      <w:r w:rsidR="00092A76">
        <w:rPr>
          <w:rFonts w:ascii="Times New Roman" w:hAnsi="Times New Roman"/>
          <w:sz w:val="24"/>
          <w:szCs w:val="24"/>
        </w:rPr>
        <w:t>sociais</w:t>
      </w:r>
      <w:r>
        <w:rPr>
          <w:rFonts w:ascii="Times New Roman" w:hAnsi="Times New Roman"/>
          <w:sz w:val="24"/>
          <w:szCs w:val="24"/>
        </w:rPr>
        <w:t xml:space="preserve"> estavam relegadas a um momento posterior (pós-ajuste), ou, quando atendidas no curto prazo, eram exíguas</w:t>
      </w:r>
      <w:r w:rsidR="005D2F3D">
        <w:rPr>
          <w:rFonts w:ascii="Times New Roman" w:hAnsi="Times New Roman"/>
          <w:sz w:val="24"/>
          <w:szCs w:val="24"/>
        </w:rPr>
        <w:t xml:space="preserve">. Por outro, </w:t>
      </w:r>
      <w:r>
        <w:rPr>
          <w:rFonts w:ascii="Times New Roman" w:hAnsi="Times New Roman"/>
          <w:sz w:val="24"/>
          <w:szCs w:val="24"/>
        </w:rPr>
        <w:t xml:space="preserve">algumas </w:t>
      </w:r>
      <w:r w:rsidR="005D2F3D">
        <w:rPr>
          <w:rFonts w:ascii="Times New Roman" w:hAnsi="Times New Roman"/>
          <w:sz w:val="24"/>
          <w:szCs w:val="24"/>
        </w:rPr>
        <w:t xml:space="preserve">demandas do empresariado </w:t>
      </w:r>
      <w:r>
        <w:rPr>
          <w:rFonts w:ascii="Times New Roman" w:hAnsi="Times New Roman"/>
          <w:sz w:val="24"/>
          <w:szCs w:val="24"/>
        </w:rPr>
        <w:t>não estavam sendo atendidas ou, mesmo sendo, muitas eram parciais e implementadas com baixa celeridade (daí o ininterrupto tema das (micro)reformas ser constantem</w:t>
      </w:r>
      <w:r w:rsidR="00092A76">
        <w:rPr>
          <w:rFonts w:ascii="Times New Roman" w:hAnsi="Times New Roman"/>
          <w:sz w:val="24"/>
          <w:szCs w:val="24"/>
        </w:rPr>
        <w:t xml:space="preserve">ente cobrado pelos empresários). Não havia, num caso ou noutro, divergências acentuadas entre </w:t>
      </w:r>
      <w:r w:rsidR="00B8183E">
        <w:rPr>
          <w:rFonts w:ascii="Times New Roman" w:hAnsi="Times New Roman"/>
          <w:sz w:val="24"/>
          <w:szCs w:val="24"/>
        </w:rPr>
        <w:t>as aspirações d</w:t>
      </w:r>
      <w:r w:rsidR="00092A76">
        <w:rPr>
          <w:rFonts w:ascii="Times New Roman" w:hAnsi="Times New Roman"/>
          <w:sz w:val="24"/>
          <w:szCs w:val="24"/>
        </w:rPr>
        <w:t xml:space="preserve">o segmento social-liberal distributivista e </w:t>
      </w:r>
      <w:r w:rsidR="00B8183E">
        <w:rPr>
          <w:rFonts w:ascii="Times New Roman" w:hAnsi="Times New Roman"/>
          <w:sz w:val="24"/>
          <w:szCs w:val="24"/>
        </w:rPr>
        <w:t>as demandas d</w:t>
      </w:r>
      <w:r w:rsidR="00092A76">
        <w:rPr>
          <w:rFonts w:ascii="Times New Roman" w:hAnsi="Times New Roman"/>
          <w:sz w:val="24"/>
          <w:szCs w:val="24"/>
        </w:rPr>
        <w:t>o em</w:t>
      </w:r>
      <w:r w:rsidR="00B8183E">
        <w:rPr>
          <w:rFonts w:ascii="Times New Roman" w:hAnsi="Times New Roman"/>
          <w:sz w:val="24"/>
          <w:szCs w:val="24"/>
        </w:rPr>
        <w:t xml:space="preserve">presariado. </w:t>
      </w:r>
    </w:p>
    <w:p w:rsidR="00303FA9" w:rsidRDefault="00B8183E" w:rsidP="00092A76">
      <w:pPr>
        <w:spacing w:after="0" w:line="360" w:lineRule="auto"/>
        <w:ind w:firstLine="708"/>
        <w:jc w:val="both"/>
        <w:rPr>
          <w:rFonts w:ascii="Times New Roman" w:hAnsi="Times New Roman"/>
          <w:sz w:val="24"/>
          <w:szCs w:val="24"/>
        </w:rPr>
      </w:pPr>
      <w:r>
        <w:rPr>
          <w:rFonts w:ascii="Times New Roman" w:hAnsi="Times New Roman"/>
          <w:sz w:val="24"/>
          <w:szCs w:val="24"/>
        </w:rPr>
        <w:t xml:space="preserve">De um lado ou do outro, era bastante comum se deparar com </w:t>
      </w:r>
      <w:r w:rsidR="00303FA9">
        <w:rPr>
          <w:rFonts w:ascii="Times New Roman" w:hAnsi="Times New Roman"/>
          <w:sz w:val="24"/>
          <w:szCs w:val="24"/>
        </w:rPr>
        <w:t xml:space="preserve">argumentos de que o “econômico” não poderia ser separado ou precedido do “social” nem do “político” e, portanto, não ser monopólio dos “técnicos” (base argumentativa, por exemplo, da demanda de “democratização” do Conselho Monetário Nacional </w:t>
      </w:r>
      <w:r w:rsidR="00095250">
        <w:rPr>
          <w:rFonts w:ascii="Times New Roman" w:hAnsi="Times New Roman"/>
          <w:sz w:val="24"/>
          <w:szCs w:val="24"/>
        </w:rPr>
        <w:t>–</w:t>
      </w:r>
      <w:r w:rsidR="00303FA9">
        <w:rPr>
          <w:rFonts w:ascii="Times New Roman" w:hAnsi="Times New Roman"/>
          <w:sz w:val="24"/>
          <w:szCs w:val="24"/>
        </w:rPr>
        <w:t xml:space="preserve"> ampliação da sua composição pela inserção de “con</w:t>
      </w:r>
      <w:r>
        <w:rPr>
          <w:rFonts w:ascii="Times New Roman" w:hAnsi="Times New Roman"/>
          <w:sz w:val="24"/>
          <w:szCs w:val="24"/>
        </w:rPr>
        <w:t xml:space="preserve">selheiros da sociedade civil”), mas havia exceções, principalmente provindas de empresários, como veremos. Havia uma clara </w:t>
      </w:r>
      <w:r w:rsidR="002F568A">
        <w:rPr>
          <w:rFonts w:ascii="Times New Roman" w:hAnsi="Times New Roman"/>
          <w:sz w:val="24"/>
          <w:szCs w:val="24"/>
        </w:rPr>
        <w:t xml:space="preserve">e convergente </w:t>
      </w:r>
      <w:r>
        <w:rPr>
          <w:rFonts w:ascii="Times New Roman" w:hAnsi="Times New Roman"/>
          <w:sz w:val="24"/>
          <w:szCs w:val="24"/>
        </w:rPr>
        <w:t xml:space="preserve">insatisfação de ambos </w:t>
      </w:r>
      <w:r w:rsidR="002F568A">
        <w:rPr>
          <w:rFonts w:ascii="Times New Roman" w:hAnsi="Times New Roman"/>
          <w:sz w:val="24"/>
          <w:szCs w:val="24"/>
        </w:rPr>
        <w:t>os segmentosem relação à política econômica conduzida por Palocci e Meirelles.</w:t>
      </w:r>
    </w:p>
    <w:p w:rsidR="00303FA9" w:rsidRDefault="002F568A" w:rsidP="00303FA9">
      <w:pPr>
        <w:spacing w:line="360" w:lineRule="auto"/>
        <w:ind w:firstLine="708"/>
        <w:jc w:val="both"/>
        <w:rPr>
          <w:rFonts w:ascii="Times New Roman" w:hAnsi="Times New Roman"/>
          <w:sz w:val="24"/>
          <w:szCs w:val="24"/>
        </w:rPr>
      </w:pPr>
      <w:r>
        <w:rPr>
          <w:rFonts w:ascii="Times New Roman" w:hAnsi="Times New Roman"/>
          <w:sz w:val="24"/>
          <w:szCs w:val="24"/>
        </w:rPr>
        <w:t xml:space="preserve">As duas intervenções abaixo condensam tais ponderações. </w:t>
      </w:r>
      <w:r w:rsidR="00303FA9">
        <w:rPr>
          <w:rFonts w:ascii="Times New Roman" w:hAnsi="Times New Roman"/>
          <w:sz w:val="24"/>
          <w:szCs w:val="24"/>
        </w:rPr>
        <w:t xml:space="preserve">As críticas tornavam-se gradativamente mais duras, acompanhadas de uma boa dose impaciência e desesperança, a ponto de a conselheira Maria Vitória Benevides e </w:t>
      </w:r>
      <w:r w:rsidR="00034CE0">
        <w:rPr>
          <w:rFonts w:ascii="Times New Roman" w:hAnsi="Times New Roman"/>
          <w:sz w:val="24"/>
          <w:szCs w:val="24"/>
        </w:rPr>
        <w:t xml:space="preserve">o conselheiro </w:t>
      </w:r>
      <w:r w:rsidR="00303FA9">
        <w:rPr>
          <w:rFonts w:ascii="Times New Roman" w:hAnsi="Times New Roman"/>
          <w:sz w:val="24"/>
          <w:szCs w:val="24"/>
        </w:rPr>
        <w:t xml:space="preserve">Antoninho Trevisan </w:t>
      </w:r>
      <w:r>
        <w:rPr>
          <w:rFonts w:ascii="Times New Roman" w:hAnsi="Times New Roman"/>
          <w:sz w:val="24"/>
          <w:szCs w:val="24"/>
        </w:rPr>
        <w:t>(</w:t>
      </w:r>
      <w:r w:rsidR="000834BC">
        <w:rPr>
          <w:rFonts w:ascii="Times New Roman" w:hAnsi="Times New Roman"/>
          <w:sz w:val="24"/>
          <w:szCs w:val="24"/>
        </w:rPr>
        <w:t>FIESP</w:t>
      </w:r>
      <w:r>
        <w:rPr>
          <w:rFonts w:ascii="Times New Roman" w:hAnsi="Times New Roman"/>
          <w:sz w:val="24"/>
          <w:szCs w:val="24"/>
        </w:rPr>
        <w:t xml:space="preserve">/MBC) </w:t>
      </w:r>
      <w:r w:rsidR="00303FA9">
        <w:rPr>
          <w:rFonts w:ascii="Times New Roman" w:hAnsi="Times New Roman"/>
          <w:sz w:val="24"/>
          <w:szCs w:val="24"/>
        </w:rPr>
        <w:t xml:space="preserve">– este em tom de ironia -, diante da afirmação de Palocci de que “a ousadia hoje está em ser persistente”, declararem: </w:t>
      </w:r>
    </w:p>
    <w:p w:rsidR="00303FA9" w:rsidRDefault="00303FA9" w:rsidP="00303FA9">
      <w:pPr>
        <w:spacing w:line="240" w:lineRule="auto"/>
        <w:ind w:left="2268"/>
        <w:jc w:val="both"/>
        <w:rPr>
          <w:rFonts w:ascii="Times New Roman" w:hAnsi="Times New Roman"/>
          <w:sz w:val="20"/>
          <w:szCs w:val="20"/>
        </w:rPr>
      </w:pPr>
      <w:r w:rsidRPr="0076495D">
        <w:rPr>
          <w:rFonts w:ascii="Times New Roman" w:hAnsi="Times New Roman"/>
          <w:sz w:val="20"/>
          <w:szCs w:val="20"/>
        </w:rPr>
        <w:t xml:space="preserve">E, pelo o que ouvimos hoje do ministro Palocci (...), do presidente do Banco Central, Henrique Meirelles, (...) ficamos com uma impressão sólida de que a política econômica não vai mudar. (...) não concordamos com os rumos dessa política econômica, dessas diretrizes de política econômica, no sentido de nos conscientizarmos que, ao que tudo indica, ela não vai mudar. O ministro Palocci já disse que ela está no caminho certo e deverá ficar assim pelos próximos dez anos, então, o que nos resta fazer, nós que somos contra e temos argumentos, a não ser realmente continuar com as nossas críticas e continuar com os nossos trabalhos de mobilização, de conscientização na sociedade civil? </w:t>
      </w:r>
      <w:r>
        <w:rPr>
          <w:rFonts w:ascii="Times New Roman" w:hAnsi="Times New Roman"/>
          <w:sz w:val="20"/>
          <w:szCs w:val="20"/>
        </w:rPr>
        <w:t xml:space="preserve">(Conselheira Maria Vitória Benevides, ATA </w:t>
      </w:r>
      <w:r w:rsidR="0009528F">
        <w:rPr>
          <w:rFonts w:ascii="Times New Roman" w:hAnsi="Times New Roman"/>
          <w:sz w:val="20"/>
          <w:szCs w:val="20"/>
        </w:rPr>
        <w:t xml:space="preserve">da </w:t>
      </w:r>
      <w:r>
        <w:rPr>
          <w:rFonts w:ascii="Times New Roman" w:hAnsi="Times New Roman"/>
          <w:sz w:val="20"/>
          <w:szCs w:val="20"/>
        </w:rPr>
        <w:t>10ª Reunião Plenária, 10/11/2004, p, 42).</w:t>
      </w:r>
    </w:p>
    <w:p w:rsidR="00303FA9" w:rsidRPr="0076495D" w:rsidRDefault="00303FA9" w:rsidP="00303FA9">
      <w:pPr>
        <w:spacing w:line="240" w:lineRule="auto"/>
        <w:ind w:left="2268"/>
        <w:jc w:val="both"/>
        <w:rPr>
          <w:rFonts w:ascii="Times New Roman" w:hAnsi="Times New Roman"/>
          <w:sz w:val="20"/>
          <w:szCs w:val="20"/>
        </w:rPr>
      </w:pPr>
      <w:r>
        <w:rPr>
          <w:rFonts w:ascii="Times New Roman" w:hAnsi="Times New Roman"/>
          <w:sz w:val="20"/>
          <w:szCs w:val="20"/>
        </w:rPr>
        <w:t>E me lembrei, presidente Meirelles, que é um homem experiente da iniciativa privada, que um presidente do Banco Central do governo passado que também usou do mérito da persistência, que o senhor defende, e persistiu, persistiu, persistiu e não abandonou as suas idéias e nos deixou diante de uma crise cambial e de uma dívida pública jamais vista. (...) Sinto, presidente Meirelles, que há claramente uma voz muito forte indicando que temos um problema, em que pese a sua formidável certeza sobre a política de juros do Banco Central (Conselheiro Antoninho Trevisan, idem, p.40-41)</w:t>
      </w:r>
    </w:p>
    <w:p w:rsidR="00B37AE3" w:rsidRPr="00A801A7" w:rsidRDefault="00303FA9" w:rsidP="00B37AE3">
      <w:pPr>
        <w:spacing w:line="360" w:lineRule="auto"/>
        <w:ind w:firstLine="708"/>
        <w:jc w:val="both"/>
        <w:rPr>
          <w:rFonts w:ascii="Times New Roman" w:hAnsi="Times New Roman"/>
          <w:sz w:val="24"/>
          <w:szCs w:val="24"/>
        </w:rPr>
      </w:pPr>
      <w:r>
        <w:rPr>
          <w:rFonts w:ascii="Times New Roman" w:hAnsi="Times New Roman"/>
          <w:sz w:val="24"/>
          <w:szCs w:val="24"/>
        </w:rPr>
        <w:t xml:space="preserve">A 10ª Reunião Plenária caracterizou-se por numerosas e contundentes manifestações críticas deflagradas à política macroeconômica do governo. As críticas vieram de muitos segmentos nele representados, exceto, como vimos, do setor da construção civil e do setor </w:t>
      </w:r>
      <w:r w:rsidR="00095250">
        <w:rPr>
          <w:rFonts w:ascii="Times New Roman" w:hAnsi="Times New Roman"/>
          <w:sz w:val="24"/>
          <w:szCs w:val="24"/>
        </w:rPr>
        <w:t>bancário</w:t>
      </w:r>
      <w:r>
        <w:rPr>
          <w:rFonts w:ascii="Times New Roman" w:hAnsi="Times New Roman"/>
          <w:sz w:val="24"/>
          <w:szCs w:val="24"/>
        </w:rPr>
        <w:t>, este último saindo em defesa ou do sucesso da política econômica, realçando a estabilidade e a inflação baixa e sob controle, ou do seu próprio setor, quando da acusação de aferição de lucros exorbitantes</w:t>
      </w:r>
      <w:r>
        <w:rPr>
          <w:rStyle w:val="Refdenotaderodap"/>
          <w:rFonts w:ascii="Times New Roman" w:hAnsi="Times New Roman"/>
          <w:sz w:val="24"/>
          <w:szCs w:val="24"/>
        </w:rPr>
        <w:footnoteReference w:id="425"/>
      </w:r>
      <w:r>
        <w:rPr>
          <w:rFonts w:ascii="Times New Roman" w:hAnsi="Times New Roman"/>
          <w:sz w:val="24"/>
          <w:szCs w:val="24"/>
        </w:rPr>
        <w:t xml:space="preserve"> - denominado por Sérgio Haddad naquela ocasião de “rentismo” -, tentando esquivar-se das altas taxas de juros praticadas em sua composição.</w:t>
      </w:r>
      <w:r>
        <w:rPr>
          <w:rStyle w:val="Refdenotaderodap"/>
          <w:rFonts w:ascii="Times New Roman" w:hAnsi="Times New Roman"/>
          <w:sz w:val="24"/>
          <w:szCs w:val="24"/>
        </w:rPr>
        <w:footnoteReference w:id="426"/>
      </w:r>
      <w:r w:rsidR="00404B3C">
        <w:rPr>
          <w:rFonts w:ascii="Times New Roman" w:hAnsi="Times New Roman"/>
          <w:sz w:val="24"/>
          <w:szCs w:val="24"/>
        </w:rPr>
        <w:t>Ele</w:t>
      </w:r>
      <w:r w:rsidR="00B37AE3" w:rsidRPr="00A801A7">
        <w:rPr>
          <w:rFonts w:ascii="Times New Roman" w:hAnsi="Times New Roman"/>
          <w:sz w:val="24"/>
          <w:szCs w:val="24"/>
        </w:rPr>
        <w:t xml:space="preserve"> indagava a Palocci:</w:t>
      </w:r>
    </w:p>
    <w:p w:rsidR="00B37AE3" w:rsidRPr="00A801A7" w:rsidRDefault="00B37AE3" w:rsidP="00B37AE3">
      <w:pPr>
        <w:autoSpaceDE w:val="0"/>
        <w:autoSpaceDN w:val="0"/>
        <w:adjustRightInd w:val="0"/>
        <w:spacing w:after="0" w:line="240" w:lineRule="auto"/>
        <w:ind w:left="2268"/>
        <w:jc w:val="both"/>
        <w:rPr>
          <w:rFonts w:ascii="Times New Roman" w:hAnsi="Times New Roman"/>
          <w:sz w:val="20"/>
          <w:szCs w:val="20"/>
        </w:rPr>
      </w:pPr>
      <w:r w:rsidRPr="00A801A7">
        <w:rPr>
          <w:rFonts w:ascii="Times New Roman" w:hAnsi="Times New Roman"/>
          <w:sz w:val="20"/>
          <w:szCs w:val="20"/>
        </w:rPr>
        <w:t>A primeira pergunta que vem a cabeça é a seguinte: é justo os bancos terem margens de lucros tão altas num País como o nosso? (...) A taxa de juros é alta. (...) Então pergunto: num País que precisa tanto crescer para poder dar emprego a milhões de pessoas, porque manter juros tão altos? A elevação dos juros reduz o ritmo de crescimento de preço porque inibe o investimento e sufoca a demanda de mercado. Isso significa contrair a atividade produtiva e aumentar o desemprego. Como entender que a política econômica pode ser eficaz se ela é construída através de danos sociais e justifica-se que os juros têm que ser altos por causa da inflação? (ATA da 10ª Reunião Plenária, 10/11/2004, p. 23).</w:t>
      </w:r>
    </w:p>
    <w:p w:rsidR="00B37AE3" w:rsidRPr="00A801A7" w:rsidRDefault="00B37AE3" w:rsidP="00B37AE3">
      <w:pPr>
        <w:autoSpaceDE w:val="0"/>
        <w:autoSpaceDN w:val="0"/>
        <w:adjustRightInd w:val="0"/>
        <w:spacing w:after="0" w:line="240" w:lineRule="auto"/>
        <w:rPr>
          <w:rFonts w:ascii="Times New Roman" w:hAnsi="Times New Roman"/>
          <w:sz w:val="20"/>
          <w:szCs w:val="20"/>
        </w:rPr>
      </w:pPr>
    </w:p>
    <w:p w:rsidR="00B37AE3" w:rsidRPr="00A801A7" w:rsidRDefault="00B37AE3" w:rsidP="00B37AE3">
      <w:pPr>
        <w:autoSpaceDE w:val="0"/>
        <w:autoSpaceDN w:val="0"/>
        <w:adjustRightInd w:val="0"/>
        <w:spacing w:after="0" w:line="360" w:lineRule="auto"/>
        <w:jc w:val="both"/>
        <w:rPr>
          <w:rFonts w:ascii="Times New Roman" w:hAnsi="Times New Roman"/>
          <w:sz w:val="24"/>
          <w:szCs w:val="24"/>
        </w:rPr>
      </w:pPr>
      <w:r w:rsidRPr="00A801A7">
        <w:rPr>
          <w:rFonts w:ascii="Times New Roman" w:hAnsi="Times New Roman"/>
          <w:sz w:val="24"/>
          <w:szCs w:val="24"/>
        </w:rPr>
        <w:tab/>
        <w:t>A fala de Haddad veio após a defesa de Márcio Arthur Cypriano (Presidente do Bradesco) da política econômica do governo (recorde da balança comercial, redução do risco-país, enorme saldo em conta-corrente, previsão de alta do investimento externo estrangeiro, etc) e de que “a formação das altas taxas de juros envolve fatores que estão fora do alcance do setor financeiro” (idem: 19). Palocci respondeu a Haddad com os fundamentos explicitamente propagados pelos neoliberais: a) a história brasileira comprova que o custo de não pagar a dívida é socialmente muito maior do que pagá-la, inclusive países que não tiveram condições de pagá-la sofreram com queda de investimentos e a crise social aguda: “nenhum país que deixou de pagar dívida teve crescimento econômico no período seguinte, nenhum” (idem: 25); b) um bom equilíbrio fiscal garante recursos consistentes para área social no longo prazo; c) juros altos são necessários para barrar a inflação e evitar a corrosão da renda das famílias.</w:t>
      </w:r>
    </w:p>
    <w:p w:rsidR="00B37AE3" w:rsidRPr="00A801A7" w:rsidRDefault="00B37AE3" w:rsidP="00B37AE3">
      <w:pPr>
        <w:autoSpaceDE w:val="0"/>
        <w:autoSpaceDN w:val="0"/>
        <w:adjustRightInd w:val="0"/>
        <w:spacing w:line="360" w:lineRule="auto"/>
        <w:jc w:val="both"/>
        <w:rPr>
          <w:rFonts w:ascii="Times New Roman" w:hAnsi="Times New Roman"/>
          <w:sz w:val="24"/>
          <w:szCs w:val="24"/>
        </w:rPr>
      </w:pPr>
      <w:r w:rsidRPr="00A801A7">
        <w:rPr>
          <w:rFonts w:ascii="Times New Roman" w:hAnsi="Times New Roman"/>
          <w:sz w:val="24"/>
          <w:szCs w:val="24"/>
        </w:rPr>
        <w:tab/>
      </w:r>
      <w:r w:rsidR="00F73329" w:rsidRPr="00A801A7">
        <w:rPr>
          <w:rFonts w:ascii="Times New Roman" w:hAnsi="Times New Roman"/>
          <w:sz w:val="24"/>
          <w:szCs w:val="24"/>
        </w:rPr>
        <w:t>Outros conselheiros</w:t>
      </w:r>
      <w:r w:rsidRPr="00A801A7">
        <w:rPr>
          <w:rFonts w:ascii="Times New Roman" w:hAnsi="Times New Roman"/>
          <w:sz w:val="24"/>
          <w:szCs w:val="24"/>
        </w:rPr>
        <w:t xml:space="preserve"> acompanharam a crítica de Haddad, mas foi a dura realidade dos “de baixo”, exposta por conselheira suplente Jurema Werneck</w:t>
      </w:r>
      <w:r w:rsidRPr="00A801A7">
        <w:rPr>
          <w:rStyle w:val="Refdenotaderodap"/>
          <w:rFonts w:ascii="Times New Roman" w:hAnsi="Times New Roman"/>
          <w:sz w:val="24"/>
          <w:szCs w:val="24"/>
        </w:rPr>
        <w:footnoteReference w:id="427"/>
      </w:r>
      <w:r w:rsidRPr="00A801A7">
        <w:rPr>
          <w:rFonts w:ascii="Times New Roman" w:hAnsi="Times New Roman"/>
          <w:sz w:val="24"/>
          <w:szCs w:val="24"/>
        </w:rPr>
        <w:t xml:space="preserve"> que, de fato, revelou agudas fragilidades no “diálogo” social apregoado:</w:t>
      </w:r>
    </w:p>
    <w:p w:rsidR="00B37AE3" w:rsidRPr="00A801A7" w:rsidRDefault="00B37AE3" w:rsidP="00B37AE3">
      <w:pPr>
        <w:autoSpaceDE w:val="0"/>
        <w:autoSpaceDN w:val="0"/>
        <w:adjustRightInd w:val="0"/>
        <w:spacing w:after="0" w:line="240" w:lineRule="auto"/>
        <w:ind w:left="2268"/>
        <w:jc w:val="both"/>
        <w:rPr>
          <w:rFonts w:ascii="Times New Roman" w:hAnsi="Times New Roman"/>
          <w:sz w:val="20"/>
          <w:szCs w:val="20"/>
        </w:rPr>
      </w:pPr>
      <w:r w:rsidRPr="00A801A7">
        <w:rPr>
          <w:rFonts w:ascii="Times New Roman" w:hAnsi="Times New Roman"/>
          <w:sz w:val="20"/>
          <w:szCs w:val="20"/>
        </w:rPr>
        <w:t>Presidente Meirelles, tenho participado do Conselho e acho que essa é a primeira vez que fico com dificuldade de achar as palavras para traduzir o meu pensamento. E a minha dificuldade, na verdade, é movida por um profundo desencanto. É o desencanto da sensação de que tem um diálogo de surdos, pelo menos o diálogo que busco não é o diálogo do qual estou participando, ou seja, não há diálogo. (...) A apresentação do ministro Palocci para mim foi bastante contundente na afirmação da presença profunda desse diálogo de surdos. Porque a afirmação do sucesso da política econômica produzida pelo Governo Lula é uma afirmação de sucesso que não encontra eco nesse Brasil onde vivo. O ministro deu exemplo dos ganhos salariais. Eu vivo naquele Brasil onde mais de 50% da população está no mercado informal (...). Ainda que tenhamos esse super superávit, não tem um posto de saúde capaz de atender a diarréia que mata cada criança, que a Dona Zilda Arns vai tentar salvar com soro, porque o SUS não está respondendo como devia porque o dinheiro foi para aquele super superávit que está sendo feito. Esse é o Brasil em que vivo, que não dialoga com esse Brasil daqueles gráficos. No ano passado, na última reunião do Conselho, com a mesma apresentação, do mesmo ministro Palocci, do mesmo presidente do Banco Central, Henrique Meirelles, eu tinha feito a colocação de que era preciso que esses dados viessem agregados com os dados que demonstrassem a evolução da desigualdade paralela à evolução desses ganhos econômicos que estão mostrados. Isso faz um ano, não vou parar de insistir nisso, mas faz um ano. Será que até hoje, com tantas idéias brilhantes que se teve, a equipe econômica não conseguiu achar um caminho para poder demonstrar, ou melhor, para poder me desmentir publicamente? Quero ser desmentida. Na verdade, quero ver que aquele sucesso no Brasil onde vivo, porque não tem nada a ver com ele. Infelizmente, não tem nada a ver com esses números. Não consigo partilhar dessa alegria. Na verdade, não partilho alegria nenhuma. (...) O econômico fala uma língua que não consegue me atingir (ATA da 10ª Reunião Plenária, 10/11/2004, p. 38-39).</w:t>
      </w:r>
    </w:p>
    <w:p w:rsidR="00B37AE3" w:rsidRPr="00A801A7" w:rsidRDefault="00B37AE3" w:rsidP="00B37AE3">
      <w:pPr>
        <w:autoSpaceDE w:val="0"/>
        <w:autoSpaceDN w:val="0"/>
        <w:adjustRightInd w:val="0"/>
        <w:spacing w:after="0" w:line="240" w:lineRule="auto"/>
        <w:jc w:val="both"/>
        <w:rPr>
          <w:rFonts w:ascii="Times New Roman" w:hAnsi="Times New Roman"/>
          <w:sz w:val="20"/>
          <w:szCs w:val="20"/>
        </w:rPr>
      </w:pPr>
    </w:p>
    <w:p w:rsidR="00D90D8D" w:rsidRDefault="00D90D8D" w:rsidP="00D90D8D">
      <w:pPr>
        <w:spacing w:line="360" w:lineRule="auto"/>
        <w:ind w:firstLine="708"/>
        <w:jc w:val="both"/>
        <w:rPr>
          <w:rFonts w:ascii="Times New Roman" w:hAnsi="Times New Roman"/>
          <w:sz w:val="24"/>
          <w:szCs w:val="24"/>
        </w:rPr>
      </w:pPr>
      <w:r>
        <w:rPr>
          <w:rFonts w:ascii="Times New Roman" w:hAnsi="Times New Roman"/>
          <w:sz w:val="24"/>
          <w:szCs w:val="24"/>
        </w:rPr>
        <w:t>Alguns conselheiros alegavam que os acordos consensualizados não eram aproveitados pelo governo causando, em suas palavras, um sentimento de frustração:</w:t>
      </w:r>
    </w:p>
    <w:p w:rsidR="00D90D8D" w:rsidRDefault="00D90D8D" w:rsidP="00D90D8D">
      <w:pPr>
        <w:autoSpaceDE w:val="0"/>
        <w:autoSpaceDN w:val="0"/>
        <w:adjustRightInd w:val="0"/>
        <w:spacing w:line="240" w:lineRule="auto"/>
        <w:ind w:left="2268"/>
        <w:jc w:val="both"/>
        <w:rPr>
          <w:rFonts w:ascii="Times New Roman" w:hAnsi="Times New Roman"/>
          <w:sz w:val="20"/>
          <w:szCs w:val="20"/>
        </w:rPr>
      </w:pPr>
      <w:r>
        <w:rPr>
          <w:rFonts w:ascii="Times New Roman" w:hAnsi="Times New Roman"/>
          <w:sz w:val="20"/>
          <w:szCs w:val="20"/>
        </w:rPr>
        <w:t>Há uma crescente, e acho que enorme, frustração da sociedade na medida em que as promessas, os acordos, inclusive que são feitos nesses fóruns, não tem sido cumpridos. (...) Isto está gerando uma enorme tensão e frustração que pode levar a uma crise de governabilidade. E ao que se atribui essa quebra de palavras, de honra e de pactos que foram feitos? À necessidade de manter a política macro-econômica, especialmente o combate à inflação acima de todas as outras questões políticas, sociais e econômicas que têm sido colocadas (Conselheira Sonia Fleury, Ata da 10ª Reunião Plenária, 10/11/2004, p. 34).</w:t>
      </w:r>
    </w:p>
    <w:p w:rsidR="0009528F" w:rsidRPr="0009528F" w:rsidRDefault="00B37AE3" w:rsidP="0009528F">
      <w:pPr>
        <w:spacing w:after="0" w:line="360" w:lineRule="auto"/>
        <w:ind w:firstLine="708"/>
        <w:jc w:val="both"/>
        <w:rPr>
          <w:rFonts w:ascii="Times New Roman" w:hAnsi="Times New Roman"/>
          <w:sz w:val="24"/>
          <w:szCs w:val="24"/>
        </w:rPr>
      </w:pPr>
      <w:r w:rsidRPr="00A801A7">
        <w:rPr>
          <w:rFonts w:ascii="Times New Roman" w:hAnsi="Times New Roman"/>
          <w:sz w:val="24"/>
          <w:szCs w:val="24"/>
        </w:rPr>
        <w:t xml:space="preserve">Internamente, </w:t>
      </w:r>
      <w:r w:rsidR="00854D4E">
        <w:rPr>
          <w:rFonts w:ascii="Times New Roman" w:hAnsi="Times New Roman"/>
          <w:sz w:val="24"/>
          <w:szCs w:val="24"/>
        </w:rPr>
        <w:t xml:space="preserve">em 2004, </w:t>
      </w:r>
      <w:r w:rsidRPr="00A801A7">
        <w:rPr>
          <w:rFonts w:ascii="Times New Roman" w:hAnsi="Times New Roman"/>
          <w:sz w:val="24"/>
          <w:szCs w:val="24"/>
        </w:rPr>
        <w:t>o Conselho passava por uma aguda crise de legitimidade dado que os conselheiros não enxergavam que os consensos dali retirados estivessem de fato cumprindo o papel de “assessoramento” ao Presidente da República, apesar das opiniões contrárias dos funcionários da SEDES, do Ministro da SRI (Jaques Wagner) e do próprio Presidente. A situação externa ao Conselho também não era animadora: o continuísmo da política econômica do governo incomodava profundamente alguns conselheiros. Julgavam terem sido convocados para ajudar na criação e formatação de um novo modelo de desenvolvimento e não anteviam mudanças de rumo pelo “núcleo duro” da equipe econômica governamental, ali representado pelo próprio Antônio Palocci e Henrique Meirelles. Pelo contrário, ambos foram ao CDES fincar posições já tomadas, reafirmar a continui</w:t>
      </w:r>
      <w:r w:rsidR="00A0080E">
        <w:rPr>
          <w:rFonts w:ascii="Times New Roman" w:hAnsi="Times New Roman"/>
          <w:sz w:val="24"/>
          <w:szCs w:val="24"/>
        </w:rPr>
        <w:t>dade da política de juros altos,</w:t>
      </w:r>
      <w:r w:rsidRPr="00A801A7">
        <w:rPr>
          <w:rFonts w:ascii="Times New Roman" w:hAnsi="Times New Roman"/>
          <w:sz w:val="24"/>
          <w:szCs w:val="24"/>
        </w:rPr>
        <w:t xml:space="preserve"> os elevados e sucessivos superávits primários e a política de metas inflacionárias.</w:t>
      </w:r>
      <w:r w:rsidR="0009528F" w:rsidRPr="0009528F">
        <w:rPr>
          <w:rFonts w:ascii="Times New Roman" w:hAnsi="Times New Roman"/>
          <w:sz w:val="24"/>
          <w:szCs w:val="24"/>
        </w:rPr>
        <w:t xml:space="preserve">As tensões afloravam especialmente quando se tratava da política macroeconômica do governo: </w:t>
      </w:r>
    </w:p>
    <w:p w:rsidR="0009528F" w:rsidRPr="0009528F" w:rsidRDefault="0009528F" w:rsidP="0009528F">
      <w:pPr>
        <w:autoSpaceDE w:val="0"/>
        <w:autoSpaceDN w:val="0"/>
        <w:adjustRightInd w:val="0"/>
        <w:spacing w:after="0" w:line="240" w:lineRule="auto"/>
        <w:jc w:val="both"/>
        <w:rPr>
          <w:rFonts w:ascii="Times New Roman" w:hAnsi="Times New Roman"/>
          <w:sz w:val="24"/>
          <w:szCs w:val="24"/>
        </w:rPr>
      </w:pPr>
    </w:p>
    <w:p w:rsidR="0009528F" w:rsidRPr="0009528F" w:rsidRDefault="0009528F" w:rsidP="0009528F">
      <w:pPr>
        <w:autoSpaceDE w:val="0"/>
        <w:autoSpaceDN w:val="0"/>
        <w:adjustRightInd w:val="0"/>
        <w:spacing w:after="0" w:line="240" w:lineRule="auto"/>
        <w:ind w:left="2268"/>
        <w:jc w:val="both"/>
        <w:rPr>
          <w:rFonts w:ascii="Times New Roman" w:hAnsi="Times New Roman"/>
          <w:sz w:val="20"/>
          <w:szCs w:val="20"/>
        </w:rPr>
      </w:pPr>
      <w:r w:rsidRPr="0009528F">
        <w:rPr>
          <w:rFonts w:ascii="Times New Roman" w:hAnsi="Times New Roman"/>
          <w:sz w:val="20"/>
          <w:szCs w:val="20"/>
        </w:rPr>
        <w:t>O alicerce da estrutura de crescimento é a estabilidade macro-econômica. Todos os estudos econômicos e todas as observações empíricas no mundo mostram que não há exemplo de País com crescimento prolongado sem estabilidade macro-econômica. Por outro lado, também é importante que não tenhamos a estabilidade como um fim em si, mas como alicerce para um processo de crescimento que necessita de um conjunto de iniciativas e medidas da sociedade e do governo para que promovam aquele que é o fim maior do desenvolvimento econômico que é a ampliação da renda da família, a geração de empregos, o crescimento e, num País como o nosso, um claro objetivo de redução da pobreza e da desigualdade. (Ministro Antônio Palocci, na 10ª Reunião Plenária, 10/11/2004, p. 2).</w:t>
      </w:r>
    </w:p>
    <w:p w:rsidR="0009528F" w:rsidRPr="0009528F" w:rsidRDefault="0009528F" w:rsidP="0009528F">
      <w:pPr>
        <w:autoSpaceDE w:val="0"/>
        <w:autoSpaceDN w:val="0"/>
        <w:adjustRightInd w:val="0"/>
        <w:spacing w:after="0" w:line="240" w:lineRule="auto"/>
        <w:ind w:left="2268"/>
        <w:jc w:val="both"/>
        <w:rPr>
          <w:rFonts w:ascii="Times New Roman" w:hAnsi="Times New Roman"/>
          <w:sz w:val="20"/>
          <w:szCs w:val="20"/>
        </w:rPr>
      </w:pPr>
    </w:p>
    <w:p w:rsidR="0009528F" w:rsidRPr="0009528F" w:rsidRDefault="0009528F" w:rsidP="0009528F">
      <w:pPr>
        <w:autoSpaceDE w:val="0"/>
        <w:autoSpaceDN w:val="0"/>
        <w:adjustRightInd w:val="0"/>
        <w:spacing w:after="0" w:line="240" w:lineRule="auto"/>
        <w:ind w:left="2268"/>
        <w:jc w:val="both"/>
        <w:rPr>
          <w:rFonts w:ascii="Times New Roman" w:hAnsi="Times New Roman"/>
          <w:sz w:val="20"/>
          <w:szCs w:val="20"/>
        </w:rPr>
      </w:pPr>
      <w:r w:rsidRPr="0009528F">
        <w:rPr>
          <w:rFonts w:ascii="Times New Roman" w:hAnsi="Times New Roman"/>
          <w:sz w:val="20"/>
          <w:szCs w:val="20"/>
        </w:rPr>
        <w:t>Precisamos falar não só de crescimento, mas também de desenvolvimento e incluir uma terceira variável, as políticas públicas redistributivas, que não se confundem com políticas compensatórias de transferência de renda e de benefícios. O que inviabiliza a Previdência Social não é o valor do salário mínimo, o que inviabiliza a Previdência Social é a política macroeconômica. Só há uma saída para a inclusão social e a diminuição da desigualdade com desenvolvimento efetivo, desvincular os benefícios previdenciários da condição de emprego, da condição de contribuição salarial. (Conselheira Sonia Fleury, na 7ª Reunião Plenária, 13/05/2004, p. 17).</w:t>
      </w:r>
    </w:p>
    <w:p w:rsidR="0009528F" w:rsidRPr="00A801A7" w:rsidRDefault="0009528F" w:rsidP="006561DA">
      <w:pPr>
        <w:spacing w:after="0" w:line="360" w:lineRule="auto"/>
        <w:ind w:firstLine="708"/>
        <w:jc w:val="both"/>
        <w:rPr>
          <w:rFonts w:ascii="Times New Roman" w:hAnsi="Times New Roman"/>
          <w:sz w:val="24"/>
          <w:szCs w:val="24"/>
        </w:rPr>
      </w:pPr>
    </w:p>
    <w:p w:rsidR="00B37AE3" w:rsidRPr="00A801A7" w:rsidRDefault="00B37AE3" w:rsidP="00B37AE3">
      <w:pPr>
        <w:spacing w:line="360" w:lineRule="auto"/>
        <w:ind w:firstLine="708"/>
        <w:jc w:val="both"/>
        <w:rPr>
          <w:rFonts w:ascii="Times New Roman" w:hAnsi="Times New Roman"/>
          <w:sz w:val="24"/>
          <w:szCs w:val="24"/>
        </w:rPr>
      </w:pPr>
      <w:r w:rsidRPr="00A801A7">
        <w:rPr>
          <w:rFonts w:ascii="Times New Roman" w:hAnsi="Times New Roman"/>
          <w:sz w:val="24"/>
          <w:szCs w:val="24"/>
        </w:rPr>
        <w:t>Ronaldo Coutinho Garcia, subsecretário da SEDES, relata que, neste contexto, havia ainda uma queda percentual de 5,2% (de 34,6% em maio para 29,4% em junho de 2004) na avaliação positiva do governo, sendo “o pior desempenho do governo desde a sua posse”.</w:t>
      </w:r>
      <w:r w:rsidRPr="00A801A7">
        <w:rPr>
          <w:rStyle w:val="Refdenotaderodap"/>
          <w:rFonts w:ascii="Times New Roman" w:hAnsi="Times New Roman"/>
          <w:sz w:val="24"/>
          <w:szCs w:val="24"/>
        </w:rPr>
        <w:footnoteReference w:id="428"/>
      </w:r>
      <w:r w:rsidRPr="00A801A7">
        <w:rPr>
          <w:rFonts w:ascii="Times New Roman" w:hAnsi="Times New Roman"/>
          <w:sz w:val="24"/>
          <w:szCs w:val="24"/>
        </w:rPr>
        <w:t xml:space="preserve"> Diz ainda o autor que “após 18 meses (...) o governo não conseguiu gerar um clima de desenvolvimento, de crescimento do emprego e melhoria social”.</w:t>
      </w:r>
      <w:r w:rsidRPr="00A801A7">
        <w:rPr>
          <w:rStyle w:val="Refdenotaderodap"/>
          <w:rFonts w:ascii="Times New Roman" w:hAnsi="Times New Roman"/>
          <w:sz w:val="24"/>
          <w:szCs w:val="24"/>
        </w:rPr>
        <w:footnoteReference w:id="429"/>
      </w:r>
      <w:r w:rsidRPr="00A801A7">
        <w:rPr>
          <w:rFonts w:ascii="Times New Roman" w:hAnsi="Times New Roman"/>
          <w:sz w:val="24"/>
          <w:szCs w:val="24"/>
        </w:rPr>
        <w:t xml:space="preserve"> Os rebatimentos das frustrações de expectativas há tanto esperadas ecoou forte no CDES. Em tom conciliador, o próprio Garcia revela que</w:t>
      </w:r>
    </w:p>
    <w:p w:rsidR="00B37AE3" w:rsidRPr="00B37AE3" w:rsidRDefault="00B37AE3" w:rsidP="00B37AE3">
      <w:pPr>
        <w:spacing w:line="240" w:lineRule="auto"/>
        <w:ind w:left="2268"/>
        <w:jc w:val="both"/>
        <w:rPr>
          <w:rFonts w:ascii="Times New Roman" w:hAnsi="Times New Roman"/>
          <w:color w:val="00B050"/>
          <w:sz w:val="20"/>
          <w:szCs w:val="20"/>
        </w:rPr>
      </w:pPr>
      <w:r w:rsidRPr="00A801A7">
        <w:rPr>
          <w:rFonts w:ascii="Times New Roman" w:hAnsi="Times New Roman"/>
          <w:sz w:val="20"/>
          <w:szCs w:val="20"/>
        </w:rPr>
        <w:t>Deixo de acrescentar o sem-número de intervenções feitas por lideranças empresariais, sindical-trabalhistas, do movimento social, de intelectuais, boa parte dos quais integrantes do CDES, a respeito de suas respectivas discordâncias com os rumos escolhidos pelo governo no que se refere à política econômica e, também, apontando deficiências diversas na política social. (...) Não se trata de postura oposicionista, eram manifestações que traziam críticas duras e pretendiam influenciar decisões sugerindo alternativas. Ou seja, estavam expressando o apoio sócio-político necessário para um processo de mudanças coerente com o que havia sido apresentado no programa de governo e nos discursos iniciais.</w:t>
      </w:r>
      <w:r w:rsidRPr="00A801A7">
        <w:rPr>
          <w:rStyle w:val="Refdenotaderodap"/>
          <w:rFonts w:ascii="Times New Roman" w:hAnsi="Times New Roman"/>
          <w:sz w:val="20"/>
          <w:szCs w:val="20"/>
        </w:rPr>
        <w:footnoteReference w:id="430"/>
      </w:r>
    </w:p>
    <w:p w:rsidR="00303FA9" w:rsidRDefault="00303FA9" w:rsidP="00D65B8F">
      <w:pPr>
        <w:spacing w:before="240" w:after="0" w:line="360" w:lineRule="auto"/>
        <w:ind w:firstLine="708"/>
        <w:jc w:val="both"/>
        <w:rPr>
          <w:rFonts w:ascii="Times New Roman" w:hAnsi="Times New Roman"/>
          <w:color w:val="000000"/>
          <w:sz w:val="24"/>
          <w:szCs w:val="24"/>
        </w:rPr>
      </w:pPr>
      <w:r>
        <w:rPr>
          <w:rFonts w:ascii="Times New Roman" w:hAnsi="Times New Roman"/>
          <w:sz w:val="24"/>
          <w:szCs w:val="24"/>
        </w:rPr>
        <w:t xml:space="preserve">Nesta </w:t>
      </w:r>
      <w:r w:rsidR="00A801A7">
        <w:rPr>
          <w:rFonts w:ascii="Times New Roman" w:hAnsi="Times New Roman"/>
          <w:sz w:val="24"/>
          <w:szCs w:val="24"/>
        </w:rPr>
        <w:t xml:space="preserve">10ª </w:t>
      </w:r>
      <w:r>
        <w:rPr>
          <w:rFonts w:ascii="Times New Roman" w:hAnsi="Times New Roman"/>
          <w:sz w:val="24"/>
          <w:szCs w:val="24"/>
        </w:rPr>
        <w:t xml:space="preserve">reunião, a ofensiva direcionava-se não apenas à política macroeconômica, mas também aos </w:t>
      </w:r>
      <w:r w:rsidR="00A801A7">
        <w:rPr>
          <w:rFonts w:ascii="Times New Roman" w:hAnsi="Times New Roman"/>
          <w:sz w:val="24"/>
          <w:szCs w:val="24"/>
        </w:rPr>
        <w:t xml:space="preserve">considerados por muitos conselheiros </w:t>
      </w:r>
      <w:r>
        <w:rPr>
          <w:rFonts w:ascii="Times New Roman" w:hAnsi="Times New Roman"/>
          <w:sz w:val="24"/>
          <w:szCs w:val="24"/>
        </w:rPr>
        <w:t xml:space="preserve">seus beneficiários diretos: o setor </w:t>
      </w:r>
      <w:r w:rsidR="00A0080E">
        <w:rPr>
          <w:rFonts w:ascii="Times New Roman" w:hAnsi="Times New Roman"/>
          <w:sz w:val="24"/>
          <w:szCs w:val="24"/>
        </w:rPr>
        <w:t>bancário</w:t>
      </w:r>
      <w:r>
        <w:rPr>
          <w:rFonts w:ascii="Times New Roman" w:hAnsi="Times New Roman"/>
          <w:sz w:val="24"/>
          <w:szCs w:val="24"/>
        </w:rPr>
        <w:t xml:space="preserve">. A contenda circundava o tema dos elevados </w:t>
      </w:r>
      <w:r>
        <w:rPr>
          <w:rFonts w:ascii="Times New Roman" w:hAnsi="Times New Roman"/>
          <w:i/>
          <w:sz w:val="24"/>
          <w:szCs w:val="24"/>
        </w:rPr>
        <w:t xml:space="preserve">spreads </w:t>
      </w:r>
      <w:r>
        <w:rPr>
          <w:rFonts w:ascii="Times New Roman" w:hAnsi="Times New Roman"/>
          <w:sz w:val="24"/>
          <w:szCs w:val="24"/>
        </w:rPr>
        <w:t>bancários praticados na praça,</w:t>
      </w:r>
      <w:r>
        <w:rPr>
          <w:rStyle w:val="Refdenotaderodap"/>
          <w:rFonts w:ascii="Times New Roman" w:hAnsi="Times New Roman"/>
          <w:sz w:val="24"/>
          <w:szCs w:val="24"/>
        </w:rPr>
        <w:footnoteReference w:id="431"/>
      </w:r>
      <w:r>
        <w:rPr>
          <w:rFonts w:ascii="Times New Roman" w:hAnsi="Times New Roman"/>
          <w:sz w:val="24"/>
          <w:szCs w:val="24"/>
        </w:rPr>
        <w:t xml:space="preserve"> os quais, segundo os conselheiros, contribuíam para o encarecimento do crédito para a “sociedade brasileira” e dificuldades de financiamentos, mas corroboravam para o aumento dos lucros dos bancos. João Vaccari Neto (Presidente do Sindicato dos Bancários de São Paulo) expunha estudos que a CUT havia realizado sobre o assunto, assegurando que “é uma bi-tributação que os bancos fazem sobre os seus clientes na execução dos compromissos, seja para adquirir empréstimos, abrir contas-correntes, usar um cheque, fazer um contrato de cheque especial etc”.</w:t>
      </w:r>
      <w:r>
        <w:rPr>
          <w:rStyle w:val="Refdenotaderodap"/>
          <w:rFonts w:ascii="Times New Roman" w:hAnsi="Times New Roman"/>
          <w:sz w:val="24"/>
          <w:szCs w:val="24"/>
        </w:rPr>
        <w:footnoteReference w:id="432"/>
      </w:r>
      <w:r>
        <w:rPr>
          <w:rFonts w:ascii="Times New Roman" w:hAnsi="Times New Roman"/>
          <w:sz w:val="24"/>
          <w:szCs w:val="24"/>
        </w:rPr>
        <w:t xml:space="preserve"> Paulo Skaf, igualmente, apresentou numerosos dados que a </w:t>
      </w:r>
      <w:r w:rsidR="000834BC">
        <w:rPr>
          <w:rFonts w:ascii="Times New Roman" w:hAnsi="Times New Roman"/>
          <w:sz w:val="24"/>
          <w:szCs w:val="24"/>
        </w:rPr>
        <w:t>FIESP</w:t>
      </w:r>
      <w:r>
        <w:rPr>
          <w:rFonts w:ascii="Times New Roman" w:hAnsi="Times New Roman"/>
          <w:sz w:val="24"/>
          <w:szCs w:val="24"/>
        </w:rPr>
        <w:t xml:space="preserve"> havia sistematizado, demonstrando que o </w:t>
      </w:r>
      <w:r>
        <w:rPr>
          <w:rFonts w:ascii="Times New Roman" w:hAnsi="Times New Roman"/>
          <w:i/>
          <w:sz w:val="24"/>
          <w:szCs w:val="24"/>
        </w:rPr>
        <w:t xml:space="preserve">spread </w:t>
      </w:r>
      <w:r>
        <w:rPr>
          <w:rFonts w:ascii="Times New Roman" w:hAnsi="Times New Roman"/>
          <w:sz w:val="24"/>
          <w:szCs w:val="24"/>
        </w:rPr>
        <w:t xml:space="preserve">bancário brasileiro consumia, em comparação à média da América Latina,  R$ 56 bilhões a mais de gastos e isto significava “3,47% do nosso PIB que deixa de ir para investimento, que deixa de ir para consumo para ser gasto em pagamento de </w:t>
      </w:r>
      <w:r>
        <w:rPr>
          <w:rFonts w:ascii="Times New Roman" w:hAnsi="Times New Roman"/>
          <w:i/>
          <w:sz w:val="24"/>
          <w:szCs w:val="24"/>
        </w:rPr>
        <w:t>spread</w:t>
      </w:r>
      <w:r>
        <w:rPr>
          <w:rFonts w:ascii="Times New Roman" w:hAnsi="Times New Roman"/>
          <w:sz w:val="24"/>
          <w:szCs w:val="24"/>
        </w:rPr>
        <w:t xml:space="preserve">”. Em seguida, Sérgio Haddad ressaltou que “o </w:t>
      </w:r>
      <w:r>
        <w:rPr>
          <w:rFonts w:ascii="Times New Roman" w:hAnsi="Times New Roman"/>
          <w:i/>
          <w:sz w:val="24"/>
          <w:szCs w:val="24"/>
        </w:rPr>
        <w:t xml:space="preserve">spread </w:t>
      </w:r>
      <w:r>
        <w:rPr>
          <w:rFonts w:ascii="Times New Roman" w:hAnsi="Times New Roman"/>
          <w:sz w:val="24"/>
          <w:szCs w:val="24"/>
        </w:rPr>
        <w:t xml:space="preserve">bancário brasileiro é um dos maiores do mundo (...) analisando sua composição constata-se que é bastante alta a margem líquida dos bancos na sua atividade de intermediação financeira. Isso produz elevados lucros (...) é justo os bancos terem margens de lucros tão altas num País como o nosso?”. Luis Otávio Gomes, </w:t>
      </w:r>
      <w:r w:rsidRPr="00762BE3">
        <w:rPr>
          <w:rFonts w:ascii="Times New Roman" w:hAnsi="Times New Roman"/>
          <w:sz w:val="24"/>
          <w:szCs w:val="24"/>
        </w:rPr>
        <w:t>p</w:t>
      </w:r>
      <w:r w:rsidRPr="00762BE3">
        <w:rPr>
          <w:rFonts w:ascii="Times New Roman" w:hAnsi="Times New Roman"/>
          <w:color w:val="000000"/>
          <w:sz w:val="24"/>
          <w:szCs w:val="24"/>
        </w:rPr>
        <w:t>residente da Confederação das Associações Comerciais e Empresariais do Brasil (CACEB)</w:t>
      </w:r>
      <w:r>
        <w:rPr>
          <w:rFonts w:ascii="Times New Roman" w:hAnsi="Times New Roman"/>
          <w:color w:val="000000"/>
          <w:sz w:val="24"/>
          <w:szCs w:val="24"/>
        </w:rPr>
        <w:t>, mas cuja trajetória ligava-se visceralmente ao setor usineiro, indagou: “existe de fato concorrência no setor financeiro brasileiro”? Zilda Arns (Pastoral da Criança) trouxe a discussão para o lado social: “por que o Governo não faz com que uma parcela do lucro líquido dos bancos passe a área social?”.</w:t>
      </w:r>
    </w:p>
    <w:p w:rsidR="00303FA9" w:rsidRPr="00762BE3" w:rsidRDefault="00303FA9" w:rsidP="00303FA9">
      <w:pPr>
        <w:spacing w:after="0" w:line="360" w:lineRule="auto"/>
        <w:ind w:firstLine="708"/>
        <w:jc w:val="both"/>
        <w:rPr>
          <w:rFonts w:ascii="Times New Roman" w:hAnsi="Times New Roman"/>
          <w:sz w:val="24"/>
          <w:szCs w:val="24"/>
        </w:rPr>
      </w:pPr>
      <w:r>
        <w:rPr>
          <w:rFonts w:ascii="Times New Roman" w:hAnsi="Times New Roman"/>
          <w:color w:val="000000"/>
          <w:sz w:val="24"/>
          <w:szCs w:val="24"/>
        </w:rPr>
        <w:t>Outras intervenções foram realizadas, inclusive as dos prepostos dos bancos, como Márcio Cypriano e Gabriel Ferreira,</w:t>
      </w:r>
      <w:r>
        <w:rPr>
          <w:rStyle w:val="Refdenotaderodap"/>
          <w:rFonts w:ascii="Times New Roman" w:hAnsi="Times New Roman"/>
          <w:color w:val="000000"/>
          <w:sz w:val="24"/>
          <w:szCs w:val="24"/>
        </w:rPr>
        <w:footnoteReference w:id="433"/>
      </w:r>
      <w:r>
        <w:rPr>
          <w:rFonts w:ascii="Times New Roman" w:hAnsi="Times New Roman"/>
          <w:color w:val="000000"/>
          <w:sz w:val="24"/>
          <w:szCs w:val="24"/>
        </w:rPr>
        <w:t xml:space="preserve"> já mencionadas, </w:t>
      </w:r>
      <w:r>
        <w:rPr>
          <w:rFonts w:ascii="Times New Roman" w:hAnsi="Times New Roman"/>
          <w:sz w:val="24"/>
          <w:szCs w:val="24"/>
        </w:rPr>
        <w:t xml:space="preserve">acirrando o debate a um grau de tensão até então inédito no Conselho a ponto de Armando Monteiro Neto (presidente da CNI) declarar que “precisamos sempre ter muito cuidado, sobretudo o setor empresarial, nesta discussão para não parecer que estamos querendo antagonizar setores da própria comunidade empresarial e isso, evidentemente, não seria próprio”, apelando à manutenção da coesão e articulação político-ideológica empresarial. A preocupação do líder empresarial fazia sentido, e servia de alerta, afinal a agudização do debate poderia levar a uma situação-limite de futura ameaça de fraturas expostas na unidade interna da classe empresarial no âmbito do Conselho </w:t>
      </w:r>
      <w:r w:rsidR="00346DBF">
        <w:rPr>
          <w:rFonts w:ascii="Times New Roman" w:hAnsi="Times New Roman"/>
          <w:sz w:val="24"/>
          <w:szCs w:val="24"/>
        </w:rPr>
        <w:t>diante d</w:t>
      </w:r>
      <w:r>
        <w:rPr>
          <w:rFonts w:ascii="Times New Roman" w:hAnsi="Times New Roman"/>
          <w:sz w:val="24"/>
          <w:szCs w:val="24"/>
        </w:rPr>
        <w:t>os demais segmentos nele representados. Como se percebe, tal unidade passava pelas primeiras provações</w:t>
      </w:r>
      <w:r w:rsidR="001C211A">
        <w:rPr>
          <w:rFonts w:ascii="Times New Roman" w:hAnsi="Times New Roman"/>
          <w:sz w:val="24"/>
          <w:szCs w:val="24"/>
        </w:rPr>
        <w:t xml:space="preserve"> e aprendizados</w:t>
      </w:r>
      <w:r>
        <w:rPr>
          <w:rFonts w:ascii="Times New Roman" w:hAnsi="Times New Roman"/>
          <w:sz w:val="24"/>
          <w:szCs w:val="24"/>
        </w:rPr>
        <w:t>, ao menos no plano programático e intra-classe, sendo submetido novamente a provas no debate acerca da ampliação do Conselho Monetário Nacional.</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A tentativa de reviravolta foi feita na 11ª Reunião Plená</w:t>
      </w:r>
      <w:r w:rsidR="00854D4E">
        <w:rPr>
          <w:rFonts w:ascii="Times New Roman" w:hAnsi="Times New Roman"/>
          <w:sz w:val="24"/>
          <w:szCs w:val="24"/>
        </w:rPr>
        <w:t>ria, ocorrida em março de 2005 (portanto antes da crise do mensalão que estourou em maio do mesmo ano)</w:t>
      </w:r>
      <w:r w:rsidR="00561123">
        <w:rPr>
          <w:rFonts w:ascii="Times New Roman" w:hAnsi="Times New Roman"/>
          <w:sz w:val="24"/>
          <w:szCs w:val="24"/>
        </w:rPr>
        <w:t xml:space="preserve">, onde </w:t>
      </w:r>
      <w:r>
        <w:rPr>
          <w:rFonts w:ascii="Times New Roman" w:hAnsi="Times New Roman"/>
          <w:sz w:val="24"/>
          <w:szCs w:val="24"/>
        </w:rPr>
        <w:t>o governo reuniu forças políticas e muita disposição argumentativa para acalmar os ânimos dos conselheiros por meio da exposição das realizações econômicas e sociais do governo até aquele momento. Para tanto, estavam presentes na composição da mesa o próprio Presidente da República, os ministros Antonio Palocci, José Dirceu, Luiz Fernando Furlan e, como era de praxe, o secretário-executivo do CDES Jaques Wagner. Foi uma verdadeira enxurrada de apresentações de supostas conquistas, avanços e melhorias na área do PIB, emprego, vulnerabilidade externa, exportações, comércio exterior e balança comercial, dívida pública, política de crédito (especialmente o consignado) e habitacional, “melhoria do ambiente de negócios” por meio da aprovação de legislação apropriada, questão tributária, subsídios, incentivos e desonerações, infraestrutura, política industrial e também gastos públicos em programas sociais de transferências de renda, saúde pública, previdência social, educação, reforma agrária e agricultura familiar, dentre outros temas.</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 xml:space="preserve">Uma das intervenções que mais nos chamou atenção nesta reunião, todavia, não foi a linha autolegitimadora empreendida pelas autoridades mais destacadas do governo diante dos conselheiros, mas a do conselheiro Abílio Diniz, bastante reverenciosa, de certo, mas acima de tudo extremamente esclarecedora: </w:t>
      </w:r>
    </w:p>
    <w:p w:rsidR="00303FA9" w:rsidRPr="000242A6" w:rsidRDefault="00303FA9" w:rsidP="00303FA9">
      <w:pPr>
        <w:spacing w:line="240" w:lineRule="auto"/>
        <w:ind w:left="2268"/>
        <w:jc w:val="both"/>
        <w:rPr>
          <w:rFonts w:ascii="Times New Roman" w:hAnsi="Times New Roman"/>
          <w:sz w:val="24"/>
          <w:szCs w:val="24"/>
        </w:rPr>
      </w:pPr>
      <w:r w:rsidRPr="00062937">
        <w:rPr>
          <w:rFonts w:ascii="Times New Roman" w:hAnsi="Times New Roman"/>
          <w:sz w:val="20"/>
          <w:szCs w:val="20"/>
        </w:rPr>
        <w:t xml:space="preserve">A situação mudou! Mudou extraordinariamente, por acaso? É evidente que não foi por acaso, foi fruto de um trabalho realmente bem feito, principalmente no lado da condução da política econômica. </w:t>
      </w:r>
      <w:r w:rsidRPr="003A4479">
        <w:rPr>
          <w:rFonts w:ascii="Times New Roman" w:hAnsi="Times New Roman"/>
          <w:b/>
          <w:sz w:val="20"/>
          <w:szCs w:val="20"/>
        </w:rPr>
        <w:t>Hoje praticamente não há mais margem para discussão sobre a política econômica do governo brilhantemente conduzida pelo Ministro Palocci</w:t>
      </w:r>
      <w:r w:rsidRPr="00062937">
        <w:rPr>
          <w:rFonts w:ascii="Times New Roman" w:hAnsi="Times New Roman"/>
          <w:sz w:val="20"/>
          <w:szCs w:val="20"/>
        </w:rPr>
        <w:t xml:space="preserve">. Se discute? Claro, se discutem algumas coisas que são importantes, como gostaríamos de ter uma taxa de juros mais baixa, discute-se o câmbio.  Eu mesmo algumas vezes discuto pontos, </w:t>
      </w:r>
      <w:r w:rsidRPr="002F1490">
        <w:rPr>
          <w:rFonts w:ascii="Times New Roman" w:hAnsi="Times New Roman"/>
          <w:b/>
          <w:sz w:val="20"/>
          <w:szCs w:val="20"/>
        </w:rPr>
        <w:t>mas ninguém discute como estão os fundamentos da economia brasileira hoje,</w:t>
      </w:r>
      <w:r w:rsidRPr="00062937">
        <w:rPr>
          <w:rFonts w:ascii="Times New Roman" w:hAnsi="Times New Roman"/>
          <w:sz w:val="20"/>
          <w:szCs w:val="20"/>
        </w:rPr>
        <w:t xml:space="preserve"> ninguém discute a conjugação de crescimento econômico com baixa inflação e superávit na balança de pagamentos. Poucas vezes o Brasil teve esta conjugação e esteve numa fase como a que estamos</w:t>
      </w:r>
      <w:r>
        <w:rPr>
          <w:rFonts w:ascii="Times New Roman" w:hAnsi="Times New Roman"/>
          <w:sz w:val="20"/>
          <w:szCs w:val="20"/>
        </w:rPr>
        <w:t xml:space="preserve">. (...) Agora, alguma coisa tem que ser vista pelo outro lado, pelo lado positivo. </w:t>
      </w:r>
      <w:r w:rsidRPr="00F16A6C">
        <w:rPr>
          <w:rFonts w:ascii="Times New Roman" w:hAnsi="Times New Roman"/>
          <w:b/>
          <w:sz w:val="20"/>
          <w:szCs w:val="20"/>
        </w:rPr>
        <w:t>Além dos programas sociais, o combate à inflação, a estabilidade monetária favorece fundamentalmente a classe pobre</w:t>
      </w:r>
      <w:r>
        <w:rPr>
          <w:rFonts w:ascii="Times New Roman" w:hAnsi="Times New Roman"/>
          <w:sz w:val="20"/>
          <w:szCs w:val="20"/>
        </w:rPr>
        <w:t xml:space="preserve"> (ATA 11ª Reunião Plenária, 10/03/2005, p. 23, grifos meus).</w:t>
      </w:r>
    </w:p>
    <w:p w:rsidR="00303FA9" w:rsidRDefault="00303FA9" w:rsidP="00303FA9">
      <w:pPr>
        <w:spacing w:line="360" w:lineRule="auto"/>
        <w:jc w:val="both"/>
        <w:rPr>
          <w:rFonts w:ascii="Times New Roman" w:hAnsi="Times New Roman"/>
          <w:sz w:val="24"/>
          <w:szCs w:val="24"/>
        </w:rPr>
      </w:pPr>
      <w:r w:rsidRPr="000242A6">
        <w:rPr>
          <w:rFonts w:ascii="Times New Roman" w:hAnsi="Times New Roman"/>
          <w:sz w:val="24"/>
          <w:szCs w:val="24"/>
        </w:rPr>
        <w:tab/>
      </w:r>
      <w:r>
        <w:rPr>
          <w:rFonts w:ascii="Times New Roman" w:hAnsi="Times New Roman"/>
          <w:sz w:val="24"/>
          <w:szCs w:val="24"/>
        </w:rPr>
        <w:t xml:space="preserve">A aludida </w:t>
      </w:r>
      <w:r w:rsidR="001C211A">
        <w:rPr>
          <w:rFonts w:ascii="Times New Roman" w:hAnsi="Times New Roman"/>
          <w:sz w:val="24"/>
          <w:szCs w:val="24"/>
        </w:rPr>
        <w:t xml:space="preserve">clareza </w:t>
      </w:r>
      <w:r>
        <w:rPr>
          <w:rFonts w:ascii="Times New Roman" w:hAnsi="Times New Roman"/>
          <w:sz w:val="24"/>
          <w:szCs w:val="24"/>
        </w:rPr>
        <w:t xml:space="preserve">do conselheiro não se relaciona ao julgamento positivo que ele fazia da política econômica do governo. Não é este o ponto. Trata-se de </w:t>
      </w:r>
      <w:r w:rsidR="001C211A">
        <w:rPr>
          <w:rFonts w:ascii="Times New Roman" w:hAnsi="Times New Roman"/>
          <w:sz w:val="24"/>
          <w:szCs w:val="24"/>
        </w:rPr>
        <w:t>justificar</w:t>
      </w:r>
      <w:r>
        <w:rPr>
          <w:rFonts w:ascii="Times New Roman" w:hAnsi="Times New Roman"/>
          <w:sz w:val="24"/>
          <w:szCs w:val="24"/>
        </w:rPr>
        <w:t xml:space="preserve"> que </w:t>
      </w:r>
      <w:r w:rsidRPr="00A10590">
        <w:rPr>
          <w:rFonts w:ascii="Times New Roman" w:hAnsi="Times New Roman"/>
          <w:i/>
          <w:sz w:val="24"/>
          <w:szCs w:val="24"/>
        </w:rPr>
        <w:t>os fundamentos</w:t>
      </w:r>
      <w:r>
        <w:rPr>
          <w:rFonts w:ascii="Times New Roman" w:hAnsi="Times New Roman"/>
          <w:sz w:val="24"/>
          <w:szCs w:val="24"/>
        </w:rPr>
        <w:t xml:space="preserve"> da política econômica não eram, </w:t>
      </w:r>
      <w:r>
        <w:rPr>
          <w:rFonts w:ascii="Times New Roman" w:hAnsi="Times New Roman"/>
          <w:i/>
          <w:sz w:val="24"/>
          <w:szCs w:val="24"/>
        </w:rPr>
        <w:t>em si</w:t>
      </w:r>
      <w:r>
        <w:rPr>
          <w:rFonts w:ascii="Times New Roman" w:hAnsi="Times New Roman"/>
          <w:sz w:val="24"/>
          <w:szCs w:val="24"/>
        </w:rPr>
        <w:t xml:space="preserve">, refratários </w:t>
      </w:r>
      <w:r w:rsidR="001C211A">
        <w:rPr>
          <w:rFonts w:ascii="Times New Roman" w:hAnsi="Times New Roman"/>
          <w:sz w:val="24"/>
          <w:szCs w:val="24"/>
        </w:rPr>
        <w:t>a</w:t>
      </w:r>
      <w:r>
        <w:rPr>
          <w:rFonts w:ascii="Times New Roman" w:hAnsi="Times New Roman"/>
          <w:sz w:val="24"/>
          <w:szCs w:val="24"/>
        </w:rPr>
        <w:t>o projeto de desenvolvimento que se buscava construir. O ponto chave era o questionamento</w:t>
      </w:r>
      <w:r w:rsidR="00C96A72">
        <w:rPr>
          <w:rFonts w:ascii="Times New Roman" w:hAnsi="Times New Roman"/>
          <w:sz w:val="24"/>
          <w:szCs w:val="24"/>
        </w:rPr>
        <w:t xml:space="preserve"> de muitos conselheiros</w:t>
      </w:r>
      <w:r>
        <w:rPr>
          <w:rFonts w:ascii="Times New Roman" w:hAnsi="Times New Roman"/>
          <w:sz w:val="24"/>
          <w:szCs w:val="24"/>
        </w:rPr>
        <w:t xml:space="preserve"> à forte ortodoxia da política de estabilização em vigência, mais especificamente a subordinação das demais políticas públicas ao cumprimento do modelo de metas anuais de inflação a ser perseguido pelo Banco Central e suas </w:t>
      </w:r>
      <w:r w:rsidR="0070275B">
        <w:rPr>
          <w:rFonts w:ascii="Times New Roman" w:hAnsi="Times New Roman"/>
          <w:sz w:val="24"/>
          <w:szCs w:val="24"/>
        </w:rPr>
        <w:t>consequências</w:t>
      </w:r>
      <w:r>
        <w:rPr>
          <w:rFonts w:ascii="Times New Roman" w:hAnsi="Times New Roman"/>
          <w:sz w:val="24"/>
          <w:szCs w:val="24"/>
        </w:rPr>
        <w:t xml:space="preserve"> no contingenciamento de despesas para as áreas sociais, já que a elevação da taxa de juros e o aumento do superávit primário redirecionavam recursos para o pagamento das dívidas públicas mobiliárias que, ao restringir a demanda e contrair a oferta, emperrava o “desenvolvimento social e econômico”. A provável solução era oferecida nos itens 5 e 6 das considerações prévias da moção enviada à Presidência da República sobre a composição do Conselho Monetário Nacional:</w:t>
      </w:r>
      <w:r>
        <w:rPr>
          <w:rStyle w:val="Refdenotaderodap"/>
          <w:rFonts w:ascii="Times New Roman" w:hAnsi="Times New Roman"/>
          <w:sz w:val="24"/>
          <w:szCs w:val="24"/>
        </w:rPr>
        <w:footnoteReference w:id="434"/>
      </w:r>
    </w:p>
    <w:p w:rsidR="00303FA9" w:rsidRDefault="00303FA9" w:rsidP="00303FA9">
      <w:pPr>
        <w:spacing w:after="0" w:line="240" w:lineRule="auto"/>
        <w:ind w:left="2268"/>
        <w:jc w:val="both"/>
        <w:rPr>
          <w:rFonts w:ascii="Times New Roman" w:hAnsi="Times New Roman"/>
          <w:sz w:val="20"/>
          <w:szCs w:val="20"/>
        </w:rPr>
      </w:pPr>
      <w:r w:rsidRPr="00B8747A">
        <w:rPr>
          <w:rFonts w:ascii="Times New Roman" w:hAnsi="Times New Roman"/>
          <w:sz w:val="20"/>
          <w:szCs w:val="20"/>
        </w:rPr>
        <w:t>Considerando que (...)</w:t>
      </w:r>
    </w:p>
    <w:p w:rsidR="00303FA9" w:rsidRPr="00AD038C" w:rsidRDefault="00303FA9" w:rsidP="00303FA9">
      <w:pPr>
        <w:spacing w:line="240" w:lineRule="auto"/>
        <w:ind w:left="2268"/>
        <w:jc w:val="both"/>
        <w:rPr>
          <w:rFonts w:ascii="Times New Roman" w:hAnsi="Times New Roman"/>
          <w:sz w:val="20"/>
          <w:szCs w:val="20"/>
        </w:rPr>
      </w:pPr>
      <w:r w:rsidRPr="00AD038C">
        <w:rPr>
          <w:rFonts w:ascii="Times New Roman" w:hAnsi="Times New Roman"/>
          <w:sz w:val="20"/>
          <w:szCs w:val="20"/>
        </w:rPr>
        <w:t xml:space="preserve">5) É chegado o momento de transição para um novo modelo de decisão da política macroeconômica, que nos aproxime das sociedades democráticas e desenvolvidas, como demonstram as experiências dos Estados Unidos e do Reino Unido, nas quais </w:t>
      </w:r>
      <w:r w:rsidRPr="00AD038C">
        <w:rPr>
          <w:rFonts w:ascii="Times New Roman" w:hAnsi="Times New Roman"/>
          <w:b/>
          <w:sz w:val="20"/>
          <w:szCs w:val="20"/>
        </w:rPr>
        <w:t>as metas de inflação são um referencial a ser compatibilizado com as metas de desenvolvimento e do pleno emprego</w:t>
      </w:r>
      <w:r w:rsidRPr="00AD038C">
        <w:rPr>
          <w:rFonts w:ascii="Times New Roman" w:hAnsi="Times New Roman"/>
          <w:sz w:val="20"/>
          <w:szCs w:val="20"/>
        </w:rPr>
        <w:t xml:space="preserve">, a partir da análise dos impactos das metas monetárias sobre as prioridades econômicas, sociais e políticas do governo; 6) Visando assegurar o controle democrático e social deste processo, torna-se imprescindível começar a implantar um novo modelo de governança macroeconômica, caracterizado pela </w:t>
      </w:r>
      <w:r w:rsidRPr="00AD038C">
        <w:rPr>
          <w:rFonts w:ascii="Times New Roman" w:hAnsi="Times New Roman"/>
          <w:b/>
          <w:sz w:val="20"/>
          <w:szCs w:val="20"/>
        </w:rPr>
        <w:t>flexibilidade nas metas</w:t>
      </w:r>
      <w:r w:rsidRPr="00AD038C">
        <w:rPr>
          <w:rFonts w:ascii="Times New Roman" w:hAnsi="Times New Roman"/>
          <w:sz w:val="20"/>
          <w:szCs w:val="20"/>
        </w:rPr>
        <w:t xml:space="preserve">, transparência nas decisões e na escolha dos instrumentos, adequada comunicação com a sociedade </w:t>
      </w:r>
      <w:r w:rsidRPr="00AD038C">
        <w:rPr>
          <w:rFonts w:ascii="Times New Roman" w:hAnsi="Times New Roman"/>
          <w:b/>
          <w:sz w:val="20"/>
          <w:szCs w:val="20"/>
        </w:rPr>
        <w:t xml:space="preserve">sobre as metas adotadas </w:t>
      </w:r>
      <w:r w:rsidRPr="00AD038C">
        <w:rPr>
          <w:rFonts w:ascii="Times New Roman" w:hAnsi="Times New Roman"/>
          <w:sz w:val="20"/>
          <w:szCs w:val="20"/>
        </w:rPr>
        <w:t xml:space="preserve">e instrumentos utilizados e, principalmente, prestação de contas à instância </w:t>
      </w:r>
      <w:r>
        <w:rPr>
          <w:rFonts w:ascii="Times New Roman" w:hAnsi="Times New Roman"/>
          <w:sz w:val="20"/>
          <w:szCs w:val="20"/>
        </w:rPr>
        <w:t>política e a sociedade em geral (ATA 11ª Reunião Plenária, 10/03/2005, p. 23, grifos meus).</w:t>
      </w:r>
    </w:p>
    <w:p w:rsidR="00303FA9" w:rsidRDefault="00C96A72" w:rsidP="00D65B8F">
      <w:pPr>
        <w:spacing w:before="240" w:line="360" w:lineRule="auto"/>
        <w:ind w:firstLine="708"/>
        <w:jc w:val="both"/>
        <w:rPr>
          <w:rFonts w:ascii="Times New Roman" w:hAnsi="Times New Roman"/>
          <w:sz w:val="24"/>
          <w:szCs w:val="24"/>
        </w:rPr>
      </w:pPr>
      <w:r>
        <w:rPr>
          <w:rFonts w:ascii="Times New Roman" w:hAnsi="Times New Roman"/>
          <w:sz w:val="24"/>
          <w:szCs w:val="24"/>
        </w:rPr>
        <w:t>Repare-se</w:t>
      </w:r>
      <w:r w:rsidR="00303FA9">
        <w:rPr>
          <w:rFonts w:ascii="Times New Roman" w:hAnsi="Times New Roman"/>
          <w:sz w:val="24"/>
          <w:szCs w:val="24"/>
        </w:rPr>
        <w:t xml:space="preserve"> que não havia, a rigor, qualquer objeção explícita e direta ao principal instrumento adotado pelo governo Lula da Silva de estabilização macroeconômica: o regime de metas de inflação. </w:t>
      </w:r>
      <w:r>
        <w:rPr>
          <w:rFonts w:ascii="Times New Roman" w:hAnsi="Times New Roman"/>
          <w:sz w:val="24"/>
          <w:szCs w:val="24"/>
        </w:rPr>
        <w:t xml:space="preserve">O setor mais próximo à “sensibilidade” petista limitava-se a </w:t>
      </w:r>
      <w:r w:rsidR="00303FA9">
        <w:rPr>
          <w:rFonts w:ascii="Times New Roman" w:hAnsi="Times New Roman"/>
          <w:sz w:val="24"/>
          <w:szCs w:val="24"/>
        </w:rPr>
        <w:t xml:space="preserve">compatibilizar ou ajustar tal regime, instrumentalizando-o </w:t>
      </w:r>
      <w:r w:rsidR="00346DBF">
        <w:rPr>
          <w:rFonts w:ascii="Times New Roman" w:hAnsi="Times New Roman"/>
          <w:sz w:val="24"/>
          <w:szCs w:val="24"/>
        </w:rPr>
        <w:t>em meio</w:t>
      </w:r>
      <w:r w:rsidR="00303FA9">
        <w:rPr>
          <w:rFonts w:ascii="Times New Roman" w:hAnsi="Times New Roman"/>
          <w:sz w:val="24"/>
          <w:szCs w:val="24"/>
        </w:rPr>
        <w:t xml:space="preserve"> aos desafios de crescimento econômico e da distribuição da renda, com baixa inflação</w:t>
      </w:r>
      <w:r>
        <w:rPr>
          <w:rFonts w:ascii="Times New Roman" w:hAnsi="Times New Roman"/>
          <w:sz w:val="24"/>
          <w:szCs w:val="24"/>
        </w:rPr>
        <w:t xml:space="preserve">. Havia </w:t>
      </w:r>
      <w:r w:rsidR="00303FA9">
        <w:rPr>
          <w:rFonts w:ascii="Times New Roman" w:hAnsi="Times New Roman"/>
          <w:sz w:val="24"/>
          <w:szCs w:val="24"/>
        </w:rPr>
        <w:t>mudança</w:t>
      </w:r>
      <w:r>
        <w:rPr>
          <w:rFonts w:ascii="Times New Roman" w:hAnsi="Times New Roman"/>
          <w:sz w:val="24"/>
          <w:szCs w:val="24"/>
        </w:rPr>
        <w:t xml:space="preserve"> fictícia</w:t>
      </w:r>
      <w:r w:rsidR="00303FA9">
        <w:rPr>
          <w:rFonts w:ascii="Times New Roman" w:hAnsi="Times New Roman"/>
          <w:sz w:val="24"/>
          <w:szCs w:val="24"/>
        </w:rPr>
        <w:t xml:space="preserve"> na estratégia ou no modelo de desenvolvimento, sem sequer afiançar os requisitos mínimos necessários para o rompimento com a própria espinha dorsal da política econômica que diziam querer suplantar</w:t>
      </w:r>
      <w:r>
        <w:rPr>
          <w:rFonts w:ascii="Times New Roman" w:hAnsi="Times New Roman"/>
          <w:sz w:val="24"/>
          <w:szCs w:val="24"/>
        </w:rPr>
        <w:t>. Ora,</w:t>
      </w:r>
      <w:r w:rsidR="00303FA9">
        <w:rPr>
          <w:rFonts w:ascii="Times New Roman" w:hAnsi="Times New Roman"/>
          <w:sz w:val="24"/>
          <w:szCs w:val="24"/>
        </w:rPr>
        <w:t xml:space="preserve"> compatibilizar e flexibilizar o regime de metas de inflação não significava superar duas das estruturas balizadoras do modelo neoliberal de desenvolvimento e acumulação capitalista </w:t>
      </w:r>
      <w:r w:rsidR="00095250">
        <w:rPr>
          <w:rFonts w:ascii="Times New Roman" w:hAnsi="Times New Roman"/>
          <w:sz w:val="24"/>
          <w:szCs w:val="24"/>
        </w:rPr>
        <w:t>–</w:t>
      </w:r>
      <w:r w:rsidR="00303FA9">
        <w:rPr>
          <w:rFonts w:ascii="Times New Roman" w:hAnsi="Times New Roman"/>
          <w:sz w:val="24"/>
          <w:szCs w:val="24"/>
        </w:rPr>
        <w:t xml:space="preserve"> a estabilidade macroeconômica como pré-condição para política de longo prazo e as reformas pró-mercado para a retomada dos investimentos privados.</w:t>
      </w:r>
      <w:r w:rsidR="00303FA9">
        <w:rPr>
          <w:rStyle w:val="Refdenotaderodap"/>
          <w:rFonts w:ascii="Times New Roman" w:hAnsi="Times New Roman"/>
          <w:sz w:val="24"/>
          <w:szCs w:val="24"/>
        </w:rPr>
        <w:footnoteReference w:id="435"/>
      </w:r>
      <w:r w:rsidR="00303FA9">
        <w:rPr>
          <w:rFonts w:ascii="Times New Roman" w:hAnsi="Times New Roman"/>
          <w:sz w:val="24"/>
          <w:szCs w:val="24"/>
        </w:rPr>
        <w:t xml:space="preserve"> Na verdade, </w:t>
      </w:r>
      <w:r w:rsidR="00FB3728">
        <w:rPr>
          <w:rFonts w:ascii="Times New Roman" w:hAnsi="Times New Roman"/>
          <w:sz w:val="24"/>
          <w:szCs w:val="24"/>
        </w:rPr>
        <w:t>admitia-se</w:t>
      </w:r>
      <w:r w:rsidR="00303FA9">
        <w:rPr>
          <w:rFonts w:ascii="Times New Roman" w:hAnsi="Times New Roman"/>
          <w:sz w:val="24"/>
          <w:szCs w:val="24"/>
        </w:rPr>
        <w:t xml:space="preserve">um realinhamento tímido da política econômica (no curto prazo) como pré-condição estratégica de assunção de um </w:t>
      </w:r>
      <w:r>
        <w:rPr>
          <w:rFonts w:ascii="Times New Roman" w:hAnsi="Times New Roman"/>
          <w:sz w:val="24"/>
          <w:szCs w:val="24"/>
        </w:rPr>
        <w:t>“</w:t>
      </w:r>
      <w:r w:rsidR="00303FA9">
        <w:rPr>
          <w:rFonts w:ascii="Times New Roman" w:hAnsi="Times New Roman"/>
          <w:sz w:val="24"/>
          <w:szCs w:val="24"/>
        </w:rPr>
        <w:t>novo</w:t>
      </w:r>
      <w:r>
        <w:rPr>
          <w:rFonts w:ascii="Times New Roman" w:hAnsi="Times New Roman"/>
          <w:sz w:val="24"/>
          <w:szCs w:val="24"/>
        </w:rPr>
        <w:t>”</w:t>
      </w:r>
      <w:r w:rsidR="00303FA9">
        <w:rPr>
          <w:rFonts w:ascii="Times New Roman" w:hAnsi="Times New Roman"/>
          <w:sz w:val="24"/>
          <w:szCs w:val="24"/>
        </w:rPr>
        <w:t xml:space="preserve"> modelo de desenvolvimento (no médio e longo prazos), provavelmente como aspiração de transição estrutural lenta. Estas considerações não são hipóteses abstratas, </w:t>
      </w:r>
      <w:r w:rsidR="00F45A76">
        <w:rPr>
          <w:rFonts w:ascii="Times New Roman" w:hAnsi="Times New Roman"/>
          <w:sz w:val="24"/>
          <w:szCs w:val="24"/>
        </w:rPr>
        <w:t>estavam presentes nas</w:t>
      </w:r>
      <w:r w:rsidR="00303FA9">
        <w:rPr>
          <w:rFonts w:ascii="Times New Roman" w:hAnsi="Times New Roman"/>
          <w:sz w:val="24"/>
          <w:szCs w:val="24"/>
        </w:rPr>
        <w:t xml:space="preserve"> falas dos próprios conselheiros, como as que se lê abaixo:</w:t>
      </w:r>
    </w:p>
    <w:p w:rsidR="00303FA9" w:rsidRDefault="00303FA9" w:rsidP="00303FA9">
      <w:pPr>
        <w:autoSpaceDE w:val="0"/>
        <w:autoSpaceDN w:val="0"/>
        <w:adjustRightInd w:val="0"/>
        <w:spacing w:after="0" w:line="240" w:lineRule="auto"/>
        <w:ind w:left="2268"/>
        <w:jc w:val="both"/>
        <w:rPr>
          <w:rFonts w:ascii="Times New Roman" w:hAnsi="Times New Roman"/>
          <w:sz w:val="20"/>
          <w:szCs w:val="20"/>
        </w:rPr>
      </w:pPr>
      <w:r w:rsidRPr="00FB712B">
        <w:rPr>
          <w:rFonts w:ascii="Times New Roman" w:hAnsi="Times New Roman"/>
          <w:sz w:val="20"/>
          <w:szCs w:val="20"/>
        </w:rPr>
        <w:t xml:space="preserve">Bom, eu acho que a sociedade brasileira tem vivido de forma cada vez mais intensa o debate sobre a questão crucial que é como </w:t>
      </w:r>
      <w:r w:rsidRPr="00357070">
        <w:rPr>
          <w:rFonts w:ascii="Times New Roman" w:hAnsi="Times New Roman"/>
          <w:b/>
          <w:sz w:val="20"/>
          <w:szCs w:val="20"/>
        </w:rPr>
        <w:t>compatibilizar as metas e as medidas econômicas de curto prazo com medidas de longo prazo que permitam e assegurem o desenvolvimento sustentável</w:t>
      </w:r>
      <w:r w:rsidRPr="00FB712B">
        <w:rPr>
          <w:rFonts w:ascii="Times New Roman" w:hAnsi="Times New Roman"/>
          <w:sz w:val="20"/>
          <w:szCs w:val="20"/>
        </w:rPr>
        <w:t xml:space="preserve">, do ponto de vista econômico, e a inclusão social e a redução das desigualdades. Esta questão tem amadurecido cada vez mais, e </w:t>
      </w:r>
      <w:r w:rsidRPr="00FB712B">
        <w:rPr>
          <w:rFonts w:ascii="Times New Roman" w:hAnsi="Times New Roman"/>
          <w:b/>
          <w:sz w:val="20"/>
          <w:szCs w:val="20"/>
        </w:rPr>
        <w:t>eu acho que esse amadurecimento se deve também ao sucesso da política econômica estabilizadora</w:t>
      </w:r>
      <w:r w:rsidRPr="00FB712B">
        <w:rPr>
          <w:rFonts w:ascii="Times New Roman" w:hAnsi="Times New Roman"/>
          <w:sz w:val="20"/>
          <w:szCs w:val="20"/>
        </w:rPr>
        <w:t xml:space="preserve">, </w:t>
      </w:r>
      <w:r w:rsidRPr="00357070">
        <w:rPr>
          <w:rFonts w:ascii="Times New Roman" w:hAnsi="Times New Roman"/>
          <w:b/>
          <w:sz w:val="20"/>
          <w:szCs w:val="20"/>
        </w:rPr>
        <w:t>e colocado a possibilidade de transitarmos para uma nova etapa, uma transição para um desenvolvimento sustentável</w:t>
      </w:r>
      <w:r>
        <w:rPr>
          <w:rFonts w:ascii="Times New Roman" w:hAnsi="Times New Roman"/>
          <w:sz w:val="20"/>
          <w:szCs w:val="20"/>
        </w:rPr>
        <w:t xml:space="preserve"> (Conselheira Sonia Fleury, ATA 11ª Reunião Plenária, 10/03/2005, p. 05, grifos meus).</w:t>
      </w:r>
    </w:p>
    <w:p w:rsidR="00303FA9" w:rsidRDefault="00303FA9" w:rsidP="00303FA9">
      <w:pPr>
        <w:spacing w:after="0" w:line="240" w:lineRule="auto"/>
        <w:ind w:left="2268"/>
        <w:jc w:val="both"/>
        <w:rPr>
          <w:rFonts w:ascii="Times New Roman" w:hAnsi="Times New Roman"/>
          <w:sz w:val="20"/>
          <w:szCs w:val="20"/>
        </w:rPr>
      </w:pPr>
    </w:p>
    <w:p w:rsidR="00303FA9" w:rsidRDefault="00303FA9" w:rsidP="00303FA9">
      <w:pPr>
        <w:spacing w:after="0" w:line="240" w:lineRule="auto"/>
        <w:ind w:left="2268"/>
        <w:jc w:val="both"/>
        <w:rPr>
          <w:rFonts w:ascii="Times New Roman" w:hAnsi="Times New Roman"/>
          <w:sz w:val="20"/>
          <w:szCs w:val="20"/>
        </w:rPr>
      </w:pPr>
      <w:r>
        <w:rPr>
          <w:rFonts w:ascii="Times New Roman" w:hAnsi="Times New Roman"/>
          <w:sz w:val="20"/>
          <w:szCs w:val="20"/>
        </w:rPr>
        <w:t xml:space="preserve">Na linha da apresentação do Abílio, eu vejo que efetivamente a grande contribuição, a grande mudança que aconteceu na condução política do Brasil foi </w:t>
      </w:r>
      <w:r w:rsidRPr="006643B0">
        <w:rPr>
          <w:rFonts w:ascii="Times New Roman" w:hAnsi="Times New Roman"/>
          <w:b/>
          <w:sz w:val="20"/>
          <w:szCs w:val="20"/>
        </w:rPr>
        <w:t>essa firmeza e coragem na busca de disciplina fiscal</w:t>
      </w:r>
      <w:r>
        <w:rPr>
          <w:rFonts w:ascii="Times New Roman" w:hAnsi="Times New Roman"/>
          <w:sz w:val="20"/>
          <w:szCs w:val="20"/>
        </w:rPr>
        <w:t xml:space="preserve"> no Governo (Conselheiro Rodrigo Loures, idem: p. 26-27, grifos meus).</w:t>
      </w:r>
    </w:p>
    <w:p w:rsidR="00303FA9" w:rsidRDefault="00303FA9" w:rsidP="00303FA9">
      <w:pPr>
        <w:spacing w:after="0" w:line="240" w:lineRule="auto"/>
        <w:ind w:left="2268"/>
        <w:jc w:val="both"/>
        <w:rPr>
          <w:rFonts w:ascii="Times New Roman" w:hAnsi="Times New Roman"/>
          <w:sz w:val="20"/>
          <w:szCs w:val="20"/>
        </w:rPr>
      </w:pPr>
    </w:p>
    <w:p w:rsidR="00303FA9" w:rsidRDefault="00303FA9" w:rsidP="00303FA9">
      <w:pPr>
        <w:spacing w:line="240" w:lineRule="auto"/>
        <w:ind w:left="2268"/>
        <w:jc w:val="both"/>
        <w:rPr>
          <w:rFonts w:ascii="Times New Roman" w:hAnsi="Times New Roman"/>
          <w:sz w:val="20"/>
          <w:szCs w:val="20"/>
        </w:rPr>
      </w:pPr>
      <w:r w:rsidRPr="001271A4">
        <w:rPr>
          <w:rFonts w:ascii="Times New Roman" w:hAnsi="Times New Roman"/>
          <w:sz w:val="20"/>
          <w:szCs w:val="20"/>
        </w:rPr>
        <w:t xml:space="preserve">Estamos perdendo uma grande oportunidade. Há uma teimosia tremenda em não se ajustar a política econômica. </w:t>
      </w:r>
      <w:r w:rsidRPr="00357070">
        <w:rPr>
          <w:rFonts w:ascii="Times New Roman" w:hAnsi="Times New Roman"/>
          <w:b/>
          <w:sz w:val="20"/>
          <w:szCs w:val="20"/>
        </w:rPr>
        <w:t>Eu não critico a política econômica como um todo, mas que há necessidade de ajustes e correções</w:t>
      </w:r>
      <w:r>
        <w:rPr>
          <w:rFonts w:ascii="Times New Roman" w:hAnsi="Times New Roman"/>
          <w:sz w:val="20"/>
          <w:szCs w:val="20"/>
        </w:rPr>
        <w:t>, há necessidade (Conselheiro Paulo Skaf, ATA da 15ª Reunião Plenária, 01/12/2005, p. 18, grifos meus).</w:t>
      </w:r>
    </w:p>
    <w:p w:rsidR="00303FA9" w:rsidRDefault="00303FA9" w:rsidP="00303FA9">
      <w:pPr>
        <w:spacing w:line="240" w:lineRule="auto"/>
        <w:ind w:left="2268"/>
        <w:jc w:val="both"/>
        <w:rPr>
          <w:rFonts w:ascii="Times New Roman" w:hAnsi="Times New Roman"/>
          <w:sz w:val="20"/>
          <w:szCs w:val="20"/>
        </w:rPr>
      </w:pPr>
      <w:r>
        <w:rPr>
          <w:rFonts w:ascii="Times New Roman" w:hAnsi="Times New Roman"/>
          <w:sz w:val="20"/>
          <w:szCs w:val="20"/>
        </w:rPr>
        <w:t xml:space="preserve">Não importa que o governo mude, mas que a gente precisa ter claro que </w:t>
      </w:r>
      <w:r w:rsidRPr="00D96F40">
        <w:rPr>
          <w:rFonts w:ascii="Times New Roman" w:hAnsi="Times New Roman"/>
          <w:b/>
          <w:sz w:val="20"/>
          <w:szCs w:val="20"/>
        </w:rPr>
        <w:t>deve existir em determinados temas uma continuidade</w:t>
      </w:r>
      <w:r>
        <w:rPr>
          <w:rFonts w:ascii="Times New Roman" w:hAnsi="Times New Roman"/>
          <w:sz w:val="20"/>
          <w:szCs w:val="20"/>
        </w:rPr>
        <w:t xml:space="preserve">, para que não seja motivo de sobressalto a cada eleição. Eu falo isso principalmente na questão econômica, que eu acho que na mudança do governo do Presidente Fernando Henrique para o Presidente Lula </w:t>
      </w:r>
      <w:r w:rsidRPr="0037601A">
        <w:rPr>
          <w:rFonts w:ascii="Times New Roman" w:hAnsi="Times New Roman"/>
          <w:b/>
          <w:sz w:val="20"/>
          <w:szCs w:val="20"/>
        </w:rPr>
        <w:t>surpreendeu a nós todos pela manutenção da questão econômica, pelo avanço na questão que deu a estabilidade. Ou seja, deu estabilidade, deu credibilidade para o Brasil</w:t>
      </w:r>
      <w:r>
        <w:rPr>
          <w:rFonts w:ascii="Times New Roman" w:hAnsi="Times New Roman"/>
          <w:sz w:val="20"/>
          <w:szCs w:val="20"/>
        </w:rPr>
        <w:t xml:space="preserve">. (...) Acho que o problema do Brasil hoje </w:t>
      </w:r>
      <w:r w:rsidRPr="0037601A">
        <w:rPr>
          <w:rFonts w:ascii="Times New Roman" w:hAnsi="Times New Roman"/>
          <w:b/>
          <w:sz w:val="20"/>
          <w:szCs w:val="20"/>
        </w:rPr>
        <w:t>é um problema de velocidade, nós temos que dar velocidade</w:t>
      </w:r>
      <w:r>
        <w:rPr>
          <w:rFonts w:ascii="Times New Roman" w:hAnsi="Times New Roman"/>
          <w:sz w:val="20"/>
          <w:szCs w:val="20"/>
        </w:rPr>
        <w:t xml:space="preserve">. Não é mais um problema de direção é um problema de velocidade. E se a gente for capaz de </w:t>
      </w:r>
      <w:r w:rsidRPr="0037601A">
        <w:rPr>
          <w:rFonts w:ascii="Times New Roman" w:hAnsi="Times New Roman"/>
          <w:b/>
          <w:sz w:val="20"/>
          <w:szCs w:val="20"/>
        </w:rPr>
        <w:t>manter (...) os fundamentos que regem a economia</w:t>
      </w:r>
      <w:r>
        <w:rPr>
          <w:rFonts w:ascii="Times New Roman" w:hAnsi="Times New Roman"/>
          <w:sz w:val="20"/>
          <w:szCs w:val="20"/>
        </w:rPr>
        <w:t xml:space="preserve"> e não ter mais sobressaltos e puder tratar de questões estruturais importantes, (...) acho que a gente está indo a caminho de um futuro brilhante (...) (Conselheiro Carlos Jereissati, ATA da 19ª Reunião Plenária, 24/08/2006, p. 06, grifos meus)</w:t>
      </w:r>
    </w:p>
    <w:p w:rsidR="00EE4535" w:rsidRDefault="00F45A76" w:rsidP="00D65B8F">
      <w:pPr>
        <w:spacing w:before="240" w:after="0" w:line="360" w:lineRule="auto"/>
        <w:ind w:firstLine="708"/>
        <w:jc w:val="both"/>
        <w:rPr>
          <w:rFonts w:ascii="Times New Roman" w:hAnsi="Times New Roman"/>
          <w:sz w:val="24"/>
          <w:szCs w:val="24"/>
        </w:rPr>
      </w:pPr>
      <w:r>
        <w:rPr>
          <w:rFonts w:ascii="Times New Roman" w:hAnsi="Times New Roman"/>
          <w:sz w:val="24"/>
          <w:szCs w:val="24"/>
        </w:rPr>
        <w:t>O</w:t>
      </w:r>
      <w:r w:rsidR="00303FA9">
        <w:rPr>
          <w:rFonts w:ascii="Times New Roman" w:hAnsi="Times New Roman"/>
          <w:sz w:val="24"/>
          <w:szCs w:val="24"/>
        </w:rPr>
        <w:t xml:space="preserve"> principal pomo da discórdia entre os conselheiros e o governo nunca foi a reversão (ou mesmo a revisão) das lógicas liberalizantes, desregulamentadoras, privatizantes e monetaristas do governo anterior – aliás proposta jamais anunciada no âmbito do Conselho -, muito menos o abandono da estabilização macroeconômica e as reformas pró-mercado, (muito pelo contrário, tendo em vista que ambas eram requeridas de forma recorrente e v</w:t>
      </w:r>
      <w:r>
        <w:rPr>
          <w:rFonts w:ascii="Times New Roman" w:hAnsi="Times New Roman"/>
          <w:sz w:val="24"/>
          <w:szCs w:val="24"/>
        </w:rPr>
        <w:t xml:space="preserve">eemente nas reuniões plenárias). Havia uma queixa uníssona contra </w:t>
      </w:r>
      <w:r w:rsidR="00303FA9">
        <w:rPr>
          <w:rFonts w:ascii="Times New Roman" w:hAnsi="Times New Roman"/>
          <w:sz w:val="24"/>
          <w:szCs w:val="24"/>
        </w:rPr>
        <w:t xml:space="preserve">o então considerado incômodo aperto da política monetária restritiva e contracionista </w:t>
      </w:r>
      <w:r w:rsidR="00303FA9">
        <w:rPr>
          <w:rFonts w:ascii="Times New Roman" w:hAnsi="Times New Roman"/>
          <w:i/>
          <w:sz w:val="24"/>
          <w:szCs w:val="24"/>
        </w:rPr>
        <w:t>na escala que estava sendo praticada e na prioridade que assumia ante os demais compromissos</w:t>
      </w:r>
      <w:r>
        <w:rPr>
          <w:rFonts w:ascii="Times New Roman" w:hAnsi="Times New Roman"/>
          <w:i/>
          <w:sz w:val="24"/>
          <w:szCs w:val="24"/>
        </w:rPr>
        <w:t xml:space="preserve">. </w:t>
      </w:r>
      <w:r>
        <w:rPr>
          <w:rFonts w:ascii="Times New Roman" w:hAnsi="Times New Roman"/>
          <w:sz w:val="24"/>
          <w:szCs w:val="24"/>
        </w:rPr>
        <w:t>Tais compromissos, entretanto, eram vagos: “desenvolvimento” era o termo comum, para alguns adjetivado de “sustentável”, mas sem maiores precisões. Os termos das discórdias reais vinham expressos sob fórmulas como</w:t>
      </w:r>
      <w:r w:rsidR="003162FB">
        <w:rPr>
          <w:rFonts w:ascii="Times New Roman" w:hAnsi="Times New Roman"/>
          <w:sz w:val="24"/>
          <w:szCs w:val="24"/>
        </w:rPr>
        <w:t>:</w:t>
      </w:r>
      <w:r w:rsidR="00303FA9">
        <w:rPr>
          <w:rFonts w:ascii="Times New Roman" w:hAnsi="Times New Roman"/>
          <w:sz w:val="24"/>
          <w:szCs w:val="24"/>
        </w:rPr>
        <w:t xml:space="preserve">a alocação de recursos auferidos pelo Estado para a “decolada” do “desenvolvimento com inclusão social”, via políticas indutivas e promotoras do “setor produtivo”, via políticas redistributivistas de combate à desigualdade, onde ambas retro-alimentar-se-iam num provável e desejável ciclo virtuoso no médio e longo prazo. </w:t>
      </w:r>
    </w:p>
    <w:p w:rsidR="00EE4535" w:rsidRPr="00C33FA2" w:rsidRDefault="00EE4535" w:rsidP="00303FA9">
      <w:pPr>
        <w:spacing w:after="0" w:line="360" w:lineRule="auto"/>
        <w:ind w:firstLine="708"/>
        <w:jc w:val="both"/>
        <w:rPr>
          <w:rFonts w:ascii="Times New Roman" w:hAnsi="Times New Roman"/>
          <w:sz w:val="24"/>
          <w:szCs w:val="24"/>
        </w:rPr>
      </w:pPr>
      <w:r w:rsidRPr="00C33FA2">
        <w:rPr>
          <w:rFonts w:ascii="Times New Roman" w:hAnsi="Times New Roman"/>
          <w:sz w:val="24"/>
          <w:szCs w:val="24"/>
        </w:rPr>
        <w:t>Observa-se, ademais, um movimento de adesão de</w:t>
      </w:r>
      <w:r w:rsidR="00E83D90" w:rsidRPr="00C33FA2">
        <w:rPr>
          <w:rFonts w:ascii="Times New Roman" w:hAnsi="Times New Roman"/>
          <w:sz w:val="24"/>
          <w:szCs w:val="24"/>
        </w:rPr>
        <w:t xml:space="preserve"> alguns</w:t>
      </w:r>
      <w:r w:rsidRPr="00C33FA2">
        <w:rPr>
          <w:rFonts w:ascii="Times New Roman" w:hAnsi="Times New Roman"/>
          <w:sz w:val="24"/>
          <w:szCs w:val="24"/>
        </w:rPr>
        <w:t xml:space="preserve"> conselheiros que antes (em 2003 e 2004) teciam críticas mordazes à política econômica, e que, em 2005, passaram a dar um “apoio crítico” às principais diretrizes macroeconômicas do governo. </w:t>
      </w:r>
      <w:r w:rsidR="00E83D90" w:rsidRPr="00C33FA2">
        <w:rPr>
          <w:rFonts w:ascii="Times New Roman" w:hAnsi="Times New Roman"/>
          <w:sz w:val="24"/>
          <w:szCs w:val="24"/>
        </w:rPr>
        <w:t>Este deslizamento</w:t>
      </w:r>
      <w:r w:rsidR="009E441F" w:rsidRPr="00C33FA2">
        <w:rPr>
          <w:rFonts w:ascii="Times New Roman" w:hAnsi="Times New Roman"/>
          <w:sz w:val="24"/>
          <w:szCs w:val="24"/>
        </w:rPr>
        <w:t xml:space="preserve"> partiu</w:t>
      </w:r>
      <w:r w:rsidR="00E83D90" w:rsidRPr="00C33FA2">
        <w:rPr>
          <w:rFonts w:ascii="Times New Roman" w:hAnsi="Times New Roman"/>
          <w:sz w:val="24"/>
          <w:szCs w:val="24"/>
        </w:rPr>
        <w:t xml:space="preserve"> de uma posição política de criticidade relativamente aguda para uma posição que “abona</w:t>
      </w:r>
      <w:r w:rsidR="00513282" w:rsidRPr="00C33FA2">
        <w:rPr>
          <w:rFonts w:ascii="Times New Roman" w:hAnsi="Times New Roman"/>
          <w:sz w:val="24"/>
          <w:szCs w:val="24"/>
        </w:rPr>
        <w:t>va</w:t>
      </w:r>
      <w:r w:rsidR="00E83D90" w:rsidRPr="00C33FA2">
        <w:rPr>
          <w:rFonts w:ascii="Times New Roman" w:hAnsi="Times New Roman"/>
          <w:sz w:val="24"/>
          <w:szCs w:val="24"/>
        </w:rPr>
        <w:t xml:space="preserve"> sob condições”</w:t>
      </w:r>
      <w:r w:rsidR="00561123">
        <w:rPr>
          <w:rFonts w:ascii="Times New Roman" w:hAnsi="Times New Roman"/>
          <w:sz w:val="24"/>
          <w:szCs w:val="24"/>
        </w:rPr>
        <w:t xml:space="preserve">. O ritmo tateante espressava a dificuldade de composições do projeto hegemônico que </w:t>
      </w:r>
      <w:r w:rsidR="005B2F33">
        <w:rPr>
          <w:rFonts w:ascii="Times New Roman" w:hAnsi="Times New Roman"/>
          <w:i/>
          <w:sz w:val="24"/>
          <w:szCs w:val="24"/>
        </w:rPr>
        <w:t>devia ser</w:t>
      </w:r>
      <w:r w:rsidR="00561123" w:rsidRPr="00561123">
        <w:rPr>
          <w:rFonts w:ascii="Times New Roman" w:hAnsi="Times New Roman"/>
          <w:i/>
          <w:sz w:val="24"/>
          <w:szCs w:val="24"/>
        </w:rPr>
        <w:t xml:space="preserve"> novo, mas não podia romper com o velho</w:t>
      </w:r>
      <w:r w:rsidR="00561123">
        <w:rPr>
          <w:rFonts w:ascii="Times New Roman" w:hAnsi="Times New Roman"/>
          <w:sz w:val="24"/>
          <w:szCs w:val="24"/>
        </w:rPr>
        <w:t>.Essa dinâmica respondeu,</w:t>
      </w:r>
      <w:r w:rsidR="00513282" w:rsidRPr="00C33FA2">
        <w:rPr>
          <w:rFonts w:ascii="Times New Roman" w:hAnsi="Times New Roman"/>
          <w:sz w:val="24"/>
          <w:szCs w:val="24"/>
        </w:rPr>
        <w:t xml:space="preserve"> a nosso ver, </w:t>
      </w:r>
      <w:r w:rsidR="00B2214E" w:rsidRPr="00C33FA2">
        <w:rPr>
          <w:rFonts w:ascii="Times New Roman" w:hAnsi="Times New Roman"/>
          <w:sz w:val="24"/>
          <w:szCs w:val="24"/>
        </w:rPr>
        <w:t xml:space="preserve">àsedimentação de </w:t>
      </w:r>
      <w:r w:rsidR="004A5D85" w:rsidRPr="00C33FA2">
        <w:rPr>
          <w:rFonts w:ascii="Times New Roman" w:hAnsi="Times New Roman"/>
          <w:sz w:val="24"/>
          <w:szCs w:val="24"/>
        </w:rPr>
        <w:t>um “acordo” (processo de operacionalizaç</w:t>
      </w:r>
      <w:r w:rsidR="00B2214E" w:rsidRPr="00C33FA2">
        <w:rPr>
          <w:rFonts w:ascii="Times New Roman" w:hAnsi="Times New Roman"/>
          <w:sz w:val="24"/>
          <w:szCs w:val="24"/>
        </w:rPr>
        <w:t>ão da hegemonia) o qual as aspirações sociais assumiam de fato posições adjetivadas, mesmo que sob tensões</w:t>
      </w:r>
      <w:r w:rsidR="00841A68" w:rsidRPr="00C33FA2">
        <w:rPr>
          <w:rFonts w:ascii="Times New Roman" w:hAnsi="Times New Roman"/>
          <w:sz w:val="24"/>
          <w:szCs w:val="24"/>
        </w:rPr>
        <w:t xml:space="preserve"> e freq</w:t>
      </w:r>
      <w:r w:rsidR="005913F9" w:rsidRPr="00C33FA2">
        <w:rPr>
          <w:rFonts w:ascii="Times New Roman" w:hAnsi="Times New Roman"/>
          <w:sz w:val="24"/>
          <w:szCs w:val="24"/>
        </w:rPr>
        <w:t>u</w:t>
      </w:r>
      <w:r w:rsidR="00841A68" w:rsidRPr="00C33FA2">
        <w:rPr>
          <w:rFonts w:ascii="Times New Roman" w:hAnsi="Times New Roman"/>
          <w:sz w:val="24"/>
          <w:szCs w:val="24"/>
        </w:rPr>
        <w:t>entes reclames</w:t>
      </w:r>
      <w:r w:rsidR="00B2214E" w:rsidRPr="00C33FA2">
        <w:rPr>
          <w:rFonts w:ascii="Times New Roman" w:hAnsi="Times New Roman"/>
          <w:sz w:val="24"/>
          <w:szCs w:val="24"/>
        </w:rPr>
        <w:t xml:space="preserve">, </w:t>
      </w:r>
      <w:r w:rsidR="00F937E8">
        <w:rPr>
          <w:rFonts w:ascii="Times New Roman" w:hAnsi="Times New Roman"/>
          <w:sz w:val="24"/>
          <w:szCs w:val="24"/>
        </w:rPr>
        <w:t>ante</w:t>
      </w:r>
      <w:r w:rsidR="00346DBF">
        <w:rPr>
          <w:rFonts w:ascii="Times New Roman" w:hAnsi="Times New Roman"/>
          <w:sz w:val="24"/>
          <w:szCs w:val="24"/>
        </w:rPr>
        <w:t xml:space="preserve"> ao</w:t>
      </w:r>
      <w:r w:rsidR="00B2214E" w:rsidRPr="00C33FA2">
        <w:rPr>
          <w:rFonts w:ascii="Times New Roman" w:hAnsi="Times New Roman"/>
          <w:sz w:val="24"/>
          <w:szCs w:val="24"/>
        </w:rPr>
        <w:t xml:space="preserve"> conteúdo substantivo do projeto que se amalgamava: o desenvolvimento do capitalismo.</w:t>
      </w:r>
      <w:r w:rsidR="00934B40" w:rsidRPr="00C33FA2">
        <w:rPr>
          <w:rFonts w:ascii="Times New Roman" w:hAnsi="Times New Roman"/>
          <w:sz w:val="24"/>
          <w:szCs w:val="24"/>
        </w:rPr>
        <w:t xml:space="preserve"> Esse último foi o principal ingrediente  da argamassa do social-liberalismo elaborada no Conselho.</w:t>
      </w:r>
    </w:p>
    <w:p w:rsidR="00303FA9" w:rsidRDefault="00303FA9" w:rsidP="00303FA9">
      <w:pPr>
        <w:spacing w:line="360" w:lineRule="auto"/>
        <w:ind w:firstLine="708"/>
        <w:jc w:val="both"/>
        <w:rPr>
          <w:rFonts w:ascii="Times New Roman" w:hAnsi="Times New Roman"/>
          <w:sz w:val="24"/>
          <w:szCs w:val="24"/>
        </w:rPr>
      </w:pPr>
      <w:r>
        <w:rPr>
          <w:rFonts w:ascii="Times New Roman" w:hAnsi="Times New Roman"/>
          <w:sz w:val="24"/>
          <w:szCs w:val="24"/>
        </w:rPr>
        <w:t>Mas</w:t>
      </w:r>
      <w:r w:rsidR="00B2214E">
        <w:rPr>
          <w:rFonts w:ascii="Times New Roman" w:hAnsi="Times New Roman"/>
          <w:sz w:val="24"/>
          <w:szCs w:val="24"/>
        </w:rPr>
        <w:t xml:space="preserve"> como a hegemonia pressupõe concessões,</w:t>
      </w:r>
      <w:r>
        <w:rPr>
          <w:rFonts w:ascii="Times New Roman" w:hAnsi="Times New Roman"/>
          <w:sz w:val="24"/>
          <w:szCs w:val="24"/>
        </w:rPr>
        <w:t xml:space="preserve"> era preciso “estancar o arrocho” no curto prazo, imediatamente, e direcionar as “medidas desenvolvimentistas” para o centro das preocupações e dos esforços dos agentes sociais, especialmente do governo, afinal teria sido com este propósito que forças políticas e sociais motivaram-se a apoiar a candidatura Lula da Silva e, além disso, a superação da conjuntura de crise política exi</w:t>
      </w:r>
      <w:r w:rsidR="009E441F">
        <w:rPr>
          <w:rFonts w:ascii="Times New Roman" w:hAnsi="Times New Roman"/>
          <w:sz w:val="24"/>
          <w:szCs w:val="24"/>
        </w:rPr>
        <w:t>gia aceleradosajustes</w:t>
      </w:r>
      <w:r w:rsidR="00CC21A2">
        <w:rPr>
          <w:rFonts w:ascii="Times New Roman" w:hAnsi="Times New Roman"/>
          <w:sz w:val="24"/>
          <w:szCs w:val="24"/>
        </w:rPr>
        <w:t xml:space="preserve"> de rumo, ainda que tais </w:t>
      </w:r>
      <w:r w:rsidR="009E441F">
        <w:rPr>
          <w:rFonts w:ascii="Times New Roman" w:hAnsi="Times New Roman"/>
          <w:sz w:val="24"/>
          <w:szCs w:val="24"/>
        </w:rPr>
        <w:t>ajustes estivessem limitado</w:t>
      </w:r>
      <w:r w:rsidR="00CC21A2">
        <w:rPr>
          <w:rFonts w:ascii="Times New Roman" w:hAnsi="Times New Roman"/>
          <w:sz w:val="24"/>
          <w:szCs w:val="24"/>
        </w:rPr>
        <w:t xml:space="preserve">s ao programa de estabilização econômica e de reformas pró-mercado. A expectativa de aumentar a </w:t>
      </w:r>
      <w:r w:rsidR="00CC21A2">
        <w:rPr>
          <w:rFonts w:ascii="Times New Roman" w:hAnsi="Times New Roman"/>
          <w:i/>
          <w:sz w:val="24"/>
          <w:szCs w:val="24"/>
        </w:rPr>
        <w:t xml:space="preserve">velocidade </w:t>
      </w:r>
      <w:r w:rsidR="00CC21A2" w:rsidRPr="00CC21A2">
        <w:rPr>
          <w:rFonts w:ascii="Times New Roman" w:hAnsi="Times New Roman"/>
          <w:sz w:val="24"/>
          <w:szCs w:val="24"/>
        </w:rPr>
        <w:t>ou o</w:t>
      </w:r>
      <w:r w:rsidR="00CC21A2">
        <w:rPr>
          <w:rFonts w:ascii="Times New Roman" w:hAnsi="Times New Roman"/>
          <w:i/>
          <w:sz w:val="24"/>
          <w:szCs w:val="24"/>
        </w:rPr>
        <w:t xml:space="preserve"> ritmo</w:t>
      </w:r>
      <w:r w:rsidR="00CC21A2">
        <w:rPr>
          <w:rFonts w:ascii="Times New Roman" w:hAnsi="Times New Roman"/>
          <w:sz w:val="24"/>
          <w:szCs w:val="24"/>
        </w:rPr>
        <w:t xml:space="preserve"> da descompressão estava expressa na A</w:t>
      </w:r>
      <w:r w:rsidR="008737F6">
        <w:rPr>
          <w:rFonts w:ascii="Times New Roman" w:hAnsi="Times New Roman"/>
          <w:sz w:val="24"/>
          <w:szCs w:val="24"/>
        </w:rPr>
        <w:t xml:space="preserve">genda </w:t>
      </w:r>
      <w:r w:rsidR="00CC21A2">
        <w:rPr>
          <w:rFonts w:ascii="Times New Roman" w:hAnsi="Times New Roman"/>
          <w:sz w:val="24"/>
          <w:szCs w:val="24"/>
        </w:rPr>
        <w:t>N</w:t>
      </w:r>
      <w:r w:rsidR="008737F6">
        <w:rPr>
          <w:rFonts w:ascii="Times New Roman" w:hAnsi="Times New Roman"/>
          <w:sz w:val="24"/>
          <w:szCs w:val="24"/>
        </w:rPr>
        <w:t xml:space="preserve">acional de </w:t>
      </w:r>
      <w:r w:rsidR="00CC21A2">
        <w:rPr>
          <w:rFonts w:ascii="Times New Roman" w:hAnsi="Times New Roman"/>
          <w:sz w:val="24"/>
          <w:szCs w:val="24"/>
        </w:rPr>
        <w:t>D</w:t>
      </w:r>
      <w:r w:rsidR="008737F6">
        <w:rPr>
          <w:rFonts w:ascii="Times New Roman" w:hAnsi="Times New Roman"/>
          <w:sz w:val="24"/>
          <w:szCs w:val="24"/>
        </w:rPr>
        <w:t>esenvolvimento</w:t>
      </w:r>
      <w:r w:rsidR="00CC21A2">
        <w:rPr>
          <w:rFonts w:ascii="Times New Roman" w:hAnsi="Times New Roman"/>
          <w:sz w:val="24"/>
          <w:szCs w:val="24"/>
        </w:rPr>
        <w:t xml:space="preserve">, </w:t>
      </w:r>
      <w:r w:rsidR="003162FB">
        <w:rPr>
          <w:rFonts w:ascii="Times New Roman" w:hAnsi="Times New Roman"/>
          <w:sz w:val="24"/>
          <w:szCs w:val="24"/>
        </w:rPr>
        <w:t>aprovada em plenária em agosto de 2005</w:t>
      </w:r>
      <w:r>
        <w:rPr>
          <w:rFonts w:ascii="Times New Roman" w:hAnsi="Times New Roman"/>
          <w:sz w:val="24"/>
          <w:szCs w:val="24"/>
        </w:rPr>
        <w:t>:</w:t>
      </w:r>
    </w:p>
    <w:p w:rsidR="00303FA9" w:rsidRPr="009D1A1F" w:rsidRDefault="00303FA9" w:rsidP="00303FA9">
      <w:pPr>
        <w:spacing w:line="240" w:lineRule="auto"/>
        <w:ind w:left="2268"/>
        <w:jc w:val="both"/>
        <w:rPr>
          <w:rFonts w:ascii="Times New Roman" w:hAnsi="Times New Roman"/>
          <w:sz w:val="20"/>
          <w:szCs w:val="20"/>
        </w:rPr>
      </w:pPr>
      <w:r w:rsidRPr="009D1A1F">
        <w:rPr>
          <w:rFonts w:ascii="Times New Roman" w:hAnsi="Times New Roman"/>
          <w:sz w:val="20"/>
          <w:szCs w:val="20"/>
        </w:rPr>
        <w:t xml:space="preserve">(...) a Agenda só será efetiva se sua implementação </w:t>
      </w:r>
      <w:r w:rsidRPr="002020F6">
        <w:rPr>
          <w:rFonts w:ascii="Times New Roman" w:hAnsi="Times New Roman"/>
          <w:b/>
          <w:sz w:val="20"/>
          <w:szCs w:val="20"/>
        </w:rPr>
        <w:t>começar imediatamente</w:t>
      </w:r>
      <w:r w:rsidRPr="009D1A1F">
        <w:rPr>
          <w:rFonts w:ascii="Times New Roman" w:hAnsi="Times New Roman"/>
          <w:sz w:val="20"/>
          <w:szCs w:val="20"/>
        </w:rPr>
        <w:t xml:space="preserve">. Vale dizer, se forem empreendidas </w:t>
      </w:r>
      <w:r w:rsidRPr="002020F6">
        <w:rPr>
          <w:rFonts w:ascii="Times New Roman" w:hAnsi="Times New Roman"/>
          <w:b/>
          <w:sz w:val="20"/>
          <w:szCs w:val="20"/>
        </w:rPr>
        <w:t>desde já</w:t>
      </w:r>
      <w:r w:rsidRPr="009D1A1F">
        <w:rPr>
          <w:rFonts w:ascii="Times New Roman" w:hAnsi="Times New Roman"/>
          <w:sz w:val="20"/>
          <w:szCs w:val="20"/>
        </w:rPr>
        <w:t xml:space="preserve"> todas as ações que se apresentem viáveis e conduzam, de forma consistente aos objetivos consensualmente estabelecidos. Esta orientação deve presidir as ações do Governo e todos os interessados em um desenvolvimento como o aqui defendido</w:t>
      </w:r>
      <w:r>
        <w:rPr>
          <w:rFonts w:ascii="Times New Roman" w:hAnsi="Times New Roman"/>
          <w:sz w:val="20"/>
          <w:szCs w:val="20"/>
        </w:rPr>
        <w:t>.</w:t>
      </w:r>
      <w:r>
        <w:rPr>
          <w:rStyle w:val="Refdenotaderodap"/>
          <w:rFonts w:ascii="Times New Roman" w:hAnsi="Times New Roman"/>
          <w:sz w:val="20"/>
          <w:szCs w:val="20"/>
        </w:rPr>
        <w:footnoteReference w:id="436"/>
      </w:r>
    </w:p>
    <w:p w:rsidR="00303FA9" w:rsidRDefault="006707ED" w:rsidP="00303FA9">
      <w:pPr>
        <w:spacing w:line="360" w:lineRule="auto"/>
        <w:ind w:firstLine="708"/>
        <w:jc w:val="both"/>
        <w:rPr>
          <w:rFonts w:ascii="Times New Roman" w:hAnsi="Times New Roman"/>
          <w:sz w:val="24"/>
          <w:szCs w:val="24"/>
        </w:rPr>
      </w:pPr>
      <w:r>
        <w:rPr>
          <w:rFonts w:ascii="Times New Roman" w:hAnsi="Times New Roman"/>
          <w:sz w:val="24"/>
          <w:szCs w:val="24"/>
        </w:rPr>
        <w:t>Contudo, a</w:t>
      </w:r>
      <w:r w:rsidR="008737F6">
        <w:rPr>
          <w:rFonts w:ascii="Times New Roman" w:hAnsi="Times New Roman"/>
          <w:sz w:val="24"/>
          <w:szCs w:val="24"/>
        </w:rPr>
        <w:t xml:space="preserve">s </w:t>
      </w:r>
      <w:r w:rsidR="00303FA9">
        <w:rPr>
          <w:rFonts w:ascii="Times New Roman" w:hAnsi="Times New Roman"/>
          <w:sz w:val="24"/>
          <w:szCs w:val="24"/>
        </w:rPr>
        <w:t>expectativas</w:t>
      </w:r>
      <w:r w:rsidR="008737F6">
        <w:rPr>
          <w:rFonts w:ascii="Times New Roman" w:hAnsi="Times New Roman"/>
          <w:sz w:val="24"/>
          <w:szCs w:val="24"/>
        </w:rPr>
        <w:t xml:space="preserve"> de celeridade</w:t>
      </w:r>
      <w:r w:rsidR="00303FA9">
        <w:rPr>
          <w:rFonts w:ascii="Times New Roman" w:hAnsi="Times New Roman"/>
          <w:sz w:val="24"/>
          <w:szCs w:val="24"/>
        </w:rPr>
        <w:t xml:space="preserve"> expostas na AND chocavam-se com os planos de Palocci e da equipe econômica. Desde 2003, segundo relato do próprio ministro da Fazenda, a proposta era adotar um “ajuste fiscal de longo prazo” de pelo menos dez anos e Paulo Bernardo, então ministro do Planejamento, aparece como colaborador da iniciativa ao preparar estudos sobre o assunto, apresentando proposta para “melhorar as políticas de estabilização com base em compromisso fiscal de longo prazo”.</w:t>
      </w:r>
      <w:r w:rsidR="00303FA9">
        <w:rPr>
          <w:rStyle w:val="Refdenotaderodap"/>
          <w:rFonts w:ascii="Times New Roman" w:hAnsi="Times New Roman"/>
          <w:sz w:val="24"/>
          <w:szCs w:val="24"/>
        </w:rPr>
        <w:footnoteReference w:id="437"/>
      </w:r>
      <w:r w:rsidR="00303FA9">
        <w:rPr>
          <w:rFonts w:ascii="Times New Roman" w:hAnsi="Times New Roman"/>
          <w:sz w:val="24"/>
          <w:szCs w:val="24"/>
        </w:rPr>
        <w:t xml:space="preserve"> Apesar das resistências de setores do governo e do PT,</w:t>
      </w:r>
      <w:r w:rsidR="00303FA9">
        <w:rPr>
          <w:rStyle w:val="Refdenotaderodap"/>
          <w:rFonts w:ascii="Times New Roman" w:hAnsi="Times New Roman"/>
          <w:sz w:val="24"/>
          <w:szCs w:val="24"/>
        </w:rPr>
        <w:footnoteReference w:id="438"/>
      </w:r>
      <w:r w:rsidR="00303FA9">
        <w:rPr>
          <w:rFonts w:ascii="Times New Roman" w:hAnsi="Times New Roman"/>
          <w:sz w:val="24"/>
          <w:szCs w:val="24"/>
        </w:rPr>
        <w:t xml:space="preserve"> Palocci afirma ter conseguido o respaldo político necessário do próprio Presidente da República para prosseguir com a empreitada. Como justificativa, ele utilizava os seguintes argumentos:</w:t>
      </w:r>
    </w:p>
    <w:p w:rsidR="00303FA9" w:rsidRPr="00285F48" w:rsidRDefault="00303FA9" w:rsidP="00303FA9">
      <w:pPr>
        <w:spacing w:line="240" w:lineRule="auto"/>
        <w:ind w:left="2268"/>
        <w:jc w:val="both"/>
        <w:rPr>
          <w:rFonts w:ascii="Times New Roman" w:hAnsi="Times New Roman"/>
          <w:sz w:val="20"/>
          <w:szCs w:val="20"/>
        </w:rPr>
      </w:pPr>
      <w:r w:rsidRPr="00285F48">
        <w:rPr>
          <w:rFonts w:ascii="Times New Roman" w:hAnsi="Times New Roman"/>
          <w:sz w:val="20"/>
          <w:szCs w:val="20"/>
        </w:rPr>
        <w:t xml:space="preserve">Para consertar a economia e criar as condições para o país voltar a crescer, gerar empregos e melhorar a renda da população mais pobre, declarei, era necessário esforço fiscal rigoroso e não havia possibilidade de flexibilização da política econômica. (...) sem os resultados fiscais que </w:t>
      </w:r>
      <w:r w:rsidRPr="002E712C">
        <w:rPr>
          <w:rFonts w:ascii="Times New Roman" w:hAnsi="Times New Roman"/>
          <w:b/>
          <w:sz w:val="20"/>
          <w:szCs w:val="20"/>
        </w:rPr>
        <w:t>só a austeridade prolongada</w:t>
      </w:r>
      <w:r w:rsidRPr="00285F48">
        <w:rPr>
          <w:rFonts w:ascii="Times New Roman" w:hAnsi="Times New Roman"/>
          <w:sz w:val="20"/>
          <w:szCs w:val="20"/>
        </w:rPr>
        <w:t xml:space="preserve"> é capaz de gerar, a trajetória de crescimento da dívida pública jamais permitiria o restabelecimento do equilíbrio econômi</w:t>
      </w:r>
      <w:r>
        <w:rPr>
          <w:rFonts w:ascii="Times New Roman" w:hAnsi="Times New Roman"/>
          <w:sz w:val="20"/>
          <w:szCs w:val="20"/>
        </w:rPr>
        <w:t>co e a retomada do crescimento</w:t>
      </w:r>
      <w:r w:rsidRPr="00285F48">
        <w:rPr>
          <w:rFonts w:ascii="Times New Roman" w:hAnsi="Times New Roman"/>
          <w:sz w:val="20"/>
          <w:szCs w:val="20"/>
        </w:rPr>
        <w:t>.</w:t>
      </w:r>
      <w:r>
        <w:rPr>
          <w:rStyle w:val="Refdenotaderodap"/>
          <w:rFonts w:ascii="Times New Roman" w:hAnsi="Times New Roman"/>
          <w:sz w:val="20"/>
          <w:szCs w:val="20"/>
        </w:rPr>
        <w:footnoteReference w:id="439"/>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Em 2005, após a não renovação de empréstimos junto ao FMI, a proposta extravasou o restrito círculo palaciano e da direção petista e ganhou eco em vários setores da sociedade. Palocci rechaçava que o ajuste fiscal empreendido havia sido orquestrado pelo FMI, sendo obrigado a repetir “reiteradas vezes”, dizia o ministro, “que não haveria mudança alguma na política econômica porque as medidas adotadas até ali haviam sido de iniciativa do próprio governo”.</w:t>
      </w:r>
      <w:r>
        <w:rPr>
          <w:rStyle w:val="Refdenotaderodap"/>
          <w:rFonts w:ascii="Times New Roman" w:hAnsi="Times New Roman"/>
          <w:sz w:val="24"/>
          <w:szCs w:val="24"/>
        </w:rPr>
        <w:footnoteReference w:id="440"/>
      </w:r>
    </w:p>
    <w:p w:rsidR="00303FA9" w:rsidRDefault="00303FA9" w:rsidP="00303FA9">
      <w:pPr>
        <w:spacing w:line="360" w:lineRule="auto"/>
        <w:ind w:firstLine="708"/>
        <w:jc w:val="both"/>
        <w:rPr>
          <w:rFonts w:ascii="Times New Roman" w:hAnsi="Times New Roman"/>
          <w:sz w:val="24"/>
          <w:szCs w:val="24"/>
        </w:rPr>
      </w:pPr>
      <w:r>
        <w:rPr>
          <w:rFonts w:ascii="Times New Roman" w:hAnsi="Times New Roman"/>
          <w:sz w:val="24"/>
          <w:szCs w:val="24"/>
        </w:rPr>
        <w:t xml:space="preserve">O programa de “compromisso fiscal de longo prazo” ganhava adeptos de peso instalados em postos-chaves de tradicionais entidades empresariais, órgãos estatais, no parlamento e também no meio acadêmico. Figuras empresariais de proa com assento no CDES também se mostravam afinadas com a proposta, ao menos foi o que afirmou Antonio Palocci:  </w:t>
      </w:r>
    </w:p>
    <w:p w:rsidR="00303FA9" w:rsidRPr="00AF55B8" w:rsidRDefault="00303FA9" w:rsidP="00303FA9">
      <w:pPr>
        <w:spacing w:line="240" w:lineRule="auto"/>
        <w:ind w:left="2268"/>
        <w:jc w:val="both"/>
        <w:rPr>
          <w:rFonts w:ascii="Times New Roman" w:hAnsi="Times New Roman"/>
          <w:sz w:val="20"/>
          <w:szCs w:val="20"/>
        </w:rPr>
      </w:pPr>
      <w:r w:rsidRPr="00AF55B8">
        <w:rPr>
          <w:rFonts w:ascii="Times New Roman" w:hAnsi="Times New Roman"/>
          <w:sz w:val="20"/>
          <w:szCs w:val="20"/>
        </w:rPr>
        <w:t xml:space="preserve">As conversas prosseguiram com </w:t>
      </w:r>
      <w:r w:rsidRPr="00AF55B8">
        <w:rPr>
          <w:rFonts w:ascii="Times New Roman" w:hAnsi="Times New Roman"/>
          <w:b/>
          <w:sz w:val="20"/>
          <w:szCs w:val="20"/>
        </w:rPr>
        <w:t>Delfim Netto</w:t>
      </w:r>
      <w:r w:rsidRPr="003A56F3">
        <w:rPr>
          <w:rStyle w:val="Refdenotaderodap"/>
          <w:rFonts w:ascii="Times New Roman" w:hAnsi="Times New Roman"/>
          <w:sz w:val="20"/>
          <w:szCs w:val="20"/>
        </w:rPr>
        <w:footnoteReference w:id="441"/>
      </w:r>
      <w:r w:rsidRPr="00AF55B8">
        <w:rPr>
          <w:rFonts w:ascii="Times New Roman" w:hAnsi="Times New Roman"/>
          <w:sz w:val="20"/>
          <w:szCs w:val="20"/>
        </w:rPr>
        <w:t xml:space="preserve"> e outras lideranças no parlamento. Os jornais traziam opiniões de peso a favor da medida: nomes como </w:t>
      </w:r>
      <w:r w:rsidRPr="00AF55B8">
        <w:rPr>
          <w:rFonts w:ascii="Times New Roman" w:hAnsi="Times New Roman"/>
          <w:b/>
          <w:sz w:val="20"/>
          <w:szCs w:val="20"/>
        </w:rPr>
        <w:t>Jorge Gerdau (Gerdau), Abílio Diniz (Pão de Açúcar), Eduardo Eugênio Gouvêa Vieira (Firjan), Paulo Skaf (</w:t>
      </w:r>
      <w:r w:rsidR="000834BC">
        <w:rPr>
          <w:rFonts w:ascii="Times New Roman" w:hAnsi="Times New Roman"/>
          <w:b/>
          <w:sz w:val="20"/>
          <w:szCs w:val="20"/>
        </w:rPr>
        <w:t>FIESP</w:t>
      </w:r>
      <w:r w:rsidRPr="00AF55B8">
        <w:rPr>
          <w:rFonts w:ascii="Times New Roman" w:hAnsi="Times New Roman"/>
          <w:b/>
          <w:sz w:val="20"/>
          <w:szCs w:val="20"/>
        </w:rPr>
        <w:t xml:space="preserve">), </w:t>
      </w:r>
      <w:r w:rsidRPr="007B194A">
        <w:rPr>
          <w:rFonts w:ascii="Times New Roman" w:hAnsi="Times New Roman"/>
          <w:sz w:val="20"/>
          <w:szCs w:val="20"/>
        </w:rPr>
        <w:t>Emílio Odebrecht (Odebrecht),</w:t>
      </w:r>
      <w:r w:rsidRPr="00AF55B8">
        <w:rPr>
          <w:rFonts w:ascii="Times New Roman" w:hAnsi="Times New Roman"/>
          <w:b/>
          <w:sz w:val="20"/>
          <w:szCs w:val="20"/>
        </w:rPr>
        <w:t xml:space="preserve"> Márcio Cypriano (Bradesco),</w:t>
      </w:r>
      <w:r w:rsidRPr="00AF55B8">
        <w:rPr>
          <w:rFonts w:ascii="Times New Roman" w:hAnsi="Times New Roman"/>
          <w:sz w:val="20"/>
          <w:szCs w:val="20"/>
        </w:rPr>
        <w:t xml:space="preserve"> João Roberto Marinho (Organizações Globo), Vitório de Marchi (Ambev), entre outros, se associaram à tese. </w:t>
      </w:r>
      <w:r w:rsidRPr="008737F6">
        <w:rPr>
          <w:rFonts w:ascii="Times New Roman" w:hAnsi="Times New Roman"/>
          <w:b/>
          <w:sz w:val="20"/>
          <w:szCs w:val="20"/>
        </w:rPr>
        <w:t>Jorge Gerdau era o mais entusiasmado com a proposta</w:t>
      </w:r>
      <w:r w:rsidRPr="00AF55B8">
        <w:rPr>
          <w:rFonts w:ascii="Times New Roman" w:hAnsi="Times New Roman"/>
          <w:sz w:val="20"/>
          <w:szCs w:val="20"/>
        </w:rPr>
        <w:t>.</w:t>
      </w:r>
      <w:r>
        <w:rPr>
          <w:rStyle w:val="Refdenotaderodap"/>
          <w:rFonts w:ascii="Times New Roman" w:hAnsi="Times New Roman"/>
          <w:sz w:val="20"/>
          <w:szCs w:val="20"/>
        </w:rPr>
        <w:footnoteReference w:id="442"/>
      </w:r>
    </w:p>
    <w:p w:rsidR="00444B94" w:rsidRDefault="00303FA9" w:rsidP="00444B94">
      <w:pPr>
        <w:spacing w:after="0" w:line="360" w:lineRule="auto"/>
        <w:ind w:firstLine="708"/>
        <w:jc w:val="both"/>
        <w:rPr>
          <w:rFonts w:ascii="Times New Roman" w:hAnsi="Times New Roman"/>
          <w:sz w:val="24"/>
          <w:szCs w:val="24"/>
        </w:rPr>
      </w:pPr>
      <w:r w:rsidRPr="00E12AFB">
        <w:rPr>
          <w:rFonts w:ascii="Times New Roman" w:hAnsi="Times New Roman"/>
          <w:sz w:val="24"/>
          <w:szCs w:val="24"/>
        </w:rPr>
        <w:t xml:space="preserve">Escrito como </w:t>
      </w:r>
      <w:r>
        <w:rPr>
          <w:rFonts w:ascii="Times New Roman" w:hAnsi="Times New Roman"/>
          <w:sz w:val="24"/>
          <w:szCs w:val="24"/>
        </w:rPr>
        <w:t xml:space="preserve">texto </w:t>
      </w:r>
      <w:r w:rsidRPr="00E12AFB">
        <w:rPr>
          <w:rFonts w:ascii="Times New Roman" w:hAnsi="Times New Roman"/>
          <w:sz w:val="24"/>
          <w:szCs w:val="24"/>
        </w:rPr>
        <w:t>narrativ</w:t>
      </w:r>
      <w:r>
        <w:rPr>
          <w:rFonts w:ascii="Times New Roman" w:hAnsi="Times New Roman"/>
          <w:sz w:val="24"/>
          <w:szCs w:val="24"/>
        </w:rPr>
        <w:t>o</w:t>
      </w:r>
      <w:r w:rsidRPr="00E12AFB">
        <w:rPr>
          <w:rFonts w:ascii="Times New Roman" w:hAnsi="Times New Roman"/>
          <w:sz w:val="24"/>
          <w:szCs w:val="24"/>
        </w:rPr>
        <w:t xml:space="preserve"> das tramas e eventos ocorridos enquanto ministro da Fazenda, as informações trazidas por Palocci em seu livro não são embasadas em fontes documentais comprobatórias. Ultrapassa</w:t>
      </w:r>
      <w:r>
        <w:rPr>
          <w:rFonts w:ascii="Times New Roman" w:hAnsi="Times New Roman"/>
          <w:sz w:val="24"/>
          <w:szCs w:val="24"/>
        </w:rPr>
        <w:t xml:space="preserve"> os limites de</w:t>
      </w:r>
      <w:r w:rsidRPr="00E12AFB">
        <w:rPr>
          <w:rFonts w:ascii="Times New Roman" w:hAnsi="Times New Roman"/>
          <w:sz w:val="24"/>
          <w:szCs w:val="24"/>
        </w:rPr>
        <w:t xml:space="preserve"> nossa pesquisa averiguar </w:t>
      </w:r>
      <w:r>
        <w:rPr>
          <w:rFonts w:ascii="Times New Roman" w:hAnsi="Times New Roman"/>
          <w:sz w:val="24"/>
          <w:szCs w:val="24"/>
        </w:rPr>
        <w:t xml:space="preserve">com profundidade </w:t>
      </w:r>
      <w:r w:rsidRPr="00E12AFB">
        <w:rPr>
          <w:rFonts w:ascii="Times New Roman" w:hAnsi="Times New Roman"/>
          <w:sz w:val="24"/>
          <w:szCs w:val="24"/>
        </w:rPr>
        <w:t xml:space="preserve">as posições e declarações assumidas pelos conselheiros não </w:t>
      </w:r>
      <w:r>
        <w:rPr>
          <w:rFonts w:ascii="Times New Roman" w:hAnsi="Times New Roman"/>
          <w:sz w:val="24"/>
          <w:szCs w:val="24"/>
        </w:rPr>
        <w:t>fossem</w:t>
      </w:r>
      <w:r w:rsidRPr="00E12AFB">
        <w:rPr>
          <w:rFonts w:ascii="Times New Roman" w:hAnsi="Times New Roman"/>
          <w:sz w:val="24"/>
          <w:szCs w:val="24"/>
        </w:rPr>
        <w:t xml:space="preserve"> as proferidas no âmbito do próprio Conselho. </w:t>
      </w:r>
      <w:r w:rsidR="00444B94">
        <w:rPr>
          <w:rFonts w:ascii="Times New Roman" w:hAnsi="Times New Roman"/>
          <w:sz w:val="24"/>
          <w:szCs w:val="24"/>
        </w:rPr>
        <w:t xml:space="preserve">É possível que </w:t>
      </w:r>
      <w:r w:rsidR="000B69F4">
        <w:rPr>
          <w:rFonts w:ascii="Times New Roman" w:hAnsi="Times New Roman"/>
          <w:sz w:val="24"/>
          <w:szCs w:val="24"/>
        </w:rPr>
        <w:t xml:space="preserve">conselheiros-empresários </w:t>
      </w:r>
      <w:r w:rsidRPr="00E12AFB">
        <w:rPr>
          <w:rFonts w:ascii="Times New Roman" w:hAnsi="Times New Roman"/>
          <w:sz w:val="24"/>
          <w:szCs w:val="24"/>
        </w:rPr>
        <w:t>como Paulo Skaf, Abílio Diniz e Jorge Gerdau assumi</w:t>
      </w:r>
      <w:r w:rsidR="00444B94">
        <w:rPr>
          <w:rFonts w:ascii="Times New Roman" w:hAnsi="Times New Roman"/>
          <w:sz w:val="24"/>
          <w:szCs w:val="24"/>
        </w:rPr>
        <w:t>sse</w:t>
      </w:r>
      <w:r w:rsidRPr="00E12AFB">
        <w:rPr>
          <w:rFonts w:ascii="Times New Roman" w:hAnsi="Times New Roman"/>
          <w:sz w:val="24"/>
          <w:szCs w:val="24"/>
        </w:rPr>
        <w:t xml:space="preserve">m posicionamentos críticos quanto ao não relaxamento da política econômica (principalmente no </w:t>
      </w:r>
      <w:r>
        <w:rPr>
          <w:rFonts w:ascii="Times New Roman" w:hAnsi="Times New Roman"/>
          <w:sz w:val="24"/>
          <w:szCs w:val="24"/>
        </w:rPr>
        <w:t>que tange às altas taxas de juro</w:t>
      </w:r>
      <w:r w:rsidRPr="00E12AFB">
        <w:rPr>
          <w:rFonts w:ascii="Times New Roman" w:hAnsi="Times New Roman"/>
          <w:sz w:val="24"/>
          <w:szCs w:val="24"/>
        </w:rPr>
        <w:t>s) dentro do Conselho e, fora dele, adot</w:t>
      </w:r>
      <w:r w:rsidR="00444B94">
        <w:rPr>
          <w:rFonts w:ascii="Times New Roman" w:hAnsi="Times New Roman"/>
          <w:sz w:val="24"/>
          <w:szCs w:val="24"/>
        </w:rPr>
        <w:t>asse</w:t>
      </w:r>
      <w:r>
        <w:rPr>
          <w:rFonts w:ascii="Times New Roman" w:hAnsi="Times New Roman"/>
          <w:sz w:val="24"/>
          <w:szCs w:val="24"/>
        </w:rPr>
        <w:t>m uma postura de aprovação da</w:t>
      </w:r>
      <w:r w:rsidRPr="00E12AFB">
        <w:rPr>
          <w:rFonts w:ascii="Times New Roman" w:hAnsi="Times New Roman"/>
          <w:sz w:val="24"/>
          <w:szCs w:val="24"/>
        </w:rPr>
        <w:t xml:space="preserve"> continuidade do enrijecimento da política econômica numa perspectiva de longo prazo, nos moldes </w:t>
      </w:r>
      <w:r>
        <w:rPr>
          <w:rFonts w:ascii="Times New Roman" w:hAnsi="Times New Roman"/>
          <w:sz w:val="24"/>
          <w:szCs w:val="24"/>
        </w:rPr>
        <w:t>anunciados e defendidos</w:t>
      </w:r>
      <w:r w:rsidRPr="00E12AFB">
        <w:rPr>
          <w:rFonts w:ascii="Times New Roman" w:hAnsi="Times New Roman"/>
          <w:sz w:val="24"/>
          <w:szCs w:val="24"/>
        </w:rPr>
        <w:t xml:space="preserve"> por Palocci</w:t>
      </w:r>
      <w:r>
        <w:rPr>
          <w:rFonts w:ascii="Times New Roman" w:hAnsi="Times New Roman"/>
          <w:sz w:val="24"/>
          <w:szCs w:val="24"/>
        </w:rPr>
        <w:t xml:space="preserve"> e sua equipe</w:t>
      </w:r>
      <w:r w:rsidRPr="00E12AFB">
        <w:rPr>
          <w:rFonts w:ascii="Times New Roman" w:hAnsi="Times New Roman"/>
          <w:sz w:val="24"/>
          <w:szCs w:val="24"/>
        </w:rPr>
        <w:t>.</w:t>
      </w:r>
      <w:r w:rsidR="00444B94">
        <w:rPr>
          <w:rFonts w:ascii="Times New Roman" w:hAnsi="Times New Roman"/>
          <w:sz w:val="24"/>
          <w:szCs w:val="24"/>
        </w:rPr>
        <w:t>Como já mostramos, as divergências entre eles eram de ritmo e não de fundamento.</w:t>
      </w:r>
    </w:p>
    <w:p w:rsidR="00303FA9" w:rsidRPr="00C33FA2" w:rsidRDefault="00444B94" w:rsidP="00303FA9">
      <w:pPr>
        <w:spacing w:line="360" w:lineRule="auto"/>
        <w:ind w:firstLine="708"/>
        <w:jc w:val="both"/>
        <w:rPr>
          <w:rFonts w:ascii="Times New Roman" w:hAnsi="Times New Roman"/>
          <w:sz w:val="24"/>
          <w:szCs w:val="24"/>
        </w:rPr>
      </w:pPr>
      <w:r>
        <w:rPr>
          <w:rFonts w:ascii="Times New Roman" w:hAnsi="Times New Roman"/>
          <w:sz w:val="24"/>
          <w:szCs w:val="24"/>
        </w:rPr>
        <w:t>Enquanto</w:t>
      </w:r>
      <w:r w:rsidR="00303FA9">
        <w:rPr>
          <w:rFonts w:ascii="Times New Roman" w:hAnsi="Times New Roman"/>
          <w:sz w:val="24"/>
          <w:szCs w:val="24"/>
        </w:rPr>
        <w:t xml:space="preserve"> lideranças empresariais, expressavam no CDES justamente o que as entidades patronais da sociedade civil publicizavam. Prova disso foi o documento produzido pela </w:t>
      </w:r>
      <w:r w:rsidR="000834BC">
        <w:rPr>
          <w:rFonts w:ascii="Times New Roman" w:hAnsi="Times New Roman"/>
          <w:sz w:val="24"/>
          <w:szCs w:val="24"/>
        </w:rPr>
        <w:t>FIESP</w:t>
      </w:r>
      <w:r w:rsidR="00303FA9">
        <w:rPr>
          <w:rFonts w:ascii="Times New Roman" w:hAnsi="Times New Roman"/>
          <w:sz w:val="24"/>
          <w:szCs w:val="24"/>
        </w:rPr>
        <w:t xml:space="preserve"> e pelo IEDI intitulado “Manifesto pelo desenvolvimento do Brasil”, apresentado pelo conselheiro Paulo Skaf por ocasião da 15ª Reunião Plenária, em dezembro de 2005, </w:t>
      </w:r>
      <w:r w:rsidR="00DD696F" w:rsidRPr="00C33FA2">
        <w:rPr>
          <w:rFonts w:ascii="Times New Roman" w:hAnsi="Times New Roman"/>
          <w:sz w:val="24"/>
          <w:szCs w:val="24"/>
        </w:rPr>
        <w:t xml:space="preserve">ocasião em que as feridas robustecidas por ocasião da crise do mensalão </w:t>
      </w:r>
      <w:r w:rsidR="00152CF8" w:rsidRPr="00C33FA2">
        <w:rPr>
          <w:rFonts w:ascii="Times New Roman" w:hAnsi="Times New Roman"/>
          <w:sz w:val="24"/>
          <w:szCs w:val="24"/>
        </w:rPr>
        <w:t>conta</w:t>
      </w:r>
      <w:r w:rsidR="00C94153" w:rsidRPr="00C33FA2">
        <w:rPr>
          <w:rFonts w:ascii="Times New Roman" w:hAnsi="Times New Roman"/>
          <w:sz w:val="24"/>
          <w:szCs w:val="24"/>
        </w:rPr>
        <w:t>giavam</w:t>
      </w:r>
      <w:r w:rsidR="00DD696F" w:rsidRPr="00C33FA2">
        <w:rPr>
          <w:rFonts w:ascii="Times New Roman" w:hAnsi="Times New Roman"/>
          <w:sz w:val="24"/>
          <w:szCs w:val="24"/>
        </w:rPr>
        <w:t xml:space="preserve"> o núcleo gestor da política econômica: </w:t>
      </w:r>
    </w:p>
    <w:p w:rsidR="00303FA9" w:rsidRPr="00E4777F" w:rsidRDefault="00303FA9" w:rsidP="00303FA9">
      <w:pPr>
        <w:autoSpaceDE w:val="0"/>
        <w:autoSpaceDN w:val="0"/>
        <w:adjustRightInd w:val="0"/>
        <w:spacing w:after="0" w:line="240" w:lineRule="auto"/>
        <w:ind w:left="2268"/>
        <w:jc w:val="both"/>
        <w:rPr>
          <w:rFonts w:ascii="Times New Roman" w:hAnsi="Times New Roman"/>
          <w:sz w:val="20"/>
          <w:szCs w:val="20"/>
        </w:rPr>
      </w:pPr>
      <w:r w:rsidRPr="00E4777F">
        <w:rPr>
          <w:rFonts w:ascii="Times New Roman" w:hAnsi="Times New Roman"/>
          <w:sz w:val="20"/>
          <w:szCs w:val="20"/>
        </w:rPr>
        <w:t>Falta clareza a nossos governos quanto às condições necessárias para realizar um projeto de desenvolvimento. Por isto, a gestão da economia tem privilegiado a estabilidade da moeda – o que também queremos – em detrimento da produção e do emprego – que lamentamos. É falso o dilema entre estabilização e crescimento econômico, mas a verdade é que os instrumentos para a promoção do crescimento transformam-se, freq</w:t>
      </w:r>
      <w:r w:rsidR="005913F9">
        <w:rPr>
          <w:rFonts w:ascii="Times New Roman" w:hAnsi="Times New Roman"/>
          <w:sz w:val="20"/>
          <w:szCs w:val="20"/>
        </w:rPr>
        <w:t>u</w:t>
      </w:r>
      <w:r w:rsidRPr="00E4777F">
        <w:rPr>
          <w:rFonts w:ascii="Times New Roman" w:hAnsi="Times New Roman"/>
          <w:sz w:val="20"/>
          <w:szCs w:val="20"/>
        </w:rPr>
        <w:t>entemente, em um mero subproduto das políticas de estabilização.</w:t>
      </w:r>
    </w:p>
    <w:p w:rsidR="00303FA9" w:rsidRPr="00E4777F" w:rsidRDefault="00303FA9" w:rsidP="00303FA9">
      <w:pPr>
        <w:autoSpaceDE w:val="0"/>
        <w:autoSpaceDN w:val="0"/>
        <w:adjustRightInd w:val="0"/>
        <w:spacing w:after="0" w:line="240" w:lineRule="auto"/>
        <w:ind w:left="2268"/>
        <w:jc w:val="both"/>
        <w:rPr>
          <w:rFonts w:ascii="Times New Roman" w:hAnsi="Times New Roman"/>
          <w:sz w:val="20"/>
          <w:szCs w:val="20"/>
        </w:rPr>
      </w:pPr>
      <w:r w:rsidRPr="00E4777F">
        <w:rPr>
          <w:rFonts w:ascii="Times New Roman" w:hAnsi="Times New Roman"/>
          <w:sz w:val="20"/>
          <w:szCs w:val="20"/>
        </w:rPr>
        <w:t xml:space="preserve">O seminário </w:t>
      </w:r>
      <w:r w:rsidR="00095250">
        <w:rPr>
          <w:rFonts w:ascii="Times New Roman" w:hAnsi="Times New Roman"/>
          <w:sz w:val="20"/>
          <w:szCs w:val="20"/>
        </w:rPr>
        <w:t>“</w:t>
      </w:r>
      <w:r w:rsidRPr="00E4777F">
        <w:rPr>
          <w:rFonts w:ascii="Times New Roman" w:hAnsi="Times New Roman"/>
          <w:sz w:val="20"/>
          <w:szCs w:val="20"/>
        </w:rPr>
        <w:t>Industrialização,Desindustrialização e Desenvolvimento</w:t>
      </w:r>
      <w:r w:rsidR="00095250">
        <w:rPr>
          <w:rFonts w:ascii="Times New Roman" w:hAnsi="Times New Roman"/>
          <w:sz w:val="20"/>
          <w:szCs w:val="20"/>
        </w:rPr>
        <w:t>”</w:t>
      </w:r>
      <w:r w:rsidRPr="00E4777F">
        <w:rPr>
          <w:rFonts w:ascii="Times New Roman" w:hAnsi="Times New Roman"/>
          <w:sz w:val="20"/>
          <w:szCs w:val="20"/>
        </w:rPr>
        <w:t>pretendeu mostrar que desindustrialização, entendida como a perda relativa do vigor do setor produtivo, já ocorre em nosso país. É crucial reverter este processo, promover uma imediata retomada do dinamismo da indústria e, junto com ela, a marcha acelerada para o crescimento.</w:t>
      </w:r>
    </w:p>
    <w:p w:rsidR="00303FA9" w:rsidRDefault="00303FA9" w:rsidP="00303FA9">
      <w:pPr>
        <w:autoSpaceDE w:val="0"/>
        <w:autoSpaceDN w:val="0"/>
        <w:adjustRightInd w:val="0"/>
        <w:spacing w:after="0" w:line="240" w:lineRule="auto"/>
        <w:ind w:left="2268"/>
        <w:jc w:val="both"/>
        <w:rPr>
          <w:rFonts w:ascii="Times New Roman" w:hAnsi="Times New Roman"/>
          <w:sz w:val="20"/>
          <w:szCs w:val="20"/>
        </w:rPr>
      </w:pPr>
      <w:r w:rsidRPr="00E4777F">
        <w:rPr>
          <w:rFonts w:ascii="Times New Roman" w:hAnsi="Times New Roman"/>
          <w:sz w:val="20"/>
          <w:szCs w:val="20"/>
        </w:rPr>
        <w:t>A indústria necessita, assim como os demais setores produtivos, de um ambiente adequado para seu crescimento.No Brasil os juros altos, a carga tributária excessiva, o câmbio valorizado e volátil, a carência de investimentos e de infra-estrutura configuram um quadro macroeconômico absolutamente hostil e na contramão das experiências bem sucedidas de desenvolvimento. Imaginar uma economia capaz de sobreviver e crescer sob tais condições é não só apostar no improvável,como olhar com indiferença para as perspectivas de desenvolvimento futuro.</w:t>
      </w:r>
      <w:r>
        <w:rPr>
          <w:rStyle w:val="Refdenotaderodap"/>
          <w:rFonts w:ascii="Times New Roman" w:hAnsi="Times New Roman"/>
          <w:sz w:val="20"/>
          <w:szCs w:val="20"/>
        </w:rPr>
        <w:footnoteReference w:id="443"/>
      </w:r>
    </w:p>
    <w:p w:rsidR="00303FA9" w:rsidRPr="00E4777F" w:rsidRDefault="00303FA9" w:rsidP="00303FA9">
      <w:pPr>
        <w:autoSpaceDE w:val="0"/>
        <w:autoSpaceDN w:val="0"/>
        <w:adjustRightInd w:val="0"/>
        <w:spacing w:after="0" w:line="240" w:lineRule="auto"/>
        <w:rPr>
          <w:rFonts w:ascii="Times New Roman" w:hAnsi="Times New Roman"/>
          <w:sz w:val="20"/>
          <w:szCs w:val="20"/>
        </w:rPr>
      </w:pPr>
    </w:p>
    <w:p w:rsidR="008B7A37" w:rsidRPr="00C33FA2" w:rsidRDefault="000C7233" w:rsidP="00303FA9">
      <w:pPr>
        <w:spacing w:after="0" w:line="360" w:lineRule="auto"/>
        <w:ind w:firstLine="708"/>
        <w:jc w:val="both"/>
        <w:rPr>
          <w:rFonts w:ascii="Times New Roman" w:hAnsi="Times New Roman"/>
          <w:sz w:val="24"/>
          <w:szCs w:val="24"/>
        </w:rPr>
      </w:pPr>
      <w:r w:rsidRPr="00C33FA2">
        <w:rPr>
          <w:rFonts w:ascii="Times New Roman" w:hAnsi="Times New Roman"/>
          <w:sz w:val="24"/>
          <w:szCs w:val="24"/>
        </w:rPr>
        <w:t>As concessões laterais exigidas pelos conselheiros à equipe econômica não foram atendidas. Não havia divergências de fundo, mas o empresariado exigia que a estabilidade viesse acompanhada de crescimento econômico no curto prazo</w:t>
      </w:r>
      <w:r w:rsidR="00257FD9" w:rsidRPr="00C33FA2">
        <w:rPr>
          <w:rFonts w:ascii="Times New Roman" w:hAnsi="Times New Roman"/>
          <w:sz w:val="24"/>
          <w:szCs w:val="24"/>
        </w:rPr>
        <w:t xml:space="preserve"> e </w:t>
      </w:r>
      <w:r w:rsidR="000B184F" w:rsidRPr="00C33FA2">
        <w:rPr>
          <w:rFonts w:ascii="Times New Roman" w:hAnsi="Times New Roman"/>
          <w:sz w:val="24"/>
          <w:szCs w:val="24"/>
        </w:rPr>
        <w:t>eles</w:t>
      </w:r>
      <w:r w:rsidR="00E75BBA" w:rsidRPr="00C33FA2">
        <w:rPr>
          <w:rFonts w:ascii="Times New Roman" w:hAnsi="Times New Roman"/>
          <w:sz w:val="24"/>
          <w:szCs w:val="24"/>
        </w:rPr>
        <w:t>indicavam</w:t>
      </w:r>
      <w:r w:rsidR="00CE3614" w:rsidRPr="00C33FA2">
        <w:rPr>
          <w:rFonts w:ascii="Times New Roman" w:hAnsi="Times New Roman"/>
          <w:sz w:val="24"/>
          <w:szCs w:val="24"/>
        </w:rPr>
        <w:t>, inclusive,</w:t>
      </w:r>
      <w:r w:rsidR="00257FD9" w:rsidRPr="00C33FA2">
        <w:rPr>
          <w:rFonts w:ascii="Times New Roman" w:hAnsi="Times New Roman"/>
          <w:sz w:val="24"/>
          <w:szCs w:val="24"/>
        </w:rPr>
        <w:t xml:space="preserve"> desindustrialização</w:t>
      </w:r>
      <w:r w:rsidRPr="00C33FA2">
        <w:rPr>
          <w:rFonts w:ascii="Times New Roman" w:hAnsi="Times New Roman"/>
          <w:sz w:val="24"/>
          <w:szCs w:val="24"/>
        </w:rPr>
        <w:t xml:space="preserve">. O programa de austeridade não dava mostras de alterações na descompressão dos principais mecanismos de estabilização monetária e, </w:t>
      </w:r>
      <w:r w:rsidR="00257FD9" w:rsidRPr="00C33FA2">
        <w:rPr>
          <w:rFonts w:ascii="Times New Roman" w:hAnsi="Times New Roman"/>
          <w:sz w:val="24"/>
          <w:szCs w:val="24"/>
        </w:rPr>
        <w:t>servindo de estopim</w:t>
      </w:r>
      <w:r w:rsidRPr="00C33FA2">
        <w:rPr>
          <w:rFonts w:ascii="Times New Roman" w:hAnsi="Times New Roman"/>
          <w:sz w:val="24"/>
          <w:szCs w:val="24"/>
        </w:rPr>
        <w:t xml:space="preserve">, </w:t>
      </w:r>
      <w:r w:rsidR="000B184F" w:rsidRPr="00C33FA2">
        <w:rPr>
          <w:rFonts w:ascii="Times New Roman" w:hAnsi="Times New Roman"/>
          <w:sz w:val="24"/>
          <w:szCs w:val="24"/>
        </w:rPr>
        <w:t xml:space="preserve">nos primeiros meses de 2006, </w:t>
      </w:r>
      <w:r w:rsidRPr="00C33FA2">
        <w:rPr>
          <w:rFonts w:ascii="Times New Roman" w:hAnsi="Times New Roman"/>
          <w:sz w:val="24"/>
          <w:szCs w:val="24"/>
        </w:rPr>
        <w:t xml:space="preserve">Palocci começou a ser alvejado </w:t>
      </w:r>
      <w:r w:rsidR="005305C4" w:rsidRPr="00C33FA2">
        <w:rPr>
          <w:rFonts w:ascii="Times New Roman" w:hAnsi="Times New Roman"/>
          <w:sz w:val="24"/>
          <w:szCs w:val="24"/>
        </w:rPr>
        <w:t xml:space="preserve">pelo imbróglio que envolveu a CPI dos </w:t>
      </w:r>
      <w:r w:rsidR="000B184F" w:rsidRPr="00C33FA2">
        <w:rPr>
          <w:rFonts w:ascii="Times New Roman" w:hAnsi="Times New Roman"/>
          <w:sz w:val="24"/>
          <w:szCs w:val="24"/>
        </w:rPr>
        <w:t>B</w:t>
      </w:r>
      <w:r w:rsidR="005305C4" w:rsidRPr="00C33FA2">
        <w:rPr>
          <w:rFonts w:ascii="Times New Roman" w:hAnsi="Times New Roman"/>
          <w:sz w:val="24"/>
          <w:szCs w:val="24"/>
        </w:rPr>
        <w:t>ingos e</w:t>
      </w:r>
      <w:r w:rsidR="00E75BBA" w:rsidRPr="00C33FA2">
        <w:rPr>
          <w:rFonts w:ascii="Times New Roman" w:hAnsi="Times New Roman"/>
          <w:sz w:val="24"/>
          <w:szCs w:val="24"/>
        </w:rPr>
        <w:t>,</w:t>
      </w:r>
      <w:r w:rsidR="005305C4" w:rsidRPr="00C33FA2">
        <w:rPr>
          <w:rFonts w:ascii="Times New Roman" w:hAnsi="Times New Roman"/>
          <w:sz w:val="24"/>
          <w:szCs w:val="24"/>
        </w:rPr>
        <w:t xml:space="preserve"> dentre seus episódios, a acusação de ter sido responsável pelo vazamento das somas banc</w:t>
      </w:r>
      <w:r w:rsidR="000B184F" w:rsidRPr="00C33FA2">
        <w:rPr>
          <w:rFonts w:ascii="Times New Roman" w:hAnsi="Times New Roman"/>
          <w:sz w:val="24"/>
          <w:szCs w:val="24"/>
        </w:rPr>
        <w:t>árias do caseiro Francenildo, depoente importante contra ele na referida CPI</w:t>
      </w:r>
      <w:r w:rsidRPr="00C33FA2">
        <w:rPr>
          <w:rFonts w:ascii="Times New Roman" w:hAnsi="Times New Roman"/>
          <w:sz w:val="24"/>
          <w:szCs w:val="24"/>
        </w:rPr>
        <w:t>.</w:t>
      </w:r>
      <w:r w:rsidR="00257FD9" w:rsidRPr="00C33FA2">
        <w:rPr>
          <w:rFonts w:ascii="Times New Roman" w:hAnsi="Times New Roman"/>
          <w:sz w:val="24"/>
          <w:szCs w:val="24"/>
        </w:rPr>
        <w:t xml:space="preserve"> As insatisfações </w:t>
      </w:r>
      <w:r w:rsidR="001804F0" w:rsidRPr="00C33FA2">
        <w:rPr>
          <w:rFonts w:ascii="Times New Roman" w:hAnsi="Times New Roman"/>
          <w:sz w:val="24"/>
          <w:szCs w:val="24"/>
        </w:rPr>
        <w:t>imiscuiram</w:t>
      </w:r>
      <w:r w:rsidR="00257FD9" w:rsidRPr="00C33FA2">
        <w:rPr>
          <w:rFonts w:ascii="Times New Roman" w:hAnsi="Times New Roman"/>
          <w:sz w:val="24"/>
          <w:szCs w:val="24"/>
        </w:rPr>
        <w:t xml:space="preserve">-se, oportunamente, às queixas de âmbito ético-moral. </w:t>
      </w:r>
    </w:p>
    <w:p w:rsidR="008B7A37" w:rsidRPr="00C33FA2" w:rsidRDefault="00257FD9" w:rsidP="00303FA9">
      <w:pPr>
        <w:spacing w:after="0" w:line="360" w:lineRule="auto"/>
        <w:ind w:firstLine="708"/>
        <w:jc w:val="both"/>
        <w:rPr>
          <w:rFonts w:ascii="Times New Roman" w:hAnsi="Times New Roman"/>
          <w:sz w:val="24"/>
          <w:szCs w:val="24"/>
        </w:rPr>
      </w:pPr>
      <w:r w:rsidRPr="00C33FA2">
        <w:rPr>
          <w:rFonts w:ascii="Times New Roman" w:hAnsi="Times New Roman"/>
          <w:sz w:val="24"/>
          <w:szCs w:val="24"/>
        </w:rPr>
        <w:t xml:space="preserve">Palocci perdera o credenciamento </w:t>
      </w:r>
      <w:r w:rsidR="00F937E8">
        <w:rPr>
          <w:rFonts w:ascii="Times New Roman" w:hAnsi="Times New Roman"/>
          <w:sz w:val="24"/>
          <w:szCs w:val="24"/>
        </w:rPr>
        <w:t>junto a</w:t>
      </w:r>
      <w:r w:rsidR="00223EA0" w:rsidRPr="00C33FA2">
        <w:rPr>
          <w:rFonts w:ascii="Times New Roman" w:hAnsi="Times New Roman"/>
          <w:sz w:val="24"/>
          <w:szCs w:val="24"/>
        </w:rPr>
        <w:t xml:space="preserve"> setores do</w:t>
      </w:r>
      <w:r w:rsidRPr="00C33FA2">
        <w:rPr>
          <w:rFonts w:ascii="Times New Roman" w:hAnsi="Times New Roman"/>
          <w:sz w:val="24"/>
          <w:szCs w:val="24"/>
        </w:rPr>
        <w:t xml:space="preserve"> grande capital monopolista </w:t>
      </w:r>
      <w:r w:rsidR="000314AD" w:rsidRPr="00C33FA2">
        <w:rPr>
          <w:rFonts w:ascii="Times New Roman" w:hAnsi="Times New Roman"/>
          <w:sz w:val="24"/>
          <w:szCs w:val="24"/>
        </w:rPr>
        <w:t>fora do Conselho</w:t>
      </w:r>
      <w:r w:rsidR="00102456" w:rsidRPr="00C33FA2">
        <w:rPr>
          <w:rFonts w:ascii="Times New Roman" w:hAnsi="Times New Roman"/>
          <w:sz w:val="24"/>
          <w:szCs w:val="24"/>
        </w:rPr>
        <w:t xml:space="preserve"> e, dentro dele, </w:t>
      </w:r>
      <w:r w:rsidR="000B184F" w:rsidRPr="00C33FA2">
        <w:rPr>
          <w:rFonts w:ascii="Times New Roman" w:hAnsi="Times New Roman"/>
          <w:sz w:val="24"/>
          <w:szCs w:val="24"/>
        </w:rPr>
        <w:t>um pouco</w:t>
      </w:r>
      <w:r w:rsidR="00102456" w:rsidRPr="00C33FA2">
        <w:rPr>
          <w:rFonts w:ascii="Times New Roman" w:hAnsi="Times New Roman"/>
          <w:sz w:val="24"/>
          <w:szCs w:val="24"/>
        </w:rPr>
        <w:t xml:space="preserve"> antes, se </w:t>
      </w:r>
      <w:r w:rsidR="000B184F" w:rsidRPr="00C33FA2">
        <w:rPr>
          <w:rFonts w:ascii="Times New Roman" w:hAnsi="Times New Roman"/>
          <w:sz w:val="24"/>
          <w:szCs w:val="24"/>
        </w:rPr>
        <w:t>a esses setores (salvo exceções) agregarmos</w:t>
      </w:r>
      <w:r w:rsidR="00102456" w:rsidRPr="00C33FA2">
        <w:rPr>
          <w:rFonts w:ascii="Times New Roman" w:hAnsi="Times New Roman"/>
          <w:sz w:val="24"/>
          <w:szCs w:val="24"/>
        </w:rPr>
        <w:t xml:space="preserve"> os não monopolistas e os subalternos</w:t>
      </w:r>
      <w:r w:rsidR="000314AD" w:rsidRPr="00C33FA2">
        <w:rPr>
          <w:rFonts w:ascii="Times New Roman" w:hAnsi="Times New Roman"/>
          <w:sz w:val="24"/>
          <w:szCs w:val="24"/>
        </w:rPr>
        <w:t>. T</w:t>
      </w:r>
      <w:r w:rsidR="00223EA0" w:rsidRPr="00C33FA2">
        <w:rPr>
          <w:rFonts w:ascii="Times New Roman" w:hAnsi="Times New Roman"/>
          <w:sz w:val="24"/>
          <w:szCs w:val="24"/>
        </w:rPr>
        <w:t>entava</w:t>
      </w:r>
      <w:r w:rsidR="000314AD" w:rsidRPr="00C33FA2">
        <w:rPr>
          <w:rFonts w:ascii="Times New Roman" w:hAnsi="Times New Roman"/>
          <w:sz w:val="24"/>
          <w:szCs w:val="24"/>
        </w:rPr>
        <w:t>m</w:t>
      </w:r>
      <w:r w:rsidR="00223EA0" w:rsidRPr="00C33FA2">
        <w:rPr>
          <w:rFonts w:ascii="Times New Roman" w:hAnsi="Times New Roman"/>
          <w:sz w:val="24"/>
          <w:szCs w:val="24"/>
        </w:rPr>
        <w:t xml:space="preserve"> apresent</w:t>
      </w:r>
      <w:r w:rsidR="000314AD" w:rsidRPr="00C33FA2">
        <w:rPr>
          <w:rFonts w:ascii="Times New Roman" w:hAnsi="Times New Roman"/>
          <w:sz w:val="24"/>
          <w:szCs w:val="24"/>
        </w:rPr>
        <w:t xml:space="preserve">á-lo como </w:t>
      </w:r>
      <w:r w:rsidR="00223EA0" w:rsidRPr="00C33FA2">
        <w:rPr>
          <w:rFonts w:ascii="Times New Roman" w:hAnsi="Times New Roman"/>
          <w:sz w:val="24"/>
          <w:szCs w:val="24"/>
        </w:rPr>
        <w:t xml:space="preserve">expressão de um momento anterior importante para </w:t>
      </w:r>
      <w:r w:rsidR="000314AD" w:rsidRPr="00C33FA2">
        <w:rPr>
          <w:rFonts w:ascii="Times New Roman" w:hAnsi="Times New Roman"/>
          <w:sz w:val="24"/>
          <w:szCs w:val="24"/>
        </w:rPr>
        <w:t>manutenção da estabilidade econômica e da garantia da segurança jurídico-política d</w:t>
      </w:r>
      <w:r w:rsidR="00223EA0" w:rsidRPr="00C33FA2">
        <w:rPr>
          <w:rFonts w:ascii="Times New Roman" w:hAnsi="Times New Roman"/>
          <w:sz w:val="24"/>
          <w:szCs w:val="24"/>
        </w:rPr>
        <w:t xml:space="preserve">o país, </w:t>
      </w:r>
      <w:r w:rsidR="00DD696F" w:rsidRPr="00C33FA2">
        <w:rPr>
          <w:rFonts w:ascii="Times New Roman" w:hAnsi="Times New Roman"/>
          <w:sz w:val="24"/>
          <w:szCs w:val="24"/>
        </w:rPr>
        <w:t xml:space="preserve">apesar dos reclames </w:t>
      </w:r>
      <w:r w:rsidR="00DD696F" w:rsidRPr="00C33FA2">
        <w:rPr>
          <w:rFonts w:ascii="Times New Roman" w:hAnsi="Times New Roman"/>
          <w:i/>
          <w:sz w:val="24"/>
          <w:szCs w:val="24"/>
        </w:rPr>
        <w:t>quanto ao grau</w:t>
      </w:r>
      <w:r w:rsidR="00DD696F" w:rsidRPr="00C33FA2">
        <w:rPr>
          <w:rFonts w:ascii="Times New Roman" w:hAnsi="Times New Roman"/>
          <w:sz w:val="24"/>
          <w:szCs w:val="24"/>
        </w:rPr>
        <w:t xml:space="preserve"> da ortodoxia</w:t>
      </w:r>
      <w:r w:rsidR="009F1827" w:rsidRPr="00C33FA2">
        <w:rPr>
          <w:rFonts w:ascii="Times New Roman" w:hAnsi="Times New Roman"/>
          <w:sz w:val="24"/>
          <w:szCs w:val="24"/>
        </w:rPr>
        <w:t xml:space="preserve"> econômica implantada</w:t>
      </w:r>
      <w:r w:rsidR="00DD696F" w:rsidRPr="00C33FA2">
        <w:rPr>
          <w:rFonts w:ascii="Times New Roman" w:hAnsi="Times New Roman"/>
          <w:sz w:val="24"/>
          <w:szCs w:val="24"/>
        </w:rPr>
        <w:t xml:space="preserve">, </w:t>
      </w:r>
      <w:r w:rsidR="00223EA0" w:rsidRPr="00C33FA2">
        <w:rPr>
          <w:rFonts w:ascii="Times New Roman" w:hAnsi="Times New Roman"/>
          <w:sz w:val="24"/>
          <w:szCs w:val="24"/>
        </w:rPr>
        <w:t xml:space="preserve">mas que já </w:t>
      </w:r>
      <w:r w:rsidRPr="00C33FA2">
        <w:rPr>
          <w:rFonts w:ascii="Times New Roman" w:hAnsi="Times New Roman"/>
          <w:sz w:val="24"/>
          <w:szCs w:val="24"/>
        </w:rPr>
        <w:t xml:space="preserve">não </w:t>
      </w:r>
      <w:r w:rsidR="00223EA0" w:rsidRPr="00C33FA2">
        <w:rPr>
          <w:rFonts w:ascii="Times New Roman" w:hAnsi="Times New Roman"/>
          <w:sz w:val="24"/>
          <w:szCs w:val="24"/>
        </w:rPr>
        <w:t>mais respondia aos anseios dos setores monopolistas de ampliação das taxas de lucro, principalmente do capital produtor de valor.</w:t>
      </w:r>
      <w:r w:rsidR="00FE348B" w:rsidRPr="00C33FA2">
        <w:rPr>
          <w:rStyle w:val="Refdenotaderodap"/>
          <w:rFonts w:ascii="Times New Roman" w:hAnsi="Times New Roman"/>
          <w:sz w:val="24"/>
          <w:szCs w:val="24"/>
        </w:rPr>
        <w:footnoteReference w:id="444"/>
      </w:r>
    </w:p>
    <w:p w:rsidR="00973555" w:rsidRPr="00C33FA2" w:rsidRDefault="00653C75" w:rsidP="00303FA9">
      <w:pPr>
        <w:spacing w:line="360" w:lineRule="auto"/>
        <w:ind w:firstLine="708"/>
        <w:jc w:val="both"/>
        <w:rPr>
          <w:rFonts w:ascii="Times New Roman" w:hAnsi="Times New Roman"/>
          <w:sz w:val="24"/>
          <w:szCs w:val="24"/>
        </w:rPr>
      </w:pPr>
      <w:r w:rsidRPr="00C33FA2">
        <w:rPr>
          <w:rFonts w:ascii="Times New Roman" w:hAnsi="Times New Roman"/>
          <w:sz w:val="24"/>
          <w:szCs w:val="24"/>
        </w:rPr>
        <w:t>O</w:t>
      </w:r>
      <w:r w:rsidR="00CE3614" w:rsidRPr="00C33FA2">
        <w:rPr>
          <w:rFonts w:ascii="Times New Roman" w:hAnsi="Times New Roman"/>
          <w:sz w:val="24"/>
          <w:szCs w:val="24"/>
        </w:rPr>
        <w:t xml:space="preserve"> momento </w:t>
      </w:r>
      <w:r w:rsidRPr="00C33FA2">
        <w:rPr>
          <w:rFonts w:ascii="Times New Roman" w:hAnsi="Times New Roman"/>
          <w:sz w:val="24"/>
          <w:szCs w:val="24"/>
        </w:rPr>
        <w:t xml:space="preserve">político </w:t>
      </w:r>
      <w:r w:rsidR="00E75BBA" w:rsidRPr="00C33FA2">
        <w:rPr>
          <w:rFonts w:ascii="Times New Roman" w:hAnsi="Times New Roman"/>
          <w:sz w:val="24"/>
          <w:szCs w:val="24"/>
        </w:rPr>
        <w:t>aberto pela</w:t>
      </w:r>
      <w:r w:rsidRPr="00C33FA2">
        <w:rPr>
          <w:rFonts w:ascii="Times New Roman" w:hAnsi="Times New Roman"/>
          <w:sz w:val="24"/>
          <w:szCs w:val="24"/>
        </w:rPr>
        <w:t xml:space="preserve"> crise do mensalão</w:t>
      </w:r>
      <w:r w:rsidR="00E75BBA" w:rsidRPr="00C33FA2">
        <w:rPr>
          <w:rFonts w:ascii="Times New Roman" w:hAnsi="Times New Roman"/>
          <w:sz w:val="24"/>
          <w:szCs w:val="24"/>
        </w:rPr>
        <w:t xml:space="preserve"> e, logo após, pela saída de Palocci,</w:t>
      </w:r>
      <w:r w:rsidR="00CE3614" w:rsidRPr="00C33FA2">
        <w:rPr>
          <w:rFonts w:ascii="Times New Roman" w:hAnsi="Times New Roman"/>
          <w:sz w:val="24"/>
          <w:szCs w:val="24"/>
        </w:rPr>
        <w:t xml:space="preserve">foi oportuno para </w:t>
      </w:r>
      <w:r w:rsidR="00E75BBA" w:rsidRPr="00C33FA2">
        <w:rPr>
          <w:rFonts w:ascii="Times New Roman" w:hAnsi="Times New Roman"/>
          <w:sz w:val="24"/>
          <w:szCs w:val="24"/>
        </w:rPr>
        <w:t>que as demandas do</w:t>
      </w:r>
      <w:r w:rsidRPr="00C33FA2">
        <w:rPr>
          <w:rFonts w:ascii="Times New Roman" w:hAnsi="Times New Roman"/>
          <w:sz w:val="24"/>
          <w:szCs w:val="24"/>
        </w:rPr>
        <w:t xml:space="preserve"> grande</w:t>
      </w:r>
      <w:r w:rsidR="00CE3614" w:rsidRPr="00C33FA2">
        <w:rPr>
          <w:rFonts w:ascii="Times New Roman" w:hAnsi="Times New Roman"/>
          <w:sz w:val="24"/>
          <w:szCs w:val="24"/>
        </w:rPr>
        <w:t xml:space="preserve"> empresariado, </w:t>
      </w:r>
      <w:r w:rsidR="00CE3614" w:rsidRPr="00C33FA2">
        <w:rPr>
          <w:rFonts w:ascii="Times New Roman" w:hAnsi="Times New Roman"/>
          <w:i/>
          <w:sz w:val="24"/>
          <w:szCs w:val="24"/>
        </w:rPr>
        <w:t>dentro do CDES</w:t>
      </w:r>
      <w:r w:rsidR="00CE3614" w:rsidRPr="00C33FA2">
        <w:rPr>
          <w:rFonts w:ascii="Times New Roman" w:hAnsi="Times New Roman"/>
          <w:sz w:val="24"/>
          <w:szCs w:val="24"/>
        </w:rPr>
        <w:t xml:space="preserve">, em aliança com outros setores (sindicais, principalmente) </w:t>
      </w:r>
      <w:r w:rsidR="00973555" w:rsidRPr="00C33FA2">
        <w:rPr>
          <w:rFonts w:ascii="Times New Roman" w:hAnsi="Times New Roman"/>
          <w:sz w:val="24"/>
          <w:szCs w:val="24"/>
        </w:rPr>
        <w:t>alçassem posições prioritárias, pois era</w:t>
      </w:r>
      <w:r w:rsidR="00AA2282" w:rsidRPr="00C33FA2">
        <w:rPr>
          <w:rFonts w:ascii="Times New Roman" w:hAnsi="Times New Roman"/>
          <w:sz w:val="24"/>
          <w:szCs w:val="24"/>
        </w:rPr>
        <w:t xml:space="preserve"> praticamente lugar-comum, naquela</w:t>
      </w:r>
      <w:r w:rsidR="00CA717C">
        <w:rPr>
          <w:rFonts w:ascii="Times New Roman" w:hAnsi="Times New Roman"/>
          <w:sz w:val="24"/>
          <w:szCs w:val="24"/>
        </w:rPr>
        <w:t xml:space="preserve"> conjuntura, que a</w:t>
      </w:r>
      <w:r w:rsidR="00973555" w:rsidRPr="00C33FA2">
        <w:rPr>
          <w:rFonts w:ascii="Times New Roman" w:hAnsi="Times New Roman"/>
          <w:sz w:val="24"/>
          <w:szCs w:val="24"/>
        </w:rPr>
        <w:t xml:space="preserve"> crise se combatia com “desenvolvimento com inclusão social” e, para tanto, dever-se-ia finalmente pôr na pauta governamental as políticas do grande capital monopolista, coligado às aspirações rebaixadas </w:t>
      </w:r>
      <w:r w:rsidR="00AA2282" w:rsidRPr="00C33FA2">
        <w:rPr>
          <w:rFonts w:ascii="Times New Roman" w:hAnsi="Times New Roman"/>
          <w:sz w:val="24"/>
          <w:szCs w:val="24"/>
        </w:rPr>
        <w:t xml:space="preserve">de setores “distributivistas”. Na primeira reunião do CDES após deflagrada a “crise do mensalão”, em 25 de agosto de 2005, não por acaso o Presidente do Sindicato dos Metalúrgicos de Osasco e Região, </w:t>
      </w:r>
      <w:r w:rsidR="008B7A37" w:rsidRPr="00C33FA2">
        <w:rPr>
          <w:rFonts w:ascii="Times New Roman" w:hAnsi="Times New Roman"/>
          <w:sz w:val="24"/>
          <w:szCs w:val="24"/>
        </w:rPr>
        <w:t xml:space="preserve">Jorge Nazareno Rodrigues, </w:t>
      </w:r>
      <w:r w:rsidR="00AA2282" w:rsidRPr="00C33FA2">
        <w:rPr>
          <w:rFonts w:ascii="Times New Roman" w:hAnsi="Times New Roman"/>
          <w:sz w:val="24"/>
          <w:szCs w:val="24"/>
        </w:rPr>
        <w:t>dirigiu-se a Lula da Silva nos seguintes termos:</w:t>
      </w:r>
    </w:p>
    <w:p w:rsidR="00AA2282" w:rsidRPr="00C33FA2" w:rsidRDefault="00AA2282" w:rsidP="00AA2282">
      <w:pPr>
        <w:spacing w:after="0" w:line="240" w:lineRule="auto"/>
        <w:ind w:left="2268"/>
        <w:jc w:val="both"/>
        <w:rPr>
          <w:rFonts w:ascii="Times New Roman" w:hAnsi="Times New Roman"/>
          <w:sz w:val="20"/>
          <w:szCs w:val="20"/>
        </w:rPr>
      </w:pPr>
      <w:r w:rsidRPr="00C33FA2">
        <w:rPr>
          <w:rFonts w:ascii="Times New Roman" w:hAnsi="Times New Roman"/>
          <w:sz w:val="20"/>
          <w:szCs w:val="20"/>
        </w:rPr>
        <w:t>Da mesma maneira que o senhor conversou com os representantes empresariais, sugiro que convoque, Presidente, as centrais sindicais, os movimentos sociais e populares, juntos ou separados, para reuniões de trabalho onde deverão ser consensuados pontos para uma agenda mínima. Possivelmente, muitos dos pontos acordados estarão entre aqueles que o senhor apresentou à Nação, na Carta ao Povo Brasileiro. Emprego; investimento em infra-estrutura; universalização do direito a saúde, educação e tecnologia, programas de engenharia e arquitetura pública que garantam a moradia digna, a recuperação do salário mínimo através de uma política de recuperação; redução das taxas de juros; ampliação do Conselho Monetário Nacional, proposta essa debatida e aprovada neste Conselho; e a retomada das reformas que marcaram o início do seu governo, certamente, serão itens constantes desta pauta de trabalho. Convoque aqueles que sonharam e lutaram ao seu lado para construir a estrada do desenvolvimento deste país (</w:t>
      </w:r>
      <w:r w:rsidR="008B7A37" w:rsidRPr="00C33FA2">
        <w:rPr>
          <w:rFonts w:ascii="Times New Roman" w:hAnsi="Times New Roman"/>
          <w:sz w:val="20"/>
          <w:szCs w:val="20"/>
        </w:rPr>
        <w:t xml:space="preserve">Conselheiro Jorge Nazareno Rodrigues, </w:t>
      </w:r>
      <w:r w:rsidRPr="00C33FA2">
        <w:rPr>
          <w:rFonts w:ascii="Times New Roman" w:hAnsi="Times New Roman"/>
          <w:sz w:val="20"/>
          <w:szCs w:val="20"/>
        </w:rPr>
        <w:t>Ata da 13ª Reunião Plenária, 25/08/2005, p. 15).</w:t>
      </w:r>
    </w:p>
    <w:p w:rsidR="00973555" w:rsidRDefault="00973555" w:rsidP="00973555">
      <w:pPr>
        <w:spacing w:after="0" w:line="360" w:lineRule="auto"/>
        <w:jc w:val="both"/>
        <w:rPr>
          <w:rFonts w:ascii="Times New Roman" w:hAnsi="Times New Roman"/>
          <w:color w:val="FF0000"/>
          <w:sz w:val="24"/>
          <w:szCs w:val="24"/>
        </w:rPr>
      </w:pPr>
    </w:p>
    <w:p w:rsidR="00D97A19" w:rsidRPr="00C33FA2" w:rsidRDefault="00D97A19" w:rsidP="008B7A37">
      <w:pPr>
        <w:spacing w:after="0" w:line="360" w:lineRule="auto"/>
        <w:ind w:firstLine="708"/>
        <w:jc w:val="both"/>
        <w:rPr>
          <w:rFonts w:ascii="Times New Roman" w:hAnsi="Times New Roman"/>
          <w:sz w:val="24"/>
          <w:szCs w:val="24"/>
        </w:rPr>
      </w:pPr>
      <w:r w:rsidRPr="00C33FA2">
        <w:rPr>
          <w:rFonts w:ascii="Times New Roman" w:hAnsi="Times New Roman"/>
          <w:sz w:val="24"/>
          <w:szCs w:val="24"/>
        </w:rPr>
        <w:t>O dirigente sindical convergia as agendas empresariais (ampliação do CMN, investimentos em infraestrutura, redução dos juros, programas de engenharia</w:t>
      </w:r>
      <w:r w:rsidR="003703D6" w:rsidRPr="00C33FA2">
        <w:rPr>
          <w:rFonts w:ascii="Times New Roman" w:hAnsi="Times New Roman"/>
          <w:sz w:val="24"/>
          <w:szCs w:val="24"/>
        </w:rPr>
        <w:t xml:space="preserve"> para construção civil</w:t>
      </w:r>
      <w:r w:rsidRPr="00C33FA2">
        <w:rPr>
          <w:rFonts w:ascii="Times New Roman" w:hAnsi="Times New Roman"/>
          <w:sz w:val="24"/>
          <w:szCs w:val="24"/>
        </w:rPr>
        <w:t>, investimento em tecnologia, retomada das contrarreformas) com as dos setores sindicais (política de recuperação do salário m</w:t>
      </w:r>
      <w:r w:rsidR="003703D6" w:rsidRPr="00C33FA2">
        <w:rPr>
          <w:rFonts w:ascii="Times New Roman" w:hAnsi="Times New Roman"/>
          <w:sz w:val="24"/>
          <w:szCs w:val="24"/>
        </w:rPr>
        <w:t>ínimo)</w:t>
      </w:r>
      <w:r w:rsidRPr="00C33FA2">
        <w:rPr>
          <w:rFonts w:ascii="Times New Roman" w:hAnsi="Times New Roman"/>
          <w:sz w:val="24"/>
          <w:szCs w:val="24"/>
        </w:rPr>
        <w:t xml:space="preserve"> e populares (saúde, educação, moradia</w:t>
      </w:r>
      <w:r w:rsidR="003703D6" w:rsidRPr="00C33FA2">
        <w:rPr>
          <w:rFonts w:ascii="Times New Roman" w:hAnsi="Times New Roman"/>
          <w:sz w:val="24"/>
          <w:szCs w:val="24"/>
        </w:rPr>
        <w:t>), todas envelopadas sob o signo da “estrada do desenvolvimento”. A intervenção do conselheiro se aproximava da tradução da condensação do projeto social-liberal em construção</w:t>
      </w:r>
      <w:r w:rsidR="00067C62" w:rsidRPr="00C33FA2">
        <w:rPr>
          <w:rFonts w:ascii="Times New Roman" w:hAnsi="Times New Roman"/>
          <w:sz w:val="24"/>
          <w:szCs w:val="24"/>
        </w:rPr>
        <w:t xml:space="preserve"> no Conselho</w:t>
      </w:r>
      <w:r w:rsidR="003703D6" w:rsidRPr="00C33FA2">
        <w:rPr>
          <w:rFonts w:ascii="Times New Roman" w:hAnsi="Times New Roman"/>
          <w:sz w:val="24"/>
          <w:szCs w:val="24"/>
        </w:rPr>
        <w:t xml:space="preserve">: tratava-se de uma espécie de interseção de aspirações que vinham de vários segmentos sociais, mas que </w:t>
      </w:r>
      <w:r w:rsidR="00BE6C96" w:rsidRPr="00C33FA2">
        <w:rPr>
          <w:rFonts w:ascii="Times New Roman" w:hAnsi="Times New Roman"/>
          <w:sz w:val="24"/>
          <w:szCs w:val="24"/>
        </w:rPr>
        <w:t xml:space="preserve">havia uma predominância direta e indireta das pautas do grande capital produtor de valor. </w:t>
      </w:r>
      <w:r w:rsidR="00067C62" w:rsidRPr="00C33FA2">
        <w:rPr>
          <w:rFonts w:ascii="Times New Roman" w:hAnsi="Times New Roman"/>
          <w:sz w:val="24"/>
          <w:szCs w:val="24"/>
        </w:rPr>
        <w:t>A predominância das pautas desse</w:t>
      </w:r>
      <w:r w:rsidR="00AD4A36" w:rsidRPr="00C33FA2">
        <w:rPr>
          <w:rFonts w:ascii="Times New Roman" w:hAnsi="Times New Roman"/>
          <w:sz w:val="24"/>
          <w:szCs w:val="24"/>
        </w:rPr>
        <w:t>s</w:t>
      </w:r>
      <w:r w:rsidR="00067C62" w:rsidRPr="00C33FA2">
        <w:rPr>
          <w:rFonts w:ascii="Times New Roman" w:hAnsi="Times New Roman"/>
          <w:sz w:val="24"/>
          <w:szCs w:val="24"/>
        </w:rPr>
        <w:t xml:space="preserve"> setores burgueses expressava, na verdade, </w:t>
      </w:r>
      <w:r w:rsidR="00AD4A36" w:rsidRPr="00C33FA2">
        <w:rPr>
          <w:rFonts w:ascii="Times New Roman" w:hAnsi="Times New Roman"/>
          <w:sz w:val="24"/>
          <w:szCs w:val="24"/>
        </w:rPr>
        <w:t>o processo de</w:t>
      </w:r>
      <w:r w:rsidR="00067C62" w:rsidRPr="00C33FA2">
        <w:rPr>
          <w:rFonts w:ascii="Times New Roman" w:hAnsi="Times New Roman"/>
          <w:sz w:val="24"/>
          <w:szCs w:val="24"/>
        </w:rPr>
        <w:t xml:space="preserve"> edificação, ou, para ser mais </w:t>
      </w:r>
      <w:r w:rsidR="000834BC" w:rsidRPr="00C33FA2">
        <w:rPr>
          <w:rFonts w:ascii="Times New Roman" w:hAnsi="Times New Roman"/>
          <w:sz w:val="24"/>
          <w:szCs w:val="24"/>
        </w:rPr>
        <w:t>preciso</w:t>
      </w:r>
      <w:r w:rsidR="00067C62" w:rsidRPr="00C33FA2">
        <w:rPr>
          <w:rFonts w:ascii="Times New Roman" w:hAnsi="Times New Roman"/>
          <w:sz w:val="24"/>
          <w:szCs w:val="24"/>
        </w:rPr>
        <w:t xml:space="preserve">, </w:t>
      </w:r>
      <w:r w:rsidR="00AD4A36" w:rsidRPr="00C33FA2">
        <w:rPr>
          <w:rFonts w:ascii="Times New Roman" w:hAnsi="Times New Roman"/>
          <w:sz w:val="24"/>
          <w:szCs w:val="24"/>
        </w:rPr>
        <w:t>d</w:t>
      </w:r>
      <w:r w:rsidR="00067C62" w:rsidRPr="00C33FA2">
        <w:rPr>
          <w:rFonts w:ascii="Times New Roman" w:hAnsi="Times New Roman"/>
          <w:sz w:val="24"/>
          <w:szCs w:val="24"/>
        </w:rPr>
        <w:t xml:space="preserve">a </w:t>
      </w:r>
      <w:r w:rsidR="00067C62" w:rsidRPr="00C33FA2">
        <w:rPr>
          <w:rFonts w:ascii="Times New Roman" w:hAnsi="Times New Roman"/>
          <w:i/>
          <w:sz w:val="24"/>
          <w:szCs w:val="24"/>
        </w:rPr>
        <w:t xml:space="preserve">montagem </w:t>
      </w:r>
      <w:r w:rsidR="00067C62" w:rsidRPr="00C33FA2">
        <w:rPr>
          <w:rFonts w:ascii="Times New Roman" w:hAnsi="Times New Roman"/>
          <w:sz w:val="24"/>
          <w:szCs w:val="24"/>
        </w:rPr>
        <w:t xml:space="preserve">(no sentido de reunir, arrumar e articular elementos, peças-chaves, isto é, aspirações, interesses, demandas e reivindicações) da direção </w:t>
      </w:r>
      <w:r w:rsidR="00AD4A36" w:rsidRPr="00C33FA2">
        <w:rPr>
          <w:rFonts w:ascii="Times New Roman" w:hAnsi="Times New Roman"/>
          <w:sz w:val="24"/>
          <w:szCs w:val="24"/>
        </w:rPr>
        <w:t>do grande capital produtor de valor sob o conjunto dos demais segmentos subalternos.</w:t>
      </w:r>
    </w:p>
    <w:p w:rsidR="00303FA9" w:rsidRPr="000E7CC0" w:rsidRDefault="00303FA9" w:rsidP="008B7A37">
      <w:pPr>
        <w:spacing w:after="0" w:line="360" w:lineRule="auto"/>
        <w:ind w:firstLine="708"/>
        <w:jc w:val="both"/>
        <w:rPr>
          <w:rFonts w:ascii="Times New Roman" w:hAnsi="Times New Roman"/>
          <w:sz w:val="24"/>
          <w:szCs w:val="24"/>
        </w:rPr>
      </w:pPr>
      <w:r>
        <w:rPr>
          <w:rFonts w:ascii="Times New Roman" w:hAnsi="Times New Roman"/>
          <w:sz w:val="24"/>
          <w:szCs w:val="24"/>
        </w:rPr>
        <w:t xml:space="preserve">A investigação da abordagem sobre o desenvolvimento no CDES, pela via da exposição das controvérsias, isto é, </w:t>
      </w:r>
      <w:r w:rsidR="00CA717C">
        <w:rPr>
          <w:rFonts w:ascii="Times New Roman" w:hAnsi="Times New Roman"/>
          <w:sz w:val="24"/>
          <w:szCs w:val="24"/>
        </w:rPr>
        <w:t>pel</w:t>
      </w:r>
      <w:r>
        <w:rPr>
          <w:rFonts w:ascii="Times New Roman" w:hAnsi="Times New Roman"/>
          <w:sz w:val="24"/>
          <w:szCs w:val="24"/>
        </w:rPr>
        <w:t>o exame do conjunto das manifestações de insatisfações, reclames, apoios e vacilações ajudou a nos aproximar da compreensão do significado do “desenvolvimento” defendido, tomando por base as intervenções individuais expressas nas atas das reuniões plenárias. Por outro lado, se a composição social bastante heterogênea do CDES não nos autoriza assinalarmos uma definição “objetiva” de desenvolvimento, isto não significa que ela inexistisse</w:t>
      </w:r>
      <w:r>
        <w:rPr>
          <w:rFonts w:ascii="Times New Roman" w:hAnsi="Times New Roman"/>
          <w:i/>
          <w:sz w:val="24"/>
          <w:szCs w:val="24"/>
        </w:rPr>
        <w:t xml:space="preserve">, </w:t>
      </w:r>
      <w:r>
        <w:rPr>
          <w:rFonts w:ascii="Times New Roman" w:hAnsi="Times New Roman"/>
          <w:sz w:val="24"/>
          <w:szCs w:val="24"/>
        </w:rPr>
        <w:t xml:space="preserve">muito mais em razão do acúmulo constante de temas e debates promovidos, considerados essenciais para alcançá-lo, do que uma asserção </w:t>
      </w:r>
      <w:r w:rsidRPr="00D32B34">
        <w:rPr>
          <w:rFonts w:ascii="Times New Roman" w:hAnsi="Times New Roman"/>
          <w:sz w:val="24"/>
          <w:szCs w:val="24"/>
        </w:rPr>
        <w:t>apriorística,</w:t>
      </w:r>
      <w:r>
        <w:rPr>
          <w:rFonts w:ascii="Times New Roman" w:hAnsi="Times New Roman"/>
          <w:i/>
          <w:sz w:val="24"/>
          <w:szCs w:val="24"/>
        </w:rPr>
        <w:t xml:space="preserve">ainda que por vezes balizadas nas </w:t>
      </w:r>
      <w:r w:rsidR="00F7525D">
        <w:rPr>
          <w:rFonts w:ascii="Times New Roman" w:hAnsi="Times New Roman"/>
          <w:i/>
          <w:sz w:val="24"/>
          <w:szCs w:val="24"/>
        </w:rPr>
        <w:t>repetições ritualizadas</w:t>
      </w:r>
      <w:r>
        <w:rPr>
          <w:rFonts w:ascii="Times New Roman" w:hAnsi="Times New Roman"/>
          <w:i/>
          <w:sz w:val="24"/>
          <w:szCs w:val="24"/>
        </w:rPr>
        <w:t xml:space="preserve"> de Celso Furtado</w:t>
      </w:r>
      <w:r>
        <w:rPr>
          <w:rFonts w:ascii="Times New Roman" w:hAnsi="Times New Roman"/>
          <w:sz w:val="24"/>
          <w:szCs w:val="24"/>
        </w:rPr>
        <w:t>, como se verifica no trecho abaixo:</w:t>
      </w:r>
    </w:p>
    <w:p w:rsidR="00303FA9" w:rsidRPr="000E2D9B" w:rsidRDefault="00303FA9" w:rsidP="00303FA9">
      <w:pPr>
        <w:spacing w:line="240" w:lineRule="auto"/>
        <w:ind w:left="2268"/>
        <w:jc w:val="both"/>
        <w:rPr>
          <w:rFonts w:ascii="Times New Roman" w:hAnsi="Times New Roman"/>
          <w:sz w:val="20"/>
          <w:szCs w:val="20"/>
        </w:rPr>
      </w:pPr>
      <w:r>
        <w:rPr>
          <w:rFonts w:ascii="Times New Roman" w:hAnsi="Times New Roman"/>
          <w:sz w:val="20"/>
          <w:szCs w:val="20"/>
        </w:rPr>
        <w:t xml:space="preserve">Na verdade, o que está no centro da discussão do novo modelo do setor energético, é a concepção de modelo de desenvolvimento, ou seja, uma sociedade sustentável. </w:t>
      </w:r>
      <w:r w:rsidRPr="000E2D9B">
        <w:rPr>
          <w:rFonts w:ascii="Times New Roman" w:hAnsi="Times New Roman"/>
          <w:sz w:val="20"/>
          <w:szCs w:val="20"/>
        </w:rPr>
        <w:t>Não entendemos o desenvolvimento como mero crescimento do produto interno bruto, ou o sonho de chegarmos ao patamar de consumo do primeiro mundo. Crescimento no Brasil não gera maior igualdade, pelo contrário, gera maior desigualdade. Crescer no Brasil, sem mexer nos mecanismos de concentração de riquezas significa aprofundar as desigualdades. Queremos uma sociedade sustentável em todos os aspectos, não só pa</w:t>
      </w:r>
      <w:r>
        <w:rPr>
          <w:rFonts w:ascii="Times New Roman" w:hAnsi="Times New Roman"/>
          <w:sz w:val="20"/>
          <w:szCs w:val="20"/>
        </w:rPr>
        <w:t>ra nós para as futuras gerações (Conselheiro José Antônio Moroni, ATA da 8ª Reunião Plenária, 04/08/2004, p. 15).</w:t>
      </w:r>
    </w:p>
    <w:p w:rsidR="00C92CE4" w:rsidRPr="00C33FA2" w:rsidRDefault="000A2693" w:rsidP="00C92CE4">
      <w:pPr>
        <w:spacing w:after="0" w:line="360" w:lineRule="auto"/>
        <w:ind w:firstLine="708"/>
        <w:jc w:val="both"/>
        <w:rPr>
          <w:rFonts w:ascii="Times New Roman" w:hAnsi="Times New Roman"/>
          <w:sz w:val="24"/>
          <w:szCs w:val="24"/>
        </w:rPr>
      </w:pPr>
      <w:r w:rsidRPr="00C33FA2">
        <w:rPr>
          <w:rFonts w:ascii="Times New Roman" w:hAnsi="Times New Roman"/>
          <w:sz w:val="24"/>
          <w:szCs w:val="24"/>
        </w:rPr>
        <w:t>A partir deste</w:t>
      </w:r>
      <w:r w:rsidR="00C92CE4" w:rsidRPr="00C33FA2">
        <w:rPr>
          <w:rFonts w:ascii="Times New Roman" w:hAnsi="Times New Roman"/>
          <w:sz w:val="24"/>
          <w:szCs w:val="24"/>
        </w:rPr>
        <w:t xml:space="preserve"> momento faz sentido apresentar e examinar, sumariamente, </w:t>
      </w:r>
      <w:r w:rsidR="00891C61" w:rsidRPr="00C33FA2">
        <w:rPr>
          <w:rFonts w:ascii="Times New Roman" w:hAnsi="Times New Roman"/>
          <w:sz w:val="24"/>
          <w:szCs w:val="24"/>
        </w:rPr>
        <w:t>algumas</w:t>
      </w:r>
      <w:r w:rsidR="00C92CE4" w:rsidRPr="00C33FA2">
        <w:rPr>
          <w:rFonts w:ascii="Times New Roman" w:hAnsi="Times New Roman"/>
          <w:sz w:val="24"/>
          <w:szCs w:val="24"/>
        </w:rPr>
        <w:t xml:space="preserve"> questões acerca do resgate da figura do Celso Furtado </w:t>
      </w:r>
      <w:r w:rsidRPr="00C33FA2">
        <w:rPr>
          <w:rFonts w:ascii="Times New Roman" w:hAnsi="Times New Roman"/>
          <w:sz w:val="24"/>
          <w:szCs w:val="24"/>
        </w:rPr>
        <w:t>feito pelo</w:t>
      </w:r>
      <w:r w:rsidR="00891C61" w:rsidRPr="00C33FA2">
        <w:rPr>
          <w:rFonts w:ascii="Times New Roman" w:hAnsi="Times New Roman"/>
          <w:sz w:val="24"/>
          <w:szCs w:val="24"/>
        </w:rPr>
        <w:t xml:space="preserve"> CDES como, por exemplo, por que foi Celso Furtado o pensador escolhido para ser a referência no debate sobre desenvolvimento. Ademais, deve-se se indagar quais elementos do pensamento de Furtado foram resgatados e </w:t>
      </w:r>
      <w:r w:rsidR="00D70E15">
        <w:rPr>
          <w:rFonts w:ascii="Times New Roman" w:hAnsi="Times New Roman"/>
          <w:sz w:val="24"/>
          <w:szCs w:val="24"/>
        </w:rPr>
        <w:t>a</w:t>
      </w:r>
      <w:r w:rsidR="00891C61" w:rsidRPr="00C33FA2">
        <w:rPr>
          <w:rFonts w:ascii="Times New Roman" w:hAnsi="Times New Roman"/>
          <w:sz w:val="24"/>
          <w:szCs w:val="24"/>
        </w:rPr>
        <w:t xml:space="preserve"> quais resultados chegaram com esse resgate, ou seja, ao que foi levado o pensamento de Furtado no Conselho.</w:t>
      </w:r>
    </w:p>
    <w:p w:rsidR="000B69F4" w:rsidRDefault="00C92CE4" w:rsidP="00FA741E">
      <w:pPr>
        <w:spacing w:after="0" w:line="360" w:lineRule="auto"/>
        <w:ind w:firstLine="708"/>
        <w:jc w:val="both"/>
        <w:rPr>
          <w:rFonts w:ascii="Times New Roman" w:hAnsi="Times New Roman"/>
          <w:sz w:val="24"/>
          <w:szCs w:val="24"/>
        </w:rPr>
      </w:pPr>
      <w:r w:rsidRPr="00C33FA2">
        <w:rPr>
          <w:rFonts w:ascii="Times New Roman" w:hAnsi="Times New Roman"/>
          <w:sz w:val="24"/>
          <w:szCs w:val="24"/>
        </w:rPr>
        <w:t xml:space="preserve">Celso Furtado </w:t>
      </w:r>
      <w:r w:rsidR="000A2693" w:rsidRPr="00C33FA2">
        <w:rPr>
          <w:rFonts w:ascii="Times New Roman" w:hAnsi="Times New Roman"/>
          <w:sz w:val="24"/>
          <w:szCs w:val="24"/>
        </w:rPr>
        <w:t>foi</w:t>
      </w:r>
      <w:r w:rsidRPr="00C33FA2">
        <w:rPr>
          <w:rFonts w:ascii="Times New Roman" w:hAnsi="Times New Roman"/>
          <w:sz w:val="24"/>
          <w:szCs w:val="24"/>
        </w:rPr>
        <w:t xml:space="preserve"> recuperado no Conselho porque foi cuidadosamente escolhido como o desenvolvimentista com preocupações referidas à “inclusão social”. Era um cepalino e não um </w:t>
      </w:r>
      <w:r w:rsidR="00FA741E" w:rsidRPr="00C33FA2">
        <w:rPr>
          <w:rFonts w:ascii="Times New Roman" w:hAnsi="Times New Roman"/>
          <w:sz w:val="24"/>
          <w:szCs w:val="24"/>
        </w:rPr>
        <w:t>marxista</w:t>
      </w:r>
      <w:r w:rsidRPr="00C33FA2">
        <w:rPr>
          <w:rFonts w:ascii="Times New Roman" w:hAnsi="Times New Roman"/>
          <w:sz w:val="24"/>
          <w:szCs w:val="24"/>
        </w:rPr>
        <w:t xml:space="preserve"> e, portanto, entendia que o subdesenvolvimento poderia ser superado a partir do desenvolvimento das forças produ</w:t>
      </w:r>
      <w:r w:rsidR="00884D08" w:rsidRPr="00C33FA2">
        <w:rPr>
          <w:rFonts w:ascii="Times New Roman" w:hAnsi="Times New Roman"/>
          <w:sz w:val="24"/>
          <w:szCs w:val="24"/>
        </w:rPr>
        <w:t xml:space="preserve">tivas capitalistas aliado a um componente social que </w:t>
      </w:r>
      <w:r w:rsidR="000C18E5" w:rsidRPr="00C33FA2">
        <w:rPr>
          <w:rFonts w:ascii="Times New Roman" w:hAnsi="Times New Roman"/>
          <w:sz w:val="24"/>
          <w:szCs w:val="24"/>
        </w:rPr>
        <w:t>intentava satisfazer as</w:t>
      </w:r>
      <w:r w:rsidR="00884D08" w:rsidRPr="00C33FA2">
        <w:rPr>
          <w:rFonts w:ascii="Times New Roman" w:hAnsi="Times New Roman"/>
          <w:sz w:val="24"/>
          <w:szCs w:val="24"/>
        </w:rPr>
        <w:t xml:space="preserve"> necessidades básicas da população</w:t>
      </w:r>
      <w:r w:rsidR="000C18E5" w:rsidRPr="00C33FA2">
        <w:rPr>
          <w:rFonts w:ascii="Times New Roman" w:hAnsi="Times New Roman"/>
          <w:sz w:val="24"/>
          <w:szCs w:val="24"/>
        </w:rPr>
        <w:t xml:space="preserve"> a partir da </w:t>
      </w:r>
      <w:r w:rsidR="007B58C2" w:rsidRPr="00C33FA2">
        <w:rPr>
          <w:rFonts w:ascii="Times New Roman" w:hAnsi="Times New Roman"/>
          <w:sz w:val="24"/>
          <w:szCs w:val="24"/>
        </w:rPr>
        <w:t>repartição</w:t>
      </w:r>
      <w:r w:rsidR="000C18E5" w:rsidRPr="00C33FA2">
        <w:rPr>
          <w:rFonts w:ascii="Times New Roman" w:hAnsi="Times New Roman"/>
          <w:sz w:val="24"/>
          <w:szCs w:val="24"/>
        </w:rPr>
        <w:t xml:space="preserve"> dos ganhos de produtividade</w:t>
      </w:r>
      <w:r w:rsidR="00884D08" w:rsidRPr="00C33FA2">
        <w:rPr>
          <w:rFonts w:ascii="Times New Roman" w:hAnsi="Times New Roman"/>
          <w:sz w:val="24"/>
          <w:szCs w:val="24"/>
        </w:rPr>
        <w:t>. Pressupunha um relativo equilíbrio de forças entre capitalistas e trabalhadores, em um padrão de luta de classes que concedia legitimidade às reivindicações do operariado, à sua organização política autônoma, garantindo-lhe crescente participação nas decisões econômicas.</w:t>
      </w:r>
      <w:r w:rsidR="00884D08" w:rsidRPr="00C33FA2">
        <w:rPr>
          <w:rStyle w:val="Refdenotaderodap"/>
          <w:rFonts w:ascii="Times New Roman" w:hAnsi="Times New Roman"/>
          <w:sz w:val="24"/>
          <w:szCs w:val="24"/>
        </w:rPr>
        <w:footnoteReference w:id="445"/>
      </w:r>
    </w:p>
    <w:p w:rsidR="00884D08" w:rsidRPr="00C33FA2" w:rsidRDefault="007B58C2" w:rsidP="00FA741E">
      <w:pPr>
        <w:spacing w:after="0" w:line="360" w:lineRule="auto"/>
        <w:ind w:firstLine="708"/>
        <w:jc w:val="both"/>
        <w:rPr>
          <w:rFonts w:ascii="Times New Roman" w:hAnsi="Times New Roman"/>
          <w:sz w:val="24"/>
          <w:szCs w:val="24"/>
        </w:rPr>
      </w:pPr>
      <w:r w:rsidRPr="00C33FA2">
        <w:rPr>
          <w:rFonts w:ascii="Times New Roman" w:hAnsi="Times New Roman"/>
          <w:sz w:val="24"/>
          <w:szCs w:val="24"/>
        </w:rPr>
        <w:t>A luta de classes estava, então, inserida num “compromisso” de auto</w:t>
      </w:r>
      <w:r w:rsidR="00E008CD" w:rsidRPr="00C33FA2">
        <w:rPr>
          <w:rFonts w:ascii="Times New Roman" w:hAnsi="Times New Roman"/>
          <w:sz w:val="24"/>
          <w:szCs w:val="24"/>
        </w:rPr>
        <w:t>r</w:t>
      </w:r>
      <w:r w:rsidRPr="00C33FA2">
        <w:rPr>
          <w:rFonts w:ascii="Times New Roman" w:hAnsi="Times New Roman"/>
          <w:sz w:val="24"/>
          <w:szCs w:val="24"/>
        </w:rPr>
        <w:t xml:space="preserve">regulação </w:t>
      </w:r>
      <w:r w:rsidR="00AD03B0" w:rsidRPr="00C33FA2">
        <w:rPr>
          <w:rFonts w:ascii="Times New Roman" w:hAnsi="Times New Roman"/>
          <w:sz w:val="24"/>
          <w:szCs w:val="24"/>
        </w:rPr>
        <w:t>d</w:t>
      </w:r>
      <w:r w:rsidRPr="00C33FA2">
        <w:rPr>
          <w:rFonts w:ascii="Times New Roman" w:hAnsi="Times New Roman"/>
          <w:sz w:val="24"/>
          <w:szCs w:val="24"/>
        </w:rPr>
        <w:t xml:space="preserve">a intensidade da exploração capitalista e </w:t>
      </w:r>
      <w:r w:rsidR="00AD03B0" w:rsidRPr="00C33FA2">
        <w:rPr>
          <w:rFonts w:ascii="Times New Roman" w:hAnsi="Times New Roman"/>
          <w:sz w:val="24"/>
          <w:szCs w:val="24"/>
        </w:rPr>
        <w:t>d</w:t>
      </w:r>
      <w:r w:rsidRPr="00C33FA2">
        <w:rPr>
          <w:rFonts w:ascii="Times New Roman" w:hAnsi="Times New Roman"/>
          <w:sz w:val="24"/>
          <w:szCs w:val="24"/>
        </w:rPr>
        <w:t xml:space="preserve">a contenção das alternativas políticas disruptivas do operariado. </w:t>
      </w:r>
      <w:r w:rsidR="00C970E6" w:rsidRPr="00C33FA2">
        <w:rPr>
          <w:rFonts w:ascii="Times New Roman" w:hAnsi="Times New Roman"/>
          <w:sz w:val="24"/>
          <w:szCs w:val="24"/>
        </w:rPr>
        <w:t>A escolha foi feita de forma a estabelecer pontes com posições não radicalizadas do pensamento econômico de esquerda</w:t>
      </w:r>
      <w:r w:rsidR="006C41F8" w:rsidRPr="00C33FA2">
        <w:rPr>
          <w:rFonts w:ascii="Times New Roman" w:hAnsi="Times New Roman"/>
          <w:sz w:val="24"/>
          <w:szCs w:val="24"/>
        </w:rPr>
        <w:t xml:space="preserve">. Aliás, houve um total apagamento dos principais fundadores </w:t>
      </w:r>
      <w:r w:rsidR="000B69F4">
        <w:rPr>
          <w:rFonts w:ascii="Times New Roman" w:hAnsi="Times New Roman"/>
          <w:sz w:val="24"/>
          <w:szCs w:val="24"/>
        </w:rPr>
        <w:t xml:space="preserve">e </w:t>
      </w:r>
      <w:r w:rsidR="006C41F8" w:rsidRPr="00C33FA2">
        <w:rPr>
          <w:rFonts w:ascii="Times New Roman" w:hAnsi="Times New Roman"/>
          <w:sz w:val="24"/>
          <w:szCs w:val="24"/>
        </w:rPr>
        <w:t xml:space="preserve">pensadores do PT tais como Plínio </w:t>
      </w:r>
      <w:r w:rsidR="000A2693" w:rsidRPr="00C33FA2">
        <w:rPr>
          <w:rFonts w:ascii="Times New Roman" w:hAnsi="Times New Roman"/>
          <w:sz w:val="24"/>
          <w:szCs w:val="24"/>
        </w:rPr>
        <w:t xml:space="preserve">de </w:t>
      </w:r>
      <w:r w:rsidR="006C41F8" w:rsidRPr="00C33FA2">
        <w:rPr>
          <w:rFonts w:ascii="Times New Roman" w:hAnsi="Times New Roman"/>
          <w:sz w:val="24"/>
          <w:szCs w:val="24"/>
        </w:rPr>
        <w:t>Arruda</w:t>
      </w:r>
      <w:r w:rsidR="000A2693" w:rsidRPr="00C33FA2">
        <w:rPr>
          <w:rFonts w:ascii="Times New Roman" w:hAnsi="Times New Roman"/>
          <w:sz w:val="24"/>
          <w:szCs w:val="24"/>
        </w:rPr>
        <w:t xml:space="preserve"> Sampaio</w:t>
      </w:r>
      <w:r w:rsidR="006C41F8" w:rsidRPr="00C33FA2">
        <w:rPr>
          <w:rFonts w:ascii="Times New Roman" w:hAnsi="Times New Roman"/>
          <w:sz w:val="24"/>
          <w:szCs w:val="24"/>
        </w:rPr>
        <w:t>, Francisco de Oliveira, Florestan Fernandes, dentre outros.</w:t>
      </w:r>
      <w:r w:rsidR="00C970E6" w:rsidRPr="00C33FA2">
        <w:rPr>
          <w:rFonts w:ascii="Times New Roman" w:hAnsi="Times New Roman"/>
          <w:sz w:val="24"/>
          <w:szCs w:val="24"/>
        </w:rPr>
        <w:t xml:space="preserve"> Sendo assim, a escolha</w:t>
      </w:r>
      <w:r w:rsidR="00FA741E" w:rsidRPr="00C33FA2">
        <w:rPr>
          <w:rFonts w:ascii="Times New Roman" w:hAnsi="Times New Roman"/>
          <w:sz w:val="24"/>
          <w:szCs w:val="24"/>
        </w:rPr>
        <w:t xml:space="preserve"> de Celso Furtado exprimia</w:t>
      </w:r>
      <w:r w:rsidR="00C970E6" w:rsidRPr="00C33FA2">
        <w:rPr>
          <w:rFonts w:ascii="Times New Roman" w:hAnsi="Times New Roman"/>
          <w:sz w:val="24"/>
          <w:szCs w:val="24"/>
        </w:rPr>
        <w:t xml:space="preserve"> uma alternativa de compromisso ou de aliança entre capital e trabalho.</w:t>
      </w:r>
      <w:r w:rsidR="00454BAC" w:rsidRPr="00C33FA2">
        <w:rPr>
          <w:rFonts w:ascii="Times New Roman" w:hAnsi="Times New Roman"/>
          <w:sz w:val="24"/>
          <w:szCs w:val="24"/>
        </w:rPr>
        <w:t xml:space="preserve"> Basta lembrar que quem trouxe Celso Furtado para o Conselho foi o secretário-executivo Jaques Wagner, um</w:t>
      </w:r>
      <w:r w:rsidR="00153EA3" w:rsidRPr="00C33FA2">
        <w:rPr>
          <w:rFonts w:ascii="Times New Roman" w:hAnsi="Times New Roman"/>
          <w:sz w:val="24"/>
          <w:szCs w:val="24"/>
        </w:rPr>
        <w:t xml:space="preserve"> dos fundadores e primeiro presidente do PT na Bahia</w:t>
      </w:r>
      <w:r w:rsidR="00454BAC" w:rsidRPr="00C33FA2">
        <w:rPr>
          <w:rFonts w:ascii="Times New Roman" w:hAnsi="Times New Roman"/>
          <w:sz w:val="24"/>
          <w:szCs w:val="24"/>
        </w:rPr>
        <w:t>.</w:t>
      </w:r>
    </w:p>
    <w:p w:rsidR="00C970E6" w:rsidRPr="00C33FA2" w:rsidRDefault="00AD03B0" w:rsidP="00C92CE4">
      <w:pPr>
        <w:spacing w:after="0" w:line="360" w:lineRule="auto"/>
        <w:ind w:firstLine="708"/>
        <w:jc w:val="both"/>
        <w:rPr>
          <w:rFonts w:ascii="Times New Roman" w:hAnsi="Times New Roman"/>
          <w:sz w:val="24"/>
          <w:szCs w:val="24"/>
        </w:rPr>
      </w:pPr>
      <w:r w:rsidRPr="00C33FA2">
        <w:rPr>
          <w:rFonts w:ascii="Times New Roman" w:hAnsi="Times New Roman"/>
          <w:sz w:val="24"/>
          <w:szCs w:val="24"/>
        </w:rPr>
        <w:t>Neste debate, a</w:t>
      </w:r>
      <w:r w:rsidR="00C92CE4" w:rsidRPr="00C33FA2">
        <w:rPr>
          <w:rFonts w:ascii="Times New Roman" w:hAnsi="Times New Roman"/>
          <w:sz w:val="24"/>
          <w:szCs w:val="24"/>
        </w:rPr>
        <w:t xml:space="preserve"> parte mais à esquerda do </w:t>
      </w:r>
      <w:r w:rsidRPr="00C33FA2">
        <w:rPr>
          <w:rFonts w:ascii="Times New Roman" w:hAnsi="Times New Roman"/>
          <w:sz w:val="24"/>
          <w:szCs w:val="24"/>
        </w:rPr>
        <w:t xml:space="preserve">pensamento de </w:t>
      </w:r>
      <w:r w:rsidR="00C92CE4" w:rsidRPr="00C33FA2">
        <w:rPr>
          <w:rFonts w:ascii="Times New Roman" w:hAnsi="Times New Roman"/>
          <w:sz w:val="24"/>
          <w:szCs w:val="24"/>
        </w:rPr>
        <w:t xml:space="preserve">Celso Furtado </w:t>
      </w:r>
      <w:r w:rsidR="006C41F8" w:rsidRPr="00C33FA2">
        <w:rPr>
          <w:rFonts w:ascii="Times New Roman" w:hAnsi="Times New Roman"/>
          <w:sz w:val="24"/>
          <w:szCs w:val="24"/>
        </w:rPr>
        <w:t xml:space="preserve">ainda </w:t>
      </w:r>
      <w:r w:rsidR="00C970E6" w:rsidRPr="00C33FA2">
        <w:rPr>
          <w:rFonts w:ascii="Times New Roman" w:hAnsi="Times New Roman"/>
          <w:sz w:val="24"/>
          <w:szCs w:val="24"/>
        </w:rPr>
        <w:t>precisava ser</w:t>
      </w:r>
      <w:r w:rsidRPr="00C33FA2">
        <w:rPr>
          <w:rFonts w:ascii="Times New Roman" w:hAnsi="Times New Roman"/>
          <w:sz w:val="24"/>
          <w:szCs w:val="24"/>
        </w:rPr>
        <w:t xml:space="preserve"> esterilizada </w:t>
      </w:r>
      <w:r w:rsidR="000A2693" w:rsidRPr="00C33FA2">
        <w:rPr>
          <w:rFonts w:ascii="Times New Roman" w:hAnsi="Times New Roman"/>
          <w:sz w:val="24"/>
          <w:szCs w:val="24"/>
        </w:rPr>
        <w:t xml:space="preserve">ou amputada </w:t>
      </w:r>
      <w:r w:rsidRPr="00C33FA2">
        <w:rPr>
          <w:rFonts w:ascii="Times New Roman" w:hAnsi="Times New Roman"/>
          <w:sz w:val="24"/>
          <w:szCs w:val="24"/>
        </w:rPr>
        <w:t>por parte do C</w:t>
      </w:r>
      <w:r w:rsidR="00C92CE4" w:rsidRPr="00C33FA2">
        <w:rPr>
          <w:rFonts w:ascii="Times New Roman" w:hAnsi="Times New Roman"/>
          <w:sz w:val="24"/>
          <w:szCs w:val="24"/>
        </w:rPr>
        <w:t>onselho</w:t>
      </w:r>
      <w:r w:rsidRPr="00C33FA2">
        <w:rPr>
          <w:rFonts w:ascii="Times New Roman" w:hAnsi="Times New Roman"/>
          <w:sz w:val="24"/>
          <w:szCs w:val="24"/>
        </w:rPr>
        <w:t xml:space="preserve">, como, por exemplo,a função deletéria do capital estrangeiro </w:t>
      </w:r>
      <w:r w:rsidR="000F608E" w:rsidRPr="00C33FA2">
        <w:rPr>
          <w:rFonts w:ascii="Times New Roman" w:hAnsi="Times New Roman"/>
          <w:sz w:val="24"/>
          <w:szCs w:val="24"/>
        </w:rPr>
        <w:t>n</w:t>
      </w:r>
      <w:r w:rsidRPr="00C33FA2">
        <w:rPr>
          <w:rFonts w:ascii="Times New Roman" w:hAnsi="Times New Roman"/>
          <w:sz w:val="24"/>
          <w:szCs w:val="24"/>
        </w:rPr>
        <w:t>o país</w:t>
      </w:r>
      <w:r w:rsidR="00C970E6" w:rsidRPr="00C33FA2">
        <w:rPr>
          <w:rFonts w:ascii="Times New Roman" w:hAnsi="Times New Roman"/>
          <w:sz w:val="24"/>
          <w:szCs w:val="24"/>
        </w:rPr>
        <w:t xml:space="preserve">, solapando as possibilidades de </w:t>
      </w:r>
      <w:r w:rsidR="000F608E" w:rsidRPr="00C33FA2">
        <w:rPr>
          <w:rFonts w:ascii="Times New Roman" w:hAnsi="Times New Roman"/>
          <w:sz w:val="24"/>
          <w:szCs w:val="24"/>
        </w:rPr>
        <w:t xml:space="preserve">desenvolvimento, </w:t>
      </w:r>
      <w:r w:rsidR="00C970E6" w:rsidRPr="00C33FA2">
        <w:rPr>
          <w:rFonts w:ascii="Times New Roman" w:hAnsi="Times New Roman"/>
          <w:sz w:val="24"/>
          <w:szCs w:val="24"/>
        </w:rPr>
        <w:t>soberania</w:t>
      </w:r>
      <w:r w:rsidR="000F608E" w:rsidRPr="00C33FA2">
        <w:rPr>
          <w:rFonts w:ascii="Times New Roman" w:hAnsi="Times New Roman"/>
          <w:sz w:val="24"/>
          <w:szCs w:val="24"/>
        </w:rPr>
        <w:t xml:space="preserve"> e democracia, segundo as premissas do economista. Ora, o imperialismo (reduzido a atuação das multinacionais em países periféricos) </w:t>
      </w:r>
      <w:r w:rsidR="00C970E6" w:rsidRPr="00C33FA2">
        <w:rPr>
          <w:rFonts w:ascii="Times New Roman" w:hAnsi="Times New Roman"/>
          <w:sz w:val="24"/>
          <w:szCs w:val="24"/>
        </w:rPr>
        <w:t xml:space="preserve">jamais foi objeto de </w:t>
      </w:r>
      <w:r w:rsidR="000F608E" w:rsidRPr="00C33FA2">
        <w:rPr>
          <w:rFonts w:ascii="Times New Roman" w:hAnsi="Times New Roman"/>
          <w:sz w:val="24"/>
          <w:szCs w:val="24"/>
        </w:rPr>
        <w:t xml:space="preserve">qualquer </w:t>
      </w:r>
      <w:r w:rsidR="00C970E6" w:rsidRPr="00C33FA2">
        <w:rPr>
          <w:rFonts w:ascii="Times New Roman" w:hAnsi="Times New Roman"/>
          <w:sz w:val="24"/>
          <w:szCs w:val="24"/>
        </w:rPr>
        <w:t>discussão nas plená</w:t>
      </w:r>
      <w:r w:rsidR="000F608E" w:rsidRPr="00C33FA2">
        <w:rPr>
          <w:rFonts w:ascii="Times New Roman" w:hAnsi="Times New Roman"/>
          <w:sz w:val="24"/>
          <w:szCs w:val="24"/>
        </w:rPr>
        <w:t>rias ou documentos do Conselho. Tal qual o crescimento do capitalismo, a presença do capital estrangeiro era considerada como algo “dado”, “naturalizado” e mesmo benéfico. Nunca houve nenhuma abertura de debates, pautas, eventos, Grupos Tem</w:t>
      </w:r>
      <w:r w:rsidR="006C41F8" w:rsidRPr="00C33FA2">
        <w:rPr>
          <w:rFonts w:ascii="Times New Roman" w:hAnsi="Times New Roman"/>
          <w:sz w:val="24"/>
          <w:szCs w:val="24"/>
        </w:rPr>
        <w:t>ático</w:t>
      </w:r>
      <w:r w:rsidR="000F608E" w:rsidRPr="00C33FA2">
        <w:rPr>
          <w:rFonts w:ascii="Times New Roman" w:hAnsi="Times New Roman"/>
          <w:sz w:val="24"/>
          <w:szCs w:val="24"/>
        </w:rPr>
        <w:t>s, acerca da influência do capital estrangeiro no desenvolvimento econômico e social do país.</w:t>
      </w:r>
      <w:r w:rsidR="006C41F8" w:rsidRPr="00C33FA2">
        <w:rPr>
          <w:rFonts w:ascii="Times New Roman" w:hAnsi="Times New Roman"/>
          <w:sz w:val="24"/>
          <w:szCs w:val="24"/>
        </w:rPr>
        <w:t xml:space="preserve"> Aliás, a partir de 2007, como vimos no capítulo 2, assistimos ao ingresso da representação de grandes grupos econômicos estrangeiros nas plenárias do Conselho.</w:t>
      </w:r>
    </w:p>
    <w:p w:rsidR="00F138F0" w:rsidRPr="00C33FA2" w:rsidRDefault="006C41F8" w:rsidP="00044DBE">
      <w:pPr>
        <w:spacing w:after="0" w:line="360" w:lineRule="auto"/>
        <w:ind w:firstLine="708"/>
        <w:jc w:val="both"/>
        <w:rPr>
          <w:rFonts w:ascii="Times New Roman" w:hAnsi="Times New Roman"/>
          <w:sz w:val="24"/>
          <w:szCs w:val="24"/>
        </w:rPr>
      </w:pPr>
      <w:r w:rsidRPr="00C33FA2">
        <w:rPr>
          <w:rFonts w:ascii="Times New Roman" w:hAnsi="Times New Roman"/>
          <w:sz w:val="24"/>
          <w:szCs w:val="24"/>
        </w:rPr>
        <w:t xml:space="preserve">Outra reconfiguração </w:t>
      </w:r>
      <w:r w:rsidR="00CD6336" w:rsidRPr="00C33FA2">
        <w:rPr>
          <w:rFonts w:ascii="Times New Roman" w:hAnsi="Times New Roman"/>
          <w:sz w:val="24"/>
          <w:szCs w:val="24"/>
        </w:rPr>
        <w:t>n</w:t>
      </w:r>
      <w:r w:rsidRPr="00C33FA2">
        <w:rPr>
          <w:rFonts w:ascii="Times New Roman" w:hAnsi="Times New Roman"/>
          <w:sz w:val="24"/>
          <w:szCs w:val="24"/>
        </w:rPr>
        <w:t xml:space="preserve">o pensamento de Celso Furtado </w:t>
      </w:r>
      <w:r w:rsidR="00FA741E" w:rsidRPr="00C33FA2">
        <w:rPr>
          <w:rFonts w:ascii="Times New Roman" w:hAnsi="Times New Roman"/>
          <w:sz w:val="24"/>
          <w:szCs w:val="24"/>
        </w:rPr>
        <w:t>ocorria</w:t>
      </w:r>
      <w:r w:rsidR="00CD6336" w:rsidRPr="00C33FA2">
        <w:rPr>
          <w:rFonts w:ascii="Times New Roman" w:hAnsi="Times New Roman"/>
          <w:sz w:val="24"/>
          <w:szCs w:val="24"/>
        </w:rPr>
        <w:t xml:space="preserve"> justamente através do motivo pelo qual o revificavam no Conselho: trouxeram Celso Furtado para diferenciar crescimento econômico de desenvolvimento. As pesquisas documentais do CDES mostram, porém, </w:t>
      </w:r>
      <w:r w:rsidR="00462C70" w:rsidRPr="00C33FA2">
        <w:rPr>
          <w:rFonts w:ascii="Times New Roman" w:hAnsi="Times New Roman"/>
          <w:sz w:val="24"/>
          <w:szCs w:val="24"/>
        </w:rPr>
        <w:t>que a essência do</w:t>
      </w:r>
      <w:r w:rsidR="00CD6336" w:rsidRPr="00C33FA2">
        <w:rPr>
          <w:rFonts w:ascii="Times New Roman" w:hAnsi="Times New Roman"/>
          <w:sz w:val="24"/>
          <w:szCs w:val="24"/>
        </w:rPr>
        <w:t xml:space="preserve"> conteúdo das propostas</w:t>
      </w:r>
      <w:r w:rsidR="00462C70" w:rsidRPr="00C33FA2">
        <w:rPr>
          <w:rFonts w:ascii="Times New Roman" w:hAnsi="Times New Roman"/>
          <w:sz w:val="24"/>
          <w:szCs w:val="24"/>
        </w:rPr>
        <w:t xml:space="preserve"> recupera</w:t>
      </w:r>
      <w:r w:rsidR="00FA741E" w:rsidRPr="00C33FA2">
        <w:rPr>
          <w:rFonts w:ascii="Times New Roman" w:hAnsi="Times New Roman"/>
          <w:sz w:val="24"/>
          <w:szCs w:val="24"/>
        </w:rPr>
        <w:t>va</w:t>
      </w:r>
      <w:r w:rsidR="00462C70" w:rsidRPr="00C33FA2">
        <w:rPr>
          <w:rFonts w:ascii="Times New Roman" w:hAnsi="Times New Roman"/>
          <w:sz w:val="24"/>
          <w:szCs w:val="24"/>
        </w:rPr>
        <w:t xml:space="preserve"> o crescimento econômico como sinonimização do desenvolvimento, incluindo apenas um ou outro adjetivo: “sustentável” ou “com sustentabilidade”, “com inclusão social”, “com equidade social”, </w:t>
      </w:r>
      <w:r w:rsidR="00B87700" w:rsidRPr="00C33FA2">
        <w:rPr>
          <w:rFonts w:ascii="Times New Roman" w:hAnsi="Times New Roman"/>
          <w:sz w:val="24"/>
          <w:szCs w:val="24"/>
        </w:rPr>
        <w:t>o que deveria ser atendido por programas que possibilitassem melhor o acesso ao mercado de consumo de mercadorias</w:t>
      </w:r>
      <w:r w:rsidR="00E85E0C">
        <w:rPr>
          <w:rFonts w:ascii="Times New Roman" w:hAnsi="Times New Roman"/>
          <w:sz w:val="24"/>
          <w:szCs w:val="24"/>
        </w:rPr>
        <w:t xml:space="preserve"> e de bens e serviços públicos</w:t>
      </w:r>
      <w:r w:rsidR="00462C70" w:rsidRPr="00C33FA2">
        <w:rPr>
          <w:rFonts w:ascii="Times New Roman" w:hAnsi="Times New Roman"/>
          <w:sz w:val="24"/>
          <w:szCs w:val="24"/>
        </w:rPr>
        <w:t>.Aquilo que o</w:t>
      </w:r>
      <w:r w:rsidR="0088131E" w:rsidRPr="00C33FA2">
        <w:rPr>
          <w:rFonts w:ascii="Times New Roman" w:hAnsi="Times New Roman"/>
          <w:sz w:val="24"/>
          <w:szCs w:val="24"/>
        </w:rPr>
        <w:t>s membros do</w:t>
      </w:r>
      <w:r w:rsidR="00462C70" w:rsidRPr="00C33FA2">
        <w:rPr>
          <w:rFonts w:ascii="Times New Roman" w:hAnsi="Times New Roman"/>
          <w:sz w:val="24"/>
          <w:szCs w:val="24"/>
        </w:rPr>
        <w:t xml:space="preserve"> Conselho recupera</w:t>
      </w:r>
      <w:r w:rsidR="00E85E0C">
        <w:rPr>
          <w:rFonts w:ascii="Times New Roman" w:hAnsi="Times New Roman"/>
          <w:sz w:val="24"/>
          <w:szCs w:val="24"/>
        </w:rPr>
        <w:t>va</w:t>
      </w:r>
      <w:r w:rsidR="0088131E" w:rsidRPr="00C33FA2">
        <w:rPr>
          <w:rFonts w:ascii="Times New Roman" w:hAnsi="Times New Roman"/>
          <w:sz w:val="24"/>
          <w:szCs w:val="24"/>
        </w:rPr>
        <w:t>m</w:t>
      </w:r>
      <w:r w:rsidR="00462C70" w:rsidRPr="00C33FA2">
        <w:rPr>
          <w:rFonts w:ascii="Times New Roman" w:hAnsi="Times New Roman"/>
          <w:sz w:val="24"/>
          <w:szCs w:val="24"/>
        </w:rPr>
        <w:t xml:space="preserve"> no pensamento de Celso Furt</w:t>
      </w:r>
      <w:r w:rsidR="00E85E0C">
        <w:rPr>
          <w:rFonts w:ascii="Times New Roman" w:hAnsi="Times New Roman"/>
          <w:sz w:val="24"/>
          <w:szCs w:val="24"/>
        </w:rPr>
        <w:t>ado era</w:t>
      </w:r>
      <w:r w:rsidR="00462C70" w:rsidRPr="00C33FA2">
        <w:rPr>
          <w:rFonts w:ascii="Times New Roman" w:hAnsi="Times New Roman"/>
          <w:sz w:val="24"/>
          <w:szCs w:val="24"/>
        </w:rPr>
        <w:t xml:space="preserve"> justamente aqui</w:t>
      </w:r>
      <w:r w:rsidR="00DC26A9" w:rsidRPr="00C33FA2">
        <w:rPr>
          <w:rFonts w:ascii="Times New Roman" w:hAnsi="Times New Roman"/>
          <w:sz w:val="24"/>
          <w:szCs w:val="24"/>
        </w:rPr>
        <w:t>lo</w:t>
      </w:r>
      <w:r w:rsidR="00462C70" w:rsidRPr="00C33FA2">
        <w:rPr>
          <w:rFonts w:ascii="Times New Roman" w:hAnsi="Times New Roman"/>
          <w:sz w:val="24"/>
          <w:szCs w:val="24"/>
        </w:rPr>
        <w:t xml:space="preserve"> que eles nega</w:t>
      </w:r>
      <w:r w:rsidR="00E85E0C">
        <w:rPr>
          <w:rFonts w:ascii="Times New Roman" w:hAnsi="Times New Roman"/>
          <w:sz w:val="24"/>
          <w:szCs w:val="24"/>
        </w:rPr>
        <w:t>va</w:t>
      </w:r>
      <w:r w:rsidR="00462C70" w:rsidRPr="00C33FA2">
        <w:rPr>
          <w:rFonts w:ascii="Times New Roman" w:hAnsi="Times New Roman"/>
          <w:sz w:val="24"/>
          <w:szCs w:val="24"/>
        </w:rPr>
        <w:t>m</w:t>
      </w:r>
      <w:r w:rsidR="0088131E" w:rsidRPr="00C33FA2">
        <w:rPr>
          <w:rFonts w:ascii="Times New Roman" w:hAnsi="Times New Roman"/>
          <w:sz w:val="24"/>
          <w:szCs w:val="24"/>
        </w:rPr>
        <w:t>.</w:t>
      </w:r>
      <w:r w:rsidR="00044DBE" w:rsidRPr="00C33FA2">
        <w:rPr>
          <w:rStyle w:val="Refdenotaderodap"/>
          <w:rFonts w:ascii="Times New Roman" w:hAnsi="Times New Roman"/>
          <w:sz w:val="24"/>
          <w:szCs w:val="24"/>
        </w:rPr>
        <w:footnoteReference w:id="446"/>
      </w:r>
    </w:p>
    <w:p w:rsidR="000A2693" w:rsidRPr="00C33FA2" w:rsidRDefault="0088131E" w:rsidP="00CD6336">
      <w:pPr>
        <w:spacing w:after="0" w:line="360" w:lineRule="auto"/>
        <w:ind w:firstLine="708"/>
        <w:jc w:val="both"/>
        <w:rPr>
          <w:rFonts w:ascii="Times New Roman" w:hAnsi="Times New Roman"/>
          <w:sz w:val="24"/>
          <w:szCs w:val="24"/>
        </w:rPr>
      </w:pPr>
      <w:r w:rsidRPr="00C33FA2">
        <w:rPr>
          <w:rFonts w:ascii="Times New Roman" w:hAnsi="Times New Roman"/>
          <w:sz w:val="24"/>
          <w:szCs w:val="24"/>
        </w:rPr>
        <w:t>Assim, a</w:t>
      </w:r>
      <w:r w:rsidR="00CD6336" w:rsidRPr="00C33FA2">
        <w:rPr>
          <w:rFonts w:ascii="Times New Roman" w:hAnsi="Times New Roman"/>
          <w:sz w:val="24"/>
          <w:szCs w:val="24"/>
        </w:rPr>
        <w:t xml:space="preserve"> discussão </w:t>
      </w:r>
      <w:r w:rsidR="00462C70" w:rsidRPr="00C33FA2">
        <w:rPr>
          <w:rFonts w:ascii="Times New Roman" w:hAnsi="Times New Roman"/>
          <w:sz w:val="24"/>
          <w:szCs w:val="24"/>
        </w:rPr>
        <w:t xml:space="preserve">econômica será conduzida </w:t>
      </w:r>
      <w:r w:rsidR="00CD6336" w:rsidRPr="00C33FA2">
        <w:rPr>
          <w:rFonts w:ascii="Times New Roman" w:hAnsi="Times New Roman"/>
          <w:sz w:val="24"/>
          <w:szCs w:val="24"/>
        </w:rPr>
        <w:t>no terreno do capital: assegurar que o capital empregue força de trabalho;</w:t>
      </w:r>
      <w:r w:rsidR="00462C70" w:rsidRPr="00C33FA2">
        <w:rPr>
          <w:rFonts w:ascii="Times New Roman" w:hAnsi="Times New Roman"/>
          <w:sz w:val="24"/>
          <w:szCs w:val="24"/>
        </w:rPr>
        <w:t xml:space="preserve"> que o emprego seja formal e não degradante</w:t>
      </w:r>
      <w:r w:rsidR="00DC26A9" w:rsidRPr="00C33FA2">
        <w:rPr>
          <w:rFonts w:ascii="Times New Roman" w:hAnsi="Times New Roman"/>
          <w:sz w:val="24"/>
          <w:szCs w:val="24"/>
        </w:rPr>
        <w:t xml:space="preserve"> (“empregos verdes”)</w:t>
      </w:r>
      <w:r w:rsidR="00462C70" w:rsidRPr="00C33FA2">
        <w:rPr>
          <w:rFonts w:ascii="Times New Roman" w:hAnsi="Times New Roman"/>
          <w:sz w:val="24"/>
          <w:szCs w:val="24"/>
        </w:rPr>
        <w:t xml:space="preserve">; que a força de trabalho seja </w:t>
      </w:r>
      <w:r w:rsidR="00DC26A9" w:rsidRPr="00C33FA2">
        <w:rPr>
          <w:rFonts w:ascii="Times New Roman" w:hAnsi="Times New Roman"/>
          <w:sz w:val="24"/>
          <w:szCs w:val="24"/>
        </w:rPr>
        <w:t>bem</w:t>
      </w:r>
      <w:r w:rsidR="00462C70" w:rsidRPr="00C33FA2">
        <w:rPr>
          <w:rFonts w:ascii="Times New Roman" w:hAnsi="Times New Roman"/>
          <w:sz w:val="24"/>
          <w:szCs w:val="24"/>
        </w:rPr>
        <w:t xml:space="preserve"> “preparada” para atender as expectativas da necessária inovação tecnol</w:t>
      </w:r>
      <w:r w:rsidR="00DC26A9" w:rsidRPr="00C33FA2">
        <w:rPr>
          <w:rFonts w:ascii="Times New Roman" w:hAnsi="Times New Roman"/>
          <w:sz w:val="24"/>
          <w:szCs w:val="24"/>
        </w:rPr>
        <w:t xml:space="preserve">ógica; que a questão educacional seja encaminhada para a formação de “cidadãos” </w:t>
      </w:r>
      <w:r w:rsidRPr="00C33FA2">
        <w:rPr>
          <w:rFonts w:ascii="Times New Roman" w:hAnsi="Times New Roman"/>
          <w:sz w:val="24"/>
          <w:szCs w:val="24"/>
        </w:rPr>
        <w:t>e de “trabalhadores” adequados à ordem do capital;  que o exército de reserva seja realocado</w:t>
      </w:r>
      <w:r w:rsidR="000A2693" w:rsidRPr="00C33FA2">
        <w:rPr>
          <w:rFonts w:ascii="Times New Roman" w:hAnsi="Times New Roman"/>
          <w:sz w:val="24"/>
          <w:szCs w:val="24"/>
        </w:rPr>
        <w:t xml:space="preserve">para </w:t>
      </w:r>
      <w:r w:rsidR="00DC26A9" w:rsidRPr="00C33FA2">
        <w:rPr>
          <w:rFonts w:ascii="Times New Roman" w:hAnsi="Times New Roman"/>
          <w:sz w:val="24"/>
          <w:szCs w:val="24"/>
        </w:rPr>
        <w:t xml:space="preserve">os setores </w:t>
      </w:r>
      <w:r w:rsidRPr="00C33FA2">
        <w:rPr>
          <w:rFonts w:ascii="Times New Roman" w:hAnsi="Times New Roman"/>
          <w:sz w:val="24"/>
          <w:szCs w:val="24"/>
        </w:rPr>
        <w:t xml:space="preserve">do grande capital </w:t>
      </w:r>
      <w:r w:rsidR="00D077FD">
        <w:rPr>
          <w:rFonts w:ascii="Times New Roman" w:hAnsi="Times New Roman"/>
          <w:sz w:val="24"/>
          <w:szCs w:val="24"/>
        </w:rPr>
        <w:t>mais atendidos</w:t>
      </w:r>
      <w:r w:rsidR="00DC26A9" w:rsidRPr="00C33FA2">
        <w:rPr>
          <w:rFonts w:ascii="Times New Roman" w:hAnsi="Times New Roman"/>
          <w:sz w:val="24"/>
          <w:szCs w:val="24"/>
        </w:rPr>
        <w:t xml:space="preserve"> pelas políticas de investimentos estatais (construção civil, por exemplo). Enfim, o pensamento de Celso Furtado foi reduzido e mutilado às frentes de atuação que o </w:t>
      </w:r>
      <w:r w:rsidR="000A2693" w:rsidRPr="00C33FA2">
        <w:rPr>
          <w:rFonts w:ascii="Times New Roman" w:hAnsi="Times New Roman"/>
          <w:sz w:val="24"/>
          <w:szCs w:val="24"/>
        </w:rPr>
        <w:t xml:space="preserve">grande </w:t>
      </w:r>
      <w:r w:rsidR="00DC26A9" w:rsidRPr="00C33FA2">
        <w:rPr>
          <w:rFonts w:ascii="Times New Roman" w:hAnsi="Times New Roman"/>
          <w:sz w:val="24"/>
          <w:szCs w:val="24"/>
        </w:rPr>
        <w:t xml:space="preserve">capital </w:t>
      </w:r>
      <w:r w:rsidRPr="00C33FA2">
        <w:rPr>
          <w:rFonts w:ascii="Times New Roman" w:hAnsi="Times New Roman"/>
          <w:sz w:val="24"/>
          <w:szCs w:val="24"/>
        </w:rPr>
        <w:t xml:space="preserve">produtor de valor </w:t>
      </w:r>
      <w:r w:rsidR="00DC26A9" w:rsidRPr="00C33FA2">
        <w:rPr>
          <w:rFonts w:ascii="Times New Roman" w:hAnsi="Times New Roman"/>
          <w:sz w:val="24"/>
          <w:szCs w:val="24"/>
        </w:rPr>
        <w:t>empreend</w:t>
      </w:r>
      <w:r w:rsidRPr="00C33FA2">
        <w:rPr>
          <w:rFonts w:ascii="Times New Roman" w:hAnsi="Times New Roman"/>
          <w:sz w:val="24"/>
          <w:szCs w:val="24"/>
        </w:rPr>
        <w:t>ia</w:t>
      </w:r>
      <w:r w:rsidR="00DC26A9" w:rsidRPr="00C33FA2">
        <w:rPr>
          <w:rFonts w:ascii="Times New Roman" w:hAnsi="Times New Roman"/>
          <w:sz w:val="24"/>
          <w:szCs w:val="24"/>
        </w:rPr>
        <w:t xml:space="preserve"> para que o trabalho dele não se autonomiz</w:t>
      </w:r>
      <w:r w:rsidRPr="00C33FA2">
        <w:rPr>
          <w:rFonts w:ascii="Times New Roman" w:hAnsi="Times New Roman"/>
          <w:sz w:val="24"/>
          <w:szCs w:val="24"/>
        </w:rPr>
        <w:t>asse</w:t>
      </w:r>
      <w:r w:rsidR="00DC26A9" w:rsidRPr="00C33FA2">
        <w:rPr>
          <w:rFonts w:ascii="Times New Roman" w:hAnsi="Times New Roman"/>
          <w:sz w:val="24"/>
          <w:szCs w:val="24"/>
        </w:rPr>
        <w:t>.</w:t>
      </w:r>
      <w:r w:rsidR="0041159E" w:rsidRPr="00C33FA2">
        <w:rPr>
          <w:rFonts w:ascii="Times New Roman" w:hAnsi="Times New Roman"/>
          <w:sz w:val="24"/>
          <w:szCs w:val="24"/>
        </w:rPr>
        <w:t>No CDES, e</w:t>
      </w:r>
      <w:r w:rsidRPr="00C33FA2">
        <w:rPr>
          <w:rFonts w:ascii="Times New Roman" w:hAnsi="Times New Roman"/>
          <w:sz w:val="24"/>
          <w:szCs w:val="24"/>
        </w:rPr>
        <w:t xml:space="preserve">sse grande capital </w:t>
      </w:r>
      <w:r w:rsidR="0041159E" w:rsidRPr="00C33FA2">
        <w:rPr>
          <w:rFonts w:ascii="Times New Roman" w:hAnsi="Times New Roman"/>
          <w:sz w:val="24"/>
          <w:szCs w:val="24"/>
        </w:rPr>
        <w:t>era elevado</w:t>
      </w:r>
      <w:r w:rsidRPr="00C33FA2">
        <w:rPr>
          <w:rFonts w:ascii="Times New Roman" w:hAnsi="Times New Roman"/>
          <w:sz w:val="24"/>
          <w:szCs w:val="24"/>
        </w:rPr>
        <w:t xml:space="preserve"> a </w:t>
      </w:r>
      <w:r w:rsidR="0041159E" w:rsidRPr="00C33FA2">
        <w:rPr>
          <w:rFonts w:ascii="Times New Roman" w:hAnsi="Times New Roman"/>
          <w:sz w:val="24"/>
          <w:szCs w:val="24"/>
        </w:rPr>
        <w:t>c</w:t>
      </w:r>
      <w:r w:rsidRPr="00C33FA2">
        <w:rPr>
          <w:rFonts w:ascii="Times New Roman" w:hAnsi="Times New Roman"/>
          <w:sz w:val="24"/>
          <w:szCs w:val="24"/>
        </w:rPr>
        <w:t>erto “mito de origem”</w:t>
      </w:r>
      <w:r w:rsidR="0041159E" w:rsidRPr="00C33FA2">
        <w:rPr>
          <w:rFonts w:ascii="Times New Roman" w:hAnsi="Times New Roman"/>
          <w:sz w:val="24"/>
          <w:szCs w:val="24"/>
        </w:rPr>
        <w:t xml:space="preserve"> dos anos 50,</w:t>
      </w:r>
      <w:r w:rsidRPr="00C33FA2">
        <w:rPr>
          <w:rFonts w:ascii="Times New Roman" w:hAnsi="Times New Roman"/>
          <w:sz w:val="24"/>
          <w:szCs w:val="24"/>
        </w:rPr>
        <w:t xml:space="preserve"> como </w:t>
      </w:r>
      <w:r w:rsidR="0041159E" w:rsidRPr="00C33FA2">
        <w:rPr>
          <w:rFonts w:ascii="Times New Roman" w:hAnsi="Times New Roman"/>
          <w:sz w:val="24"/>
          <w:szCs w:val="24"/>
        </w:rPr>
        <w:t xml:space="preserve">tradutor e condutor das promessas de impulsionamento do </w:t>
      </w:r>
      <w:r w:rsidRPr="00C33FA2">
        <w:rPr>
          <w:rFonts w:ascii="Times New Roman" w:hAnsi="Times New Roman"/>
          <w:sz w:val="24"/>
          <w:szCs w:val="24"/>
        </w:rPr>
        <w:t xml:space="preserve">desenvolvimento </w:t>
      </w:r>
      <w:r w:rsidR="0041159E" w:rsidRPr="00C33FA2">
        <w:rPr>
          <w:rFonts w:ascii="Times New Roman" w:hAnsi="Times New Roman"/>
          <w:sz w:val="24"/>
          <w:szCs w:val="24"/>
        </w:rPr>
        <w:t xml:space="preserve">econômico do país, apagando as referências aos processos de expropriação e de extração do sobretrabalho contemporâneas e, em alguma medida, colocado como </w:t>
      </w:r>
      <w:r w:rsidR="00454BAC" w:rsidRPr="00C33FA2">
        <w:rPr>
          <w:rFonts w:ascii="Times New Roman" w:hAnsi="Times New Roman"/>
          <w:sz w:val="24"/>
          <w:szCs w:val="24"/>
        </w:rPr>
        <w:t>o antípoda do capital monetário (propagado como “capital financeiro”), quando na verdade estão intimamente imbricados.</w:t>
      </w:r>
    </w:p>
    <w:p w:rsidR="00D077FD" w:rsidRDefault="00454BAC" w:rsidP="00454BAC">
      <w:pPr>
        <w:spacing w:after="0" w:line="360" w:lineRule="auto"/>
        <w:ind w:firstLine="708"/>
        <w:jc w:val="both"/>
        <w:rPr>
          <w:rFonts w:ascii="Times New Roman" w:hAnsi="Times New Roman"/>
          <w:sz w:val="24"/>
          <w:szCs w:val="24"/>
        </w:rPr>
      </w:pPr>
      <w:r w:rsidRPr="00C33FA2">
        <w:rPr>
          <w:rFonts w:ascii="Times New Roman" w:hAnsi="Times New Roman"/>
          <w:sz w:val="24"/>
          <w:szCs w:val="24"/>
        </w:rPr>
        <w:t>Sendo assim, o pensamento furtadiano foi mitificado e aparado em suas partes mais ácidas para apresentá-lo à burguesia como algo palatável, processo no qual o CDES foi instaurando-o como “mito de referência”, e que, pouco a pouco, foi apagando, reduzindo, ou amputando as partes mais inc</w:t>
      </w:r>
      <w:r w:rsidR="00E4389B" w:rsidRPr="00C33FA2">
        <w:rPr>
          <w:rFonts w:ascii="Times New Roman" w:hAnsi="Times New Roman"/>
          <w:sz w:val="24"/>
          <w:szCs w:val="24"/>
        </w:rPr>
        <w:t>ô</w:t>
      </w:r>
      <w:r w:rsidRPr="00C33FA2">
        <w:rPr>
          <w:rFonts w:ascii="Times New Roman" w:hAnsi="Times New Roman"/>
          <w:sz w:val="24"/>
          <w:szCs w:val="24"/>
        </w:rPr>
        <w:t>modas de seu pensamento.</w:t>
      </w:r>
    </w:p>
    <w:p w:rsidR="00454BAC" w:rsidRPr="00C33FA2" w:rsidRDefault="00E4389B" w:rsidP="00454BAC">
      <w:pPr>
        <w:spacing w:after="0" w:line="360" w:lineRule="auto"/>
        <w:ind w:firstLine="708"/>
        <w:jc w:val="both"/>
        <w:rPr>
          <w:rFonts w:ascii="Times New Roman" w:hAnsi="Times New Roman"/>
          <w:sz w:val="24"/>
          <w:szCs w:val="24"/>
        </w:rPr>
      </w:pPr>
      <w:r w:rsidRPr="00C33FA2">
        <w:rPr>
          <w:rFonts w:ascii="Times New Roman" w:hAnsi="Times New Roman"/>
          <w:sz w:val="24"/>
          <w:szCs w:val="24"/>
        </w:rPr>
        <w:t xml:space="preserve">Um dos mais importantes papéis do CDES era a promoção da primeira grande experiência social-liberal através do agenciamento entre setores da grande burguesia e um partido de extração sindical, no seio do aparato estatal. </w:t>
      </w:r>
      <w:r w:rsidR="00D077FD">
        <w:rPr>
          <w:rFonts w:ascii="Times New Roman" w:hAnsi="Times New Roman"/>
          <w:sz w:val="24"/>
          <w:szCs w:val="24"/>
        </w:rPr>
        <w:t>No</w:t>
      </w:r>
      <w:r w:rsidRPr="00C33FA2">
        <w:rPr>
          <w:rFonts w:ascii="Times New Roman" w:hAnsi="Times New Roman"/>
          <w:sz w:val="24"/>
          <w:szCs w:val="24"/>
        </w:rPr>
        <w:t xml:space="preserve"> desenho dessa arena</w:t>
      </w:r>
      <w:r w:rsidR="00D077FD">
        <w:rPr>
          <w:rFonts w:ascii="Times New Roman" w:hAnsi="Times New Roman"/>
          <w:sz w:val="24"/>
          <w:szCs w:val="24"/>
        </w:rPr>
        <w:t>,</w:t>
      </w:r>
      <w:r w:rsidRPr="00C33FA2">
        <w:rPr>
          <w:rFonts w:ascii="Times New Roman" w:hAnsi="Times New Roman"/>
          <w:sz w:val="24"/>
          <w:szCs w:val="24"/>
        </w:rPr>
        <w:t xml:space="preserve"> se refina, se rearranja, se reordena a hegemonia social-liberal (que já estava em curso) com o ingresso de um partido cuja trajetória vinha pela esquerda e que chegava ao governo recheado de expectativas pelos setores populares</w:t>
      </w:r>
      <w:r w:rsidR="001830A4" w:rsidRPr="00C33FA2">
        <w:rPr>
          <w:rFonts w:ascii="Times New Roman" w:hAnsi="Times New Roman"/>
          <w:sz w:val="24"/>
          <w:szCs w:val="24"/>
        </w:rPr>
        <w:t xml:space="preserve">. </w:t>
      </w:r>
      <w:r w:rsidR="00585057" w:rsidRPr="00C33FA2">
        <w:rPr>
          <w:rFonts w:ascii="Times New Roman" w:hAnsi="Times New Roman"/>
          <w:sz w:val="24"/>
          <w:szCs w:val="24"/>
        </w:rPr>
        <w:t xml:space="preserve">O recurso à amputação, reconfiguração e mitificação do pensamento de Celso Furtado, e à sua </w:t>
      </w:r>
      <w:r w:rsidR="002B77C5" w:rsidRPr="00C33FA2">
        <w:rPr>
          <w:rFonts w:ascii="Times New Roman" w:hAnsi="Times New Roman"/>
          <w:sz w:val="24"/>
          <w:szCs w:val="24"/>
        </w:rPr>
        <w:t xml:space="preserve">própria </w:t>
      </w:r>
      <w:r w:rsidR="00585057" w:rsidRPr="00C33FA2">
        <w:rPr>
          <w:rFonts w:ascii="Times New Roman" w:hAnsi="Times New Roman"/>
          <w:sz w:val="24"/>
          <w:szCs w:val="24"/>
        </w:rPr>
        <w:t xml:space="preserve">escolha, foi </w:t>
      </w:r>
      <w:r w:rsidR="002B77C5" w:rsidRPr="00C33FA2">
        <w:rPr>
          <w:rFonts w:ascii="Times New Roman" w:hAnsi="Times New Roman"/>
          <w:sz w:val="24"/>
          <w:szCs w:val="24"/>
        </w:rPr>
        <w:t xml:space="preserve">mais </w:t>
      </w:r>
      <w:r w:rsidR="00585057" w:rsidRPr="00C33FA2">
        <w:rPr>
          <w:rFonts w:ascii="Times New Roman" w:hAnsi="Times New Roman"/>
          <w:sz w:val="24"/>
          <w:szCs w:val="24"/>
        </w:rPr>
        <w:t xml:space="preserve">uma das provas cabais que o PT ofereceu à grande burguesia instalada no CDES de que </w:t>
      </w:r>
      <w:r w:rsidR="002B77C5" w:rsidRPr="00C33FA2">
        <w:rPr>
          <w:rFonts w:ascii="Times New Roman" w:hAnsi="Times New Roman"/>
          <w:sz w:val="24"/>
          <w:szCs w:val="24"/>
        </w:rPr>
        <w:t>se intentava fortalecer e ampliar uma coalizão de forças social-liberais como argamassa político-ideológica de sustentação para a expansão da acumulação capitalista.</w:t>
      </w:r>
    </w:p>
    <w:p w:rsidR="00CD6336" w:rsidRPr="00C33FA2" w:rsidRDefault="00CD6336" w:rsidP="00CD6336">
      <w:pPr>
        <w:spacing w:after="0" w:line="360" w:lineRule="auto"/>
        <w:ind w:firstLine="708"/>
        <w:jc w:val="both"/>
        <w:rPr>
          <w:rFonts w:ascii="Times New Roman" w:hAnsi="Times New Roman"/>
          <w:sz w:val="24"/>
          <w:szCs w:val="24"/>
        </w:rPr>
      </w:pPr>
    </w:p>
    <w:p w:rsidR="00303FA9" w:rsidRPr="003A69C2" w:rsidRDefault="003A69C2" w:rsidP="003A69C2">
      <w:pPr>
        <w:jc w:val="both"/>
        <w:rPr>
          <w:rFonts w:ascii="Times New Roman" w:hAnsi="Times New Roman"/>
          <w:b/>
          <w:sz w:val="24"/>
          <w:szCs w:val="24"/>
        </w:rPr>
      </w:pPr>
      <w:r>
        <w:rPr>
          <w:rFonts w:ascii="Times New Roman" w:hAnsi="Times New Roman"/>
          <w:b/>
          <w:sz w:val="24"/>
          <w:szCs w:val="24"/>
        </w:rPr>
        <w:t xml:space="preserve">3.4 </w:t>
      </w:r>
      <w:r w:rsidR="00303FA9" w:rsidRPr="003A69C2">
        <w:rPr>
          <w:rFonts w:ascii="Times New Roman" w:hAnsi="Times New Roman"/>
          <w:b/>
          <w:sz w:val="24"/>
          <w:szCs w:val="24"/>
        </w:rPr>
        <w:t>– O debate acerca da ampliação da composição do Conselho Monetário Nacional (CNM)</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A principal estratégia traçada pelos conselheiros para o relaxamento dos instrumentos de condução da política econômica consubstanciou-se na proposta de aumento do número de membros que compõe o Conselho Monetário Nacional (CMN).</w:t>
      </w:r>
    </w:p>
    <w:p w:rsidR="00303FA9" w:rsidRDefault="00303FA9" w:rsidP="00303FA9">
      <w:pPr>
        <w:spacing w:line="360" w:lineRule="auto"/>
        <w:ind w:firstLine="708"/>
        <w:jc w:val="both"/>
        <w:rPr>
          <w:rFonts w:ascii="Times New Roman" w:hAnsi="Times New Roman"/>
          <w:sz w:val="24"/>
          <w:szCs w:val="24"/>
        </w:rPr>
      </w:pPr>
      <w:r>
        <w:rPr>
          <w:rFonts w:ascii="Times New Roman" w:hAnsi="Times New Roman"/>
          <w:sz w:val="24"/>
          <w:szCs w:val="24"/>
        </w:rPr>
        <w:t xml:space="preserve"> No âmbito do CDES, a proposta foi levantada de forma pioneira na já referida e conturbada 10ª Reunião Plenária, em 10 de novembro de 2004, pela conselheira Sonia Fleury  que, em parceria com seu suplente, o professor José Cezar Castanhar, ambos da FGV, escreveu um texto de intervenção para conselheiros e ministros, abrindo o debate. A proposta original era o de incluir o Comitê de Política Monetária (COPOM), além do CMN, no debate acerca do “processo de governança da área macroeconômica”.</w:t>
      </w:r>
      <w:r>
        <w:rPr>
          <w:rStyle w:val="Refdenotaderodap"/>
          <w:rFonts w:ascii="Times New Roman" w:hAnsi="Times New Roman"/>
          <w:sz w:val="24"/>
          <w:szCs w:val="24"/>
        </w:rPr>
        <w:footnoteReference w:id="447"/>
      </w:r>
      <w:r>
        <w:rPr>
          <w:rFonts w:ascii="Times New Roman" w:hAnsi="Times New Roman"/>
          <w:sz w:val="24"/>
          <w:szCs w:val="24"/>
        </w:rPr>
        <w:t xml:space="preserve"> Os argumentos sustentados pela conselheira eram os de que não se conheciam os critérios e mecanismos adotados (estudos, prestação de contas etc) no processo de deliberação destas instâncias em relação, principalmente, às metas de inflação, além de apresentar uma composição “extremamente homogênea: não diversificada e não representativa dos diferentes setores produtivos da sociedade”, em comparação “com outros países desenvolvidos e de tradição democrática muito mais consolidada”, arrematando que </w:t>
      </w:r>
    </w:p>
    <w:p w:rsidR="00303FA9" w:rsidRPr="005525DD" w:rsidRDefault="00303FA9" w:rsidP="00303FA9">
      <w:pPr>
        <w:spacing w:after="0" w:line="240" w:lineRule="auto"/>
        <w:ind w:left="2268"/>
        <w:jc w:val="both"/>
        <w:rPr>
          <w:rFonts w:ascii="Times New Roman" w:hAnsi="Times New Roman"/>
          <w:sz w:val="20"/>
          <w:szCs w:val="20"/>
        </w:rPr>
      </w:pPr>
      <w:r>
        <w:rPr>
          <w:rFonts w:ascii="Times New Roman" w:hAnsi="Times New Roman"/>
          <w:sz w:val="20"/>
          <w:szCs w:val="20"/>
        </w:rPr>
        <w:t xml:space="preserve">(...) </w:t>
      </w:r>
      <w:r w:rsidRPr="005525DD">
        <w:rPr>
          <w:rFonts w:ascii="Times New Roman" w:hAnsi="Times New Roman"/>
          <w:sz w:val="20"/>
          <w:szCs w:val="20"/>
        </w:rPr>
        <w:t>isso é um resquício de um autoritarismo, que pensa que são decisões técnicas e que incluir a sociedade no processo seria politizar e desestabilizar quando, na verdade, a sociedade está pagando o preço político dessas decisões ditas técnicas, mas que podem levar a conseq</w:t>
      </w:r>
      <w:r w:rsidR="005913F9">
        <w:rPr>
          <w:rFonts w:ascii="Times New Roman" w:hAnsi="Times New Roman"/>
          <w:sz w:val="20"/>
          <w:szCs w:val="20"/>
        </w:rPr>
        <w:t>u</w:t>
      </w:r>
      <w:r w:rsidRPr="005525DD">
        <w:rPr>
          <w:rFonts w:ascii="Times New Roman" w:hAnsi="Times New Roman"/>
          <w:sz w:val="20"/>
          <w:szCs w:val="20"/>
        </w:rPr>
        <w:t xml:space="preserve">ências políticas, </w:t>
      </w:r>
      <w:r w:rsidRPr="0019780F">
        <w:rPr>
          <w:rFonts w:ascii="Times New Roman" w:hAnsi="Times New Roman"/>
          <w:sz w:val="20"/>
          <w:szCs w:val="20"/>
        </w:rPr>
        <w:t>inclusive de inviabilizar os pactos sociais que sustentam esse Governo.</w:t>
      </w:r>
      <w:r w:rsidRPr="005525DD">
        <w:rPr>
          <w:rFonts w:ascii="Times New Roman" w:hAnsi="Times New Roman"/>
          <w:sz w:val="20"/>
          <w:szCs w:val="20"/>
        </w:rPr>
        <w:t xml:space="preserve"> Nesse sentido, temos uma proposta clara que para sair disso é necessário alterar a composição do Copom e alterar a composição </w:t>
      </w:r>
      <w:r>
        <w:rPr>
          <w:rFonts w:ascii="Times New Roman" w:hAnsi="Times New Roman"/>
          <w:sz w:val="20"/>
          <w:szCs w:val="20"/>
        </w:rPr>
        <w:t>d</w:t>
      </w:r>
      <w:r w:rsidRPr="005525DD">
        <w:rPr>
          <w:rFonts w:ascii="Times New Roman" w:hAnsi="Times New Roman"/>
          <w:sz w:val="20"/>
          <w:szCs w:val="20"/>
        </w:rPr>
        <w:t>o Conselho Monetário Nacional para dar possibilidade que outros interesses, ministros dos setores produtivos, ministros dos setores sociais e a própria sociedade possam ali negociar metas que incluam, não só a estabilização, mas também o desenvolvimento, o emprego e a inserção social (</w:t>
      </w:r>
      <w:r>
        <w:rPr>
          <w:rFonts w:ascii="Times New Roman" w:hAnsi="Times New Roman"/>
          <w:sz w:val="20"/>
          <w:szCs w:val="20"/>
        </w:rPr>
        <w:t xml:space="preserve">Conselheira Sonia Fleury, </w:t>
      </w:r>
      <w:r w:rsidRPr="005525DD">
        <w:rPr>
          <w:rFonts w:ascii="Times New Roman" w:hAnsi="Times New Roman"/>
          <w:sz w:val="20"/>
          <w:szCs w:val="20"/>
        </w:rPr>
        <w:t>ATA</w:t>
      </w:r>
      <w:r>
        <w:rPr>
          <w:rFonts w:ascii="Times New Roman" w:hAnsi="Times New Roman"/>
          <w:sz w:val="20"/>
          <w:szCs w:val="20"/>
        </w:rPr>
        <w:t xml:space="preserve"> da 10ª Reunião Plenária</w:t>
      </w:r>
      <w:r w:rsidRPr="005525DD">
        <w:rPr>
          <w:rFonts w:ascii="Times New Roman" w:hAnsi="Times New Roman"/>
          <w:sz w:val="20"/>
          <w:szCs w:val="20"/>
        </w:rPr>
        <w:t>, p. 34-35).</w:t>
      </w:r>
    </w:p>
    <w:p w:rsidR="00303FA9" w:rsidRDefault="00303FA9" w:rsidP="00303FA9">
      <w:pPr>
        <w:spacing w:after="0" w:line="360" w:lineRule="auto"/>
        <w:ind w:firstLine="708"/>
        <w:jc w:val="both"/>
        <w:rPr>
          <w:rFonts w:ascii="Times New Roman" w:hAnsi="Times New Roman"/>
          <w:sz w:val="24"/>
          <w:szCs w:val="24"/>
        </w:rPr>
      </w:pPr>
    </w:p>
    <w:p w:rsidR="00303FA9" w:rsidRPr="002D5616" w:rsidRDefault="00303FA9" w:rsidP="00303FA9">
      <w:pPr>
        <w:spacing w:after="0" w:line="360" w:lineRule="auto"/>
        <w:ind w:firstLine="708"/>
        <w:jc w:val="both"/>
        <w:rPr>
          <w:rFonts w:ascii="Times New Roman" w:hAnsi="Times New Roman"/>
          <w:b/>
          <w:sz w:val="24"/>
          <w:szCs w:val="24"/>
        </w:rPr>
      </w:pPr>
      <w:r>
        <w:rPr>
          <w:rFonts w:ascii="Times New Roman" w:hAnsi="Times New Roman"/>
          <w:sz w:val="24"/>
          <w:szCs w:val="24"/>
        </w:rPr>
        <w:t xml:space="preserve">Nos momentos em que este tema era retomado nas reuniões plenárias, as premissas expressas nos argumentos de Fleury sempre emergiam nas falas de outros conselheiros, nuançadas e acrescentadas por ponderações ético-políticas de cunho social-liberal, ou seja, que pretendiam imprimir nas pautas e resoluções das instâncias decisórias da assim chamada “área econômica” mudanças que objetivavam: i) apresentar-se como “democratizantes”, posto que ampliariam a base de inserção de interesses “da sociedade” e do “setor produtivo” no núcleo duro de formulação da política econômica estatal; ii) revelar-se como “transparentes” na medida em que novos atores sociais, por não pertencerem à burocracia tecnicista, poderiam abrir a assim denominada “caixa preta” das decisões de política econômica e contribuir para sua melhor eficácia; iii) credenciar-se como portadores e tradutores de uma “nova governança macroeconômica”, em si benévola, não apenas porque comportava os pontos i e ii acima, mas também porque buscava direcioná-la rumo ao “desenvolvimento”, isto é, como resultado da estratégia inadiável de “destravamento” – para usar a expressão ao gosto de Lula da Silva </w:t>
      </w:r>
      <w:r w:rsidR="00095250">
        <w:rPr>
          <w:rFonts w:ascii="Times New Roman" w:hAnsi="Times New Roman"/>
          <w:sz w:val="24"/>
          <w:szCs w:val="24"/>
        </w:rPr>
        <w:t>–</w:t>
      </w:r>
      <w:r>
        <w:rPr>
          <w:rFonts w:ascii="Times New Roman" w:hAnsi="Times New Roman"/>
          <w:sz w:val="24"/>
          <w:szCs w:val="24"/>
        </w:rPr>
        <w:t xml:space="preserve"> dos instrumentos e mecanismos que impulsionassem, por assim dizer, a “banda boa” de largos setores da economia capitalista (os que compunham a “autoridade produtiva” no dizer de Paulo Skaf), cujos porta-vozes </w:t>
      </w:r>
      <w:r>
        <w:rPr>
          <w:rFonts w:ascii="Times New Roman" w:hAnsi="Times New Roman"/>
          <w:i/>
          <w:sz w:val="24"/>
          <w:szCs w:val="24"/>
        </w:rPr>
        <w:t>apareciam</w:t>
      </w:r>
      <w:r>
        <w:rPr>
          <w:rFonts w:ascii="Times New Roman" w:hAnsi="Times New Roman"/>
          <w:sz w:val="24"/>
          <w:szCs w:val="24"/>
        </w:rPr>
        <w:t xml:space="preserve">, no plano discursivo,apartados ou distanciados do setor </w:t>
      </w:r>
      <w:r w:rsidR="00F45E52">
        <w:rPr>
          <w:rFonts w:ascii="Times New Roman" w:hAnsi="Times New Roman"/>
          <w:sz w:val="24"/>
          <w:szCs w:val="24"/>
        </w:rPr>
        <w:t>bancário-</w:t>
      </w:r>
      <w:r>
        <w:rPr>
          <w:rFonts w:ascii="Times New Roman" w:hAnsi="Times New Roman"/>
          <w:sz w:val="24"/>
          <w:szCs w:val="24"/>
        </w:rPr>
        <w:t xml:space="preserve">financeiro da economia. </w:t>
      </w:r>
    </w:p>
    <w:p w:rsidR="00303FA9" w:rsidRPr="00E97F94" w:rsidRDefault="00303FA9" w:rsidP="00303FA9">
      <w:pPr>
        <w:spacing w:line="360" w:lineRule="auto"/>
        <w:ind w:firstLine="708"/>
        <w:jc w:val="both"/>
        <w:rPr>
          <w:rFonts w:ascii="Times New Roman" w:hAnsi="Times New Roman"/>
          <w:sz w:val="24"/>
          <w:szCs w:val="24"/>
        </w:rPr>
      </w:pPr>
      <w:r w:rsidRPr="00E97F94">
        <w:rPr>
          <w:rFonts w:ascii="Times New Roman" w:hAnsi="Times New Roman"/>
          <w:sz w:val="24"/>
          <w:szCs w:val="24"/>
        </w:rPr>
        <w:t xml:space="preserve">Na mesma reunião de novembro de 2004, o conselheiro Rodrigo Rocha Loures (à época presidente da Federação das Indústrias do Estado do Paraná – FIEP </w:t>
      </w:r>
      <w:r w:rsidR="00095250">
        <w:rPr>
          <w:rFonts w:ascii="Times New Roman" w:hAnsi="Times New Roman"/>
          <w:sz w:val="24"/>
          <w:szCs w:val="24"/>
        </w:rPr>
        <w:t>–</w:t>
      </w:r>
      <w:r w:rsidRPr="00E97F94">
        <w:rPr>
          <w:rFonts w:ascii="Times New Roman" w:hAnsi="Times New Roman"/>
          <w:sz w:val="24"/>
          <w:szCs w:val="24"/>
        </w:rPr>
        <w:t xml:space="preserve"> e atual vice-presidente da CNI, além de atuar como </w:t>
      </w:r>
      <w:r w:rsidRPr="00E97F94">
        <w:rPr>
          <w:rFonts w:ascii="Times New Roman" w:hAnsi="Times New Roman"/>
          <w:color w:val="000000"/>
          <w:sz w:val="24"/>
          <w:szCs w:val="24"/>
        </w:rPr>
        <w:t xml:space="preserve">Presidente Conselho Superior de Inovação e Competitividade (CONIC) da </w:t>
      </w:r>
      <w:r w:rsidR="000834BC">
        <w:rPr>
          <w:rFonts w:ascii="Times New Roman" w:hAnsi="Times New Roman"/>
          <w:color w:val="000000"/>
          <w:sz w:val="24"/>
          <w:szCs w:val="24"/>
        </w:rPr>
        <w:t>FIESP</w:t>
      </w:r>
      <w:r w:rsidRPr="00E97F94">
        <w:rPr>
          <w:rFonts w:ascii="Times New Roman" w:hAnsi="Times New Roman"/>
          <w:sz w:val="24"/>
          <w:szCs w:val="24"/>
        </w:rPr>
        <w:t>)</w:t>
      </w:r>
      <w:r>
        <w:rPr>
          <w:rStyle w:val="Refdenotaderodap"/>
          <w:rFonts w:ascii="Times New Roman" w:hAnsi="Times New Roman"/>
          <w:sz w:val="24"/>
          <w:szCs w:val="24"/>
        </w:rPr>
        <w:footnoteReference w:id="448"/>
      </w:r>
      <w:r w:rsidRPr="00E97F94">
        <w:rPr>
          <w:rFonts w:ascii="Times New Roman" w:hAnsi="Times New Roman"/>
          <w:sz w:val="24"/>
          <w:szCs w:val="24"/>
        </w:rPr>
        <w:t xml:space="preserve"> apelava para a “cooperação entre todos os atores da sociedade” e a necessária “abertura do diálogo”, convocando, para tanto, representantes do setor bancário</w:t>
      </w:r>
      <w:r w:rsidR="003B4C01">
        <w:rPr>
          <w:rFonts w:ascii="Times New Roman" w:hAnsi="Times New Roman"/>
          <w:sz w:val="24"/>
          <w:szCs w:val="24"/>
        </w:rPr>
        <w:t>-financeiro</w:t>
      </w:r>
      <w:r w:rsidRPr="00E97F94">
        <w:rPr>
          <w:rFonts w:ascii="Times New Roman" w:hAnsi="Times New Roman"/>
          <w:sz w:val="24"/>
          <w:szCs w:val="24"/>
        </w:rPr>
        <w:t xml:space="preserve"> a refletirem sobre a “proposta séria” que estava em jogo:</w:t>
      </w:r>
    </w:p>
    <w:p w:rsidR="00303FA9" w:rsidRDefault="00303FA9" w:rsidP="00303FA9">
      <w:pPr>
        <w:spacing w:line="240" w:lineRule="auto"/>
        <w:ind w:left="2268"/>
        <w:jc w:val="both"/>
        <w:rPr>
          <w:rFonts w:ascii="Times New Roman" w:hAnsi="Times New Roman"/>
          <w:sz w:val="20"/>
          <w:szCs w:val="20"/>
        </w:rPr>
      </w:pPr>
      <w:r>
        <w:rPr>
          <w:rFonts w:ascii="Times New Roman" w:hAnsi="Times New Roman"/>
          <w:sz w:val="20"/>
          <w:szCs w:val="20"/>
        </w:rPr>
        <w:t xml:space="preserve">E nesse sentido vejo, </w:t>
      </w:r>
      <w:r w:rsidRPr="00E44B07">
        <w:rPr>
          <w:rFonts w:ascii="Times New Roman" w:hAnsi="Times New Roman"/>
          <w:sz w:val="20"/>
          <w:szCs w:val="20"/>
        </w:rPr>
        <w:t xml:space="preserve">Márcio [Cypriano, presidente do Bradesco], Gabriel [Ferreira, </w:t>
      </w:r>
      <w:r w:rsidRPr="00E44B07">
        <w:rPr>
          <w:rFonts w:ascii="Times New Roman" w:hAnsi="Times New Roman"/>
          <w:i/>
          <w:sz w:val="20"/>
          <w:szCs w:val="20"/>
        </w:rPr>
        <w:t xml:space="preserve">CEO </w:t>
      </w:r>
      <w:r w:rsidRPr="00E44B07">
        <w:rPr>
          <w:rFonts w:ascii="Times New Roman" w:hAnsi="Times New Roman"/>
          <w:sz w:val="20"/>
          <w:szCs w:val="20"/>
        </w:rPr>
        <w:t xml:space="preserve">do Unibanco], que talvez esteja na hora do setor produtivo se sentar com o setor financeiro e com as representações trabalhistas para iniciarmos uma reflexão sobre a proposta que veio do João Felício, veio do Paulo Skaf de incorporar o setor produtivo no Conselho Monetário Nacional, de sorte que para a definição da política econômica sejam ouvidas todas as vozes do País.  </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Ainda nesta ocasião, o referido conselheiro havia entregue aos demais presentes o documento “Contribuições da FIEP para a Política Econômica Brasileira”,</w:t>
      </w:r>
      <w:r>
        <w:rPr>
          <w:rStyle w:val="Refdenotaderodap"/>
          <w:rFonts w:ascii="Times New Roman" w:hAnsi="Times New Roman"/>
          <w:sz w:val="24"/>
          <w:szCs w:val="24"/>
        </w:rPr>
        <w:footnoteReference w:id="449"/>
      </w:r>
      <w:r>
        <w:rPr>
          <w:rFonts w:ascii="Times New Roman" w:hAnsi="Times New Roman"/>
          <w:sz w:val="24"/>
          <w:szCs w:val="24"/>
        </w:rPr>
        <w:t xml:space="preserve"> cujo  conteúdo baseava-se em trabalho de professores da UFPR intitulado </w:t>
      </w:r>
      <w:r w:rsidRPr="00EB3C71">
        <w:rPr>
          <w:rFonts w:ascii="Times New Roman" w:hAnsi="Times New Roman"/>
          <w:sz w:val="24"/>
          <w:szCs w:val="24"/>
        </w:rPr>
        <w:t>“Desenvolvimento Sustentado e Intermediação Financeira: o nexo esquecido</w:t>
      </w:r>
      <w:r>
        <w:rPr>
          <w:rFonts w:ascii="Times New Roman" w:hAnsi="Times New Roman"/>
          <w:sz w:val="24"/>
          <w:szCs w:val="24"/>
        </w:rPr>
        <w:t>”.</w:t>
      </w:r>
      <w:r w:rsidRPr="00EB3C71">
        <w:rPr>
          <w:rStyle w:val="Refdenotaderodap"/>
          <w:rFonts w:ascii="Times New Roman" w:hAnsi="Times New Roman"/>
          <w:sz w:val="24"/>
          <w:szCs w:val="24"/>
        </w:rPr>
        <w:footnoteReference w:id="450"/>
      </w:r>
      <w:r>
        <w:rPr>
          <w:rFonts w:ascii="Times New Roman" w:hAnsi="Times New Roman"/>
          <w:sz w:val="24"/>
          <w:szCs w:val="24"/>
        </w:rPr>
        <w:t xml:space="preserve">Não conseguimos ter acesso a este último </w:t>
      </w:r>
      <w:r w:rsidRPr="00EB3C71">
        <w:rPr>
          <w:rFonts w:ascii="Times New Roman" w:hAnsi="Times New Roman"/>
          <w:sz w:val="24"/>
          <w:szCs w:val="24"/>
        </w:rPr>
        <w:t>documento, mas informações retiradas do site da FIEP</w:t>
      </w:r>
      <w:r>
        <w:rPr>
          <w:rStyle w:val="Refdenotaderodap"/>
          <w:rFonts w:ascii="Times New Roman" w:hAnsi="Times New Roman"/>
          <w:sz w:val="24"/>
          <w:szCs w:val="24"/>
        </w:rPr>
        <w:footnoteReference w:id="451"/>
      </w:r>
      <w:r w:rsidRPr="00EB3C71">
        <w:rPr>
          <w:rFonts w:ascii="Times New Roman" w:hAnsi="Times New Roman"/>
          <w:sz w:val="24"/>
          <w:szCs w:val="24"/>
        </w:rPr>
        <w:t xml:space="preserve">  elencam as medidas sugeridas “para tornar efetiva a contribuição do sistema financeiro para o desenvolvimento do país”, </w:t>
      </w:r>
      <w:r w:rsidRPr="00CB38D8">
        <w:rPr>
          <w:rFonts w:ascii="Times New Roman" w:hAnsi="Times New Roman"/>
          <w:i/>
          <w:sz w:val="24"/>
          <w:szCs w:val="24"/>
        </w:rPr>
        <w:t>exatamente as mesmas divulgadas pelo conselheiro Rodrigo Loures</w:t>
      </w:r>
      <w:r w:rsidRPr="00EB3C71">
        <w:rPr>
          <w:rFonts w:ascii="Times New Roman" w:hAnsi="Times New Roman"/>
          <w:sz w:val="24"/>
          <w:szCs w:val="24"/>
        </w:rPr>
        <w:t xml:space="preserve"> no </w:t>
      </w:r>
      <w:r>
        <w:rPr>
          <w:rFonts w:ascii="Times New Roman" w:hAnsi="Times New Roman"/>
          <w:sz w:val="24"/>
          <w:szCs w:val="24"/>
        </w:rPr>
        <w:t xml:space="preserve">condensado </w:t>
      </w:r>
      <w:r w:rsidRPr="00EB3C71">
        <w:rPr>
          <w:rFonts w:ascii="Times New Roman" w:hAnsi="Times New Roman"/>
          <w:sz w:val="24"/>
          <w:szCs w:val="24"/>
        </w:rPr>
        <w:t xml:space="preserve">documento encaminhado ao CDES: </w:t>
      </w:r>
      <w:r>
        <w:rPr>
          <w:rFonts w:ascii="Times New Roman" w:hAnsi="Times New Roman"/>
          <w:sz w:val="24"/>
          <w:szCs w:val="24"/>
        </w:rPr>
        <w:t xml:space="preserve">i) </w:t>
      </w:r>
      <w:r w:rsidRPr="00EB3C71">
        <w:rPr>
          <w:rFonts w:ascii="Times New Roman" w:hAnsi="Times New Roman"/>
          <w:sz w:val="24"/>
          <w:szCs w:val="24"/>
        </w:rPr>
        <w:t xml:space="preserve">adoção de uma política monetária pró-desenvolvimento; </w:t>
      </w:r>
      <w:r>
        <w:rPr>
          <w:rFonts w:ascii="Times New Roman" w:hAnsi="Times New Roman"/>
          <w:sz w:val="24"/>
          <w:szCs w:val="24"/>
        </w:rPr>
        <w:t xml:space="preserve">ii) </w:t>
      </w:r>
      <w:r w:rsidRPr="00EB3C71">
        <w:rPr>
          <w:rFonts w:ascii="Times New Roman" w:hAnsi="Times New Roman"/>
          <w:sz w:val="24"/>
          <w:szCs w:val="24"/>
        </w:rPr>
        <w:t xml:space="preserve">sintonizar a política monetária com a política econômica; </w:t>
      </w:r>
      <w:r>
        <w:rPr>
          <w:rFonts w:ascii="Times New Roman" w:hAnsi="Times New Roman"/>
          <w:sz w:val="24"/>
          <w:szCs w:val="24"/>
        </w:rPr>
        <w:t xml:space="preserve">iii) </w:t>
      </w:r>
      <w:r w:rsidRPr="00EB3C71">
        <w:rPr>
          <w:rFonts w:ascii="Times New Roman" w:hAnsi="Times New Roman"/>
          <w:sz w:val="24"/>
          <w:szCs w:val="24"/>
        </w:rPr>
        <w:t xml:space="preserve">implantar um sistema baseado no “núcleo da inflação”; </w:t>
      </w:r>
      <w:r>
        <w:rPr>
          <w:rFonts w:ascii="Times New Roman" w:hAnsi="Times New Roman"/>
          <w:sz w:val="24"/>
          <w:szCs w:val="24"/>
        </w:rPr>
        <w:t xml:space="preserve">iv) </w:t>
      </w:r>
      <w:r w:rsidRPr="00EB3C71">
        <w:rPr>
          <w:rFonts w:ascii="Times New Roman" w:hAnsi="Times New Roman"/>
          <w:sz w:val="24"/>
          <w:szCs w:val="24"/>
        </w:rPr>
        <w:t xml:space="preserve">ampliar o Conselho Monetário Nacional; </w:t>
      </w:r>
      <w:r>
        <w:rPr>
          <w:rFonts w:ascii="Times New Roman" w:hAnsi="Times New Roman"/>
          <w:sz w:val="24"/>
          <w:szCs w:val="24"/>
        </w:rPr>
        <w:t xml:space="preserve">v) </w:t>
      </w:r>
      <w:r w:rsidRPr="00EB3C71">
        <w:rPr>
          <w:rFonts w:ascii="Times New Roman" w:hAnsi="Times New Roman"/>
          <w:sz w:val="24"/>
          <w:szCs w:val="24"/>
        </w:rPr>
        <w:t xml:space="preserve">criar o Conselho Econômico da Presidência; </w:t>
      </w:r>
      <w:r>
        <w:rPr>
          <w:rFonts w:ascii="Times New Roman" w:hAnsi="Times New Roman"/>
          <w:sz w:val="24"/>
          <w:szCs w:val="24"/>
        </w:rPr>
        <w:t xml:space="preserve">vi) </w:t>
      </w:r>
      <w:r w:rsidRPr="00EB3C71">
        <w:rPr>
          <w:rFonts w:ascii="Times New Roman" w:hAnsi="Times New Roman"/>
          <w:sz w:val="24"/>
          <w:szCs w:val="24"/>
        </w:rPr>
        <w:t xml:space="preserve">estabelecer quarentena aos membros do Copom; </w:t>
      </w:r>
      <w:r>
        <w:rPr>
          <w:rFonts w:ascii="Times New Roman" w:hAnsi="Times New Roman"/>
          <w:sz w:val="24"/>
          <w:szCs w:val="24"/>
        </w:rPr>
        <w:t xml:space="preserve">vii) </w:t>
      </w:r>
      <w:r w:rsidRPr="00EB3C71">
        <w:rPr>
          <w:rFonts w:ascii="Times New Roman" w:hAnsi="Times New Roman"/>
          <w:sz w:val="24"/>
          <w:szCs w:val="24"/>
        </w:rPr>
        <w:t xml:space="preserve">e estabelecer a autonomia do Banco Central. </w:t>
      </w:r>
    </w:p>
    <w:p w:rsidR="00303FA9" w:rsidRDefault="00303FA9" w:rsidP="00303FA9">
      <w:pPr>
        <w:shd w:val="clear" w:color="auto" w:fill="FFFFFF"/>
        <w:spacing w:after="0" w:line="360" w:lineRule="auto"/>
        <w:ind w:firstLine="708"/>
        <w:jc w:val="both"/>
        <w:rPr>
          <w:rFonts w:ascii="Times New Roman" w:hAnsi="Times New Roman"/>
          <w:sz w:val="24"/>
          <w:szCs w:val="24"/>
        </w:rPr>
      </w:pPr>
      <w:r>
        <w:rPr>
          <w:rFonts w:ascii="Times New Roman" w:hAnsi="Times New Roman"/>
          <w:sz w:val="24"/>
          <w:szCs w:val="24"/>
        </w:rPr>
        <w:t xml:space="preserve">Seis meses depois, todas as </w:t>
      </w:r>
      <w:r w:rsidRPr="00EB3C71">
        <w:rPr>
          <w:rFonts w:ascii="Times New Roman" w:hAnsi="Times New Roman"/>
          <w:sz w:val="24"/>
          <w:szCs w:val="24"/>
        </w:rPr>
        <w:t xml:space="preserve">proposições </w:t>
      </w:r>
      <w:r>
        <w:rPr>
          <w:rFonts w:ascii="Times New Roman" w:hAnsi="Times New Roman"/>
          <w:sz w:val="24"/>
          <w:szCs w:val="24"/>
        </w:rPr>
        <w:t xml:space="preserve">acima </w:t>
      </w:r>
      <w:r w:rsidRPr="00EB3C71">
        <w:rPr>
          <w:rFonts w:ascii="Times New Roman" w:hAnsi="Times New Roman"/>
          <w:sz w:val="24"/>
          <w:szCs w:val="24"/>
        </w:rPr>
        <w:t xml:space="preserve">também </w:t>
      </w:r>
      <w:r>
        <w:rPr>
          <w:rFonts w:ascii="Times New Roman" w:hAnsi="Times New Roman"/>
          <w:sz w:val="24"/>
          <w:szCs w:val="24"/>
        </w:rPr>
        <w:t xml:space="preserve">foram ratificadas e requeridas pelo IEDI, conforme consta na Carta IEDI 156 “Política Monetária Pró-Desenvolvimento: Contribuições da FIEP”, divulgada em 20 de maio de 2005. A única exceção foi a discussão acerca da autonomia do Banco Central, considerado </w:t>
      </w:r>
      <w:r w:rsidRPr="00F10AFF">
        <w:rPr>
          <w:rFonts w:ascii="Times New Roman" w:hAnsi="Times New Roman"/>
          <w:sz w:val="24"/>
          <w:szCs w:val="24"/>
        </w:rPr>
        <w:t>“</w:t>
      </w:r>
      <w:r w:rsidRPr="00F10AFF">
        <w:rPr>
          <w:rFonts w:ascii="Times New Roman" w:hAnsi="Times New Roman"/>
          <w:color w:val="000000"/>
          <w:sz w:val="24"/>
          <w:szCs w:val="24"/>
        </w:rPr>
        <w:t xml:space="preserve">tema muito complexo e de muita controvérsia entre os empresários </w:t>
      </w:r>
      <w:r>
        <w:rPr>
          <w:rFonts w:ascii="Times New Roman" w:hAnsi="Times New Roman"/>
          <w:color w:val="000000"/>
          <w:sz w:val="24"/>
          <w:szCs w:val="24"/>
        </w:rPr>
        <w:t>(...)”.</w:t>
      </w:r>
      <w:r>
        <w:rPr>
          <w:rStyle w:val="Refdenotaderodap"/>
          <w:rFonts w:ascii="Times New Roman" w:hAnsi="Times New Roman"/>
          <w:color w:val="000000"/>
          <w:sz w:val="24"/>
          <w:szCs w:val="24"/>
        </w:rPr>
        <w:footnoteReference w:id="452"/>
      </w:r>
      <w:r>
        <w:rPr>
          <w:rFonts w:ascii="Times New Roman" w:hAnsi="Times New Roman"/>
          <w:sz w:val="24"/>
          <w:szCs w:val="24"/>
        </w:rPr>
        <w:t xml:space="preserve">Além delas, consideradas como </w:t>
      </w:r>
      <w:r w:rsidRPr="00226EC9">
        <w:rPr>
          <w:rFonts w:ascii="Times New Roman" w:hAnsi="Times New Roman"/>
          <w:sz w:val="24"/>
          <w:szCs w:val="24"/>
        </w:rPr>
        <w:t>“</w:t>
      </w:r>
      <w:r w:rsidRPr="00226EC9">
        <w:rPr>
          <w:rFonts w:ascii="Times New Roman" w:hAnsi="Times New Roman"/>
          <w:color w:val="000000"/>
          <w:sz w:val="24"/>
          <w:szCs w:val="24"/>
        </w:rPr>
        <w:t>sugestões de modernização da estrutura de governança da política monetária</w:t>
      </w:r>
      <w:r>
        <w:rPr>
          <w:rFonts w:ascii="Times New Roman" w:hAnsi="Times New Roman"/>
          <w:color w:val="000000"/>
          <w:sz w:val="24"/>
          <w:szCs w:val="24"/>
        </w:rPr>
        <w:t>”, a</w:t>
      </w:r>
      <w:r>
        <w:rPr>
          <w:rFonts w:ascii="Times New Roman" w:hAnsi="Times New Roman"/>
          <w:sz w:val="24"/>
          <w:szCs w:val="24"/>
        </w:rPr>
        <w:t xml:space="preserve"> Carta 156 também encampava as “Proposições Adicionais” constantes no anexo do documento da FIEP, tidas </w:t>
      </w:r>
      <w:r w:rsidRPr="00226EC9">
        <w:rPr>
          <w:rFonts w:ascii="Times New Roman" w:hAnsi="Times New Roman"/>
          <w:sz w:val="24"/>
          <w:szCs w:val="24"/>
        </w:rPr>
        <w:t>como “</w:t>
      </w:r>
      <w:r w:rsidRPr="00226EC9">
        <w:rPr>
          <w:rFonts w:ascii="Times New Roman" w:hAnsi="Times New Roman"/>
          <w:color w:val="000000"/>
          <w:sz w:val="24"/>
          <w:szCs w:val="24"/>
        </w:rPr>
        <w:t>propostas de alteração da política econômica que cabe ressaltar dada sua estreita relação com os objetivos de alcançar o desenvolvimento sustentado da economia brasileira”</w:t>
      </w:r>
      <w:r w:rsidRPr="00226EC9">
        <w:rPr>
          <w:rFonts w:ascii="Times New Roman" w:hAnsi="Times New Roman"/>
          <w:sz w:val="24"/>
          <w:szCs w:val="24"/>
        </w:rPr>
        <w:t xml:space="preserve">: </w:t>
      </w:r>
      <w:r>
        <w:rPr>
          <w:rFonts w:ascii="Times New Roman" w:hAnsi="Times New Roman"/>
          <w:sz w:val="24"/>
          <w:szCs w:val="24"/>
        </w:rPr>
        <w:t xml:space="preserve">a) redução do </w:t>
      </w:r>
      <w:r>
        <w:rPr>
          <w:rFonts w:ascii="Times New Roman" w:hAnsi="Times New Roman"/>
          <w:i/>
          <w:sz w:val="24"/>
          <w:szCs w:val="24"/>
        </w:rPr>
        <w:t xml:space="preserve">spread </w:t>
      </w:r>
      <w:r>
        <w:rPr>
          <w:rFonts w:ascii="Times New Roman" w:hAnsi="Times New Roman"/>
          <w:sz w:val="24"/>
          <w:szCs w:val="24"/>
        </w:rPr>
        <w:t xml:space="preserve">bancário; b) completar o processo de total desindexação da economia e c) redução da vulnerabilidade externa da economia brasileira. </w:t>
      </w:r>
    </w:p>
    <w:p w:rsidR="00303FA9" w:rsidRPr="002A2FB3" w:rsidRDefault="00303FA9" w:rsidP="00303FA9">
      <w:pPr>
        <w:shd w:val="clear" w:color="auto" w:fill="FFFFFF"/>
        <w:spacing w:after="0" w:line="360" w:lineRule="auto"/>
        <w:ind w:firstLine="708"/>
        <w:jc w:val="both"/>
        <w:rPr>
          <w:rFonts w:ascii="Times New Roman" w:hAnsi="Times New Roman"/>
          <w:sz w:val="24"/>
          <w:szCs w:val="24"/>
        </w:rPr>
      </w:pPr>
      <w:r>
        <w:rPr>
          <w:rFonts w:ascii="Times New Roman" w:hAnsi="Times New Roman"/>
          <w:sz w:val="24"/>
          <w:szCs w:val="24"/>
        </w:rPr>
        <w:t xml:space="preserve">O documento a que se refere a Carta IEDI 156 não foi precisamente o elaborado pelo conselheiro Rodrigo Loures, mas outro, resultado de um esforço posterior de aprimoramento e ampliação do esboço do então presidente da FIEP. Este documento intitula-se “Contribuições da FIEP para Modernizar a Governança da Política Monetária”, produzido em março de 2005, enquanto o de Rodrigo Loures apresentado à plenária do CDES data de novembro de 2004. Não conseguimos, igualmente, ter acesso ao documento que, desta vez, apresenta-se como produzido pela entidade patronal. De toda forma, e mais uma vez, é preciso esclarecer que o que as duas entidades patronais </w:t>
      </w:r>
      <w:r w:rsidR="002B6C80">
        <w:rPr>
          <w:rFonts w:ascii="Times New Roman" w:hAnsi="Times New Roman"/>
          <w:sz w:val="24"/>
          <w:szCs w:val="24"/>
        </w:rPr>
        <w:t>reclamavam (FIEP e IEDI), aliadas</w:t>
      </w:r>
      <w:r>
        <w:rPr>
          <w:rFonts w:ascii="Times New Roman" w:hAnsi="Times New Roman"/>
          <w:sz w:val="24"/>
          <w:szCs w:val="24"/>
        </w:rPr>
        <w:t xml:space="preserve"> a outras como a </w:t>
      </w:r>
      <w:r w:rsidR="000834BC">
        <w:rPr>
          <w:rFonts w:ascii="Times New Roman" w:hAnsi="Times New Roman"/>
          <w:sz w:val="24"/>
          <w:szCs w:val="24"/>
        </w:rPr>
        <w:t>FIESP</w:t>
      </w:r>
      <w:r>
        <w:rPr>
          <w:rFonts w:ascii="Times New Roman" w:hAnsi="Times New Roman"/>
          <w:sz w:val="24"/>
          <w:szCs w:val="24"/>
        </w:rPr>
        <w:t xml:space="preserve"> e a CNI, não era derivado da crítica ao modelo econômico vigente, mas d</w:t>
      </w:r>
      <w:r w:rsidR="002B6C80">
        <w:rPr>
          <w:rFonts w:ascii="Times New Roman" w:hAnsi="Times New Roman"/>
          <w:sz w:val="24"/>
          <w:szCs w:val="24"/>
        </w:rPr>
        <w:t>e um</w:t>
      </w:r>
      <w:r>
        <w:rPr>
          <w:rFonts w:ascii="Times New Roman" w:hAnsi="Times New Roman"/>
          <w:sz w:val="24"/>
          <w:szCs w:val="24"/>
        </w:rPr>
        <w:t xml:space="preserve"> declarado </w:t>
      </w:r>
      <w:r w:rsidRPr="002A2FB3">
        <w:rPr>
          <w:rFonts w:ascii="Times New Roman" w:hAnsi="Times New Roman"/>
          <w:bCs/>
          <w:sz w:val="24"/>
          <w:szCs w:val="24"/>
        </w:rPr>
        <w:t>mau funcionamento na estrutura de governança da política monetária</w:t>
      </w:r>
      <w:r>
        <w:rPr>
          <w:rFonts w:ascii="Times New Roman" w:hAnsi="Times New Roman"/>
          <w:bCs/>
          <w:sz w:val="24"/>
          <w:szCs w:val="24"/>
        </w:rPr>
        <w:t xml:space="preserve"> que, neste caso, não estava</w:t>
      </w:r>
      <w:r w:rsidRPr="002A2FB3">
        <w:rPr>
          <w:rFonts w:ascii="Times New Roman" w:hAnsi="Times New Roman"/>
          <w:bCs/>
          <w:sz w:val="24"/>
          <w:szCs w:val="24"/>
        </w:rPr>
        <w:t xml:space="preserve"> perm</w:t>
      </w:r>
      <w:r>
        <w:rPr>
          <w:rFonts w:ascii="Times New Roman" w:hAnsi="Times New Roman"/>
          <w:bCs/>
          <w:sz w:val="24"/>
          <w:szCs w:val="24"/>
        </w:rPr>
        <w:t>itindo um bom funcionamento do regime</w:t>
      </w:r>
      <w:r w:rsidRPr="002A2FB3">
        <w:rPr>
          <w:rFonts w:ascii="Times New Roman" w:hAnsi="Times New Roman"/>
          <w:bCs/>
          <w:sz w:val="24"/>
          <w:szCs w:val="24"/>
        </w:rPr>
        <w:t xml:space="preserve"> de metas de inflação.</w:t>
      </w:r>
      <w:r>
        <w:rPr>
          <w:rStyle w:val="Refdenotaderodap"/>
          <w:rFonts w:ascii="Times New Roman" w:hAnsi="Times New Roman"/>
          <w:bCs/>
          <w:sz w:val="24"/>
          <w:szCs w:val="24"/>
        </w:rPr>
        <w:footnoteReference w:id="453"/>
      </w:r>
    </w:p>
    <w:p w:rsidR="00303FA9" w:rsidRDefault="00303FA9" w:rsidP="00303FA9">
      <w:pPr>
        <w:shd w:val="clear" w:color="auto" w:fill="FFFFFF"/>
        <w:spacing w:after="0" w:line="360" w:lineRule="auto"/>
        <w:ind w:firstLine="708"/>
        <w:jc w:val="both"/>
        <w:rPr>
          <w:rFonts w:ascii="Times New Roman" w:hAnsi="Times New Roman"/>
          <w:sz w:val="24"/>
          <w:szCs w:val="24"/>
        </w:rPr>
      </w:pPr>
      <w:r>
        <w:rPr>
          <w:rFonts w:ascii="Times New Roman" w:hAnsi="Times New Roman"/>
          <w:sz w:val="24"/>
          <w:szCs w:val="24"/>
        </w:rPr>
        <w:t xml:space="preserve">Com exceção de uma proposição – a que demanda quarentena aos membros do Copom -, todas as demais pertenciam a temas exaustivamente tratados nas plenárias e nos documentos do CDES. Algumas se tornaram pautas de reuniões como, por exemplo, a ampliação do CMN, a redução do </w:t>
      </w:r>
      <w:r>
        <w:rPr>
          <w:rFonts w:ascii="Times New Roman" w:hAnsi="Times New Roman"/>
          <w:i/>
          <w:sz w:val="24"/>
          <w:szCs w:val="24"/>
        </w:rPr>
        <w:t xml:space="preserve">spread </w:t>
      </w:r>
      <w:r>
        <w:rPr>
          <w:rFonts w:ascii="Times New Roman" w:hAnsi="Times New Roman"/>
          <w:sz w:val="24"/>
          <w:szCs w:val="24"/>
        </w:rPr>
        <w:t>bancário e a desindexação da economia. Outros temas não listados no documento da FIEP figuravam entre as demandas empresaria</w:t>
      </w:r>
      <w:r w:rsidR="002B6C80">
        <w:rPr>
          <w:rFonts w:ascii="Times New Roman" w:hAnsi="Times New Roman"/>
          <w:sz w:val="24"/>
          <w:szCs w:val="24"/>
        </w:rPr>
        <w:t>i</w:t>
      </w:r>
      <w:r>
        <w:rPr>
          <w:rFonts w:ascii="Times New Roman" w:hAnsi="Times New Roman"/>
          <w:sz w:val="24"/>
          <w:szCs w:val="24"/>
        </w:rPr>
        <w:t>s que se vinculavam diretamente à política monetária, tais como a redução paulatina dos depósitos compulsórios. Igualmente, praticamente todas as demandas empresariais listadas acima compuseram a segunda diretriz do “Objetivo IV” da Agenda Nacional de Desenvolvimento (AND), principal documento coletivo produzido pelo CDES, como veremos adiante no quadro 4.3.</w:t>
      </w:r>
    </w:p>
    <w:p w:rsidR="00303FA9" w:rsidRPr="00CE6B7D" w:rsidRDefault="00303FA9" w:rsidP="00303FA9">
      <w:pPr>
        <w:shd w:val="clear" w:color="auto" w:fill="FFFFFF"/>
        <w:spacing w:after="100" w:afterAutospacing="1" w:line="360" w:lineRule="auto"/>
        <w:ind w:firstLine="708"/>
        <w:jc w:val="both"/>
        <w:rPr>
          <w:rFonts w:ascii="Times New Roman" w:eastAsia="Times New Roman" w:hAnsi="Times New Roman"/>
          <w:sz w:val="19"/>
          <w:szCs w:val="19"/>
          <w:lang w:eastAsia="pt-BR"/>
        </w:rPr>
      </w:pPr>
      <w:r>
        <w:rPr>
          <w:rFonts w:ascii="Times New Roman" w:hAnsi="Times New Roman"/>
          <w:sz w:val="24"/>
          <w:szCs w:val="24"/>
        </w:rPr>
        <w:t>O documento do IEDI assinala o esforço empreendido em recomendar ao Presidente da República a adoção destas medidas:</w:t>
      </w:r>
    </w:p>
    <w:p w:rsidR="00303FA9" w:rsidRPr="007A3468" w:rsidRDefault="00303FA9" w:rsidP="00303FA9">
      <w:pPr>
        <w:spacing w:after="0" w:line="240" w:lineRule="auto"/>
        <w:ind w:left="2268"/>
        <w:jc w:val="both"/>
        <w:rPr>
          <w:rFonts w:ascii="Times New Roman" w:hAnsi="Times New Roman"/>
          <w:color w:val="000000"/>
          <w:sz w:val="20"/>
          <w:szCs w:val="20"/>
        </w:rPr>
      </w:pPr>
      <w:r w:rsidRPr="007A3468">
        <w:rPr>
          <w:rFonts w:ascii="Times New Roman" w:hAnsi="Times New Roman"/>
          <w:color w:val="000000"/>
          <w:sz w:val="20"/>
          <w:szCs w:val="20"/>
        </w:rPr>
        <w:t xml:space="preserve">O IEDI tem debatido essas questões internamente e avalia como muito oportunas todas elas, tendo, inclusive, levado ao Exmo. Sr. Presidente da República e Ministros da Área Econômica, sugestões nessa direção. Levar em conta uma meta de crescimento, adaptar o sistema de metas de inflação e criar um Conselho Econômico junto à Presidência da República, foram recomendações encaminhadas pelo Instituto ao governo. Recentemente o IEDI participou junto com entidades sindicais (CUT, Força Sindical) e empresariais (CNI, </w:t>
      </w:r>
      <w:r w:rsidR="000834BC">
        <w:rPr>
          <w:rFonts w:ascii="Times New Roman" w:hAnsi="Times New Roman"/>
          <w:color w:val="000000"/>
          <w:sz w:val="20"/>
          <w:szCs w:val="20"/>
        </w:rPr>
        <w:t>FIESP</w:t>
      </w:r>
      <w:r w:rsidRPr="007A3468">
        <w:rPr>
          <w:rFonts w:ascii="Times New Roman" w:hAnsi="Times New Roman"/>
          <w:color w:val="000000"/>
          <w:sz w:val="20"/>
          <w:szCs w:val="20"/>
        </w:rPr>
        <w:t>) do lançamento de uma campanha pró-ampliação do Conselho Monetário Nacional</w:t>
      </w:r>
      <w:r>
        <w:rPr>
          <w:rFonts w:ascii="Times New Roman" w:hAnsi="Times New Roman"/>
          <w:color w:val="000000"/>
          <w:sz w:val="20"/>
          <w:szCs w:val="20"/>
        </w:rPr>
        <w:t>.</w:t>
      </w:r>
      <w:r>
        <w:rPr>
          <w:rStyle w:val="Refdenotaderodap"/>
          <w:rFonts w:ascii="Times New Roman" w:hAnsi="Times New Roman"/>
          <w:color w:val="000000"/>
          <w:sz w:val="20"/>
          <w:szCs w:val="20"/>
        </w:rPr>
        <w:footnoteReference w:id="454"/>
      </w:r>
    </w:p>
    <w:p w:rsidR="00303FA9" w:rsidRDefault="00303FA9" w:rsidP="00303FA9">
      <w:pPr>
        <w:spacing w:after="0" w:line="360" w:lineRule="auto"/>
        <w:jc w:val="both"/>
        <w:rPr>
          <w:rFonts w:ascii="Times New Roman" w:hAnsi="Times New Roman"/>
          <w:sz w:val="24"/>
          <w:szCs w:val="24"/>
        </w:rPr>
      </w:pPr>
    </w:p>
    <w:p w:rsidR="00303FA9" w:rsidRDefault="00303FA9" w:rsidP="00303FA9">
      <w:pPr>
        <w:spacing w:line="360" w:lineRule="auto"/>
        <w:ind w:firstLine="708"/>
        <w:jc w:val="both"/>
        <w:rPr>
          <w:rFonts w:ascii="Times New Roman" w:hAnsi="Times New Roman"/>
          <w:sz w:val="24"/>
          <w:szCs w:val="24"/>
        </w:rPr>
      </w:pPr>
      <w:r>
        <w:rPr>
          <w:rFonts w:ascii="Times New Roman" w:hAnsi="Times New Roman"/>
          <w:sz w:val="24"/>
          <w:szCs w:val="24"/>
        </w:rPr>
        <w:t xml:space="preserve">Em 06 de outubro de 2004, um mês antes, portanto, do lançamento do documento da FIEP e do início do anúncio do tema acerca da ampliação do CMN no CDES, a </w:t>
      </w:r>
      <w:r w:rsidR="000834BC">
        <w:rPr>
          <w:rFonts w:ascii="Times New Roman" w:hAnsi="Times New Roman"/>
          <w:sz w:val="24"/>
          <w:szCs w:val="24"/>
        </w:rPr>
        <w:t>FIESP</w:t>
      </w:r>
      <w:r>
        <w:rPr>
          <w:rFonts w:ascii="Times New Roman" w:hAnsi="Times New Roman"/>
          <w:sz w:val="24"/>
          <w:szCs w:val="24"/>
        </w:rPr>
        <w:t>, outro aparelho privado de hegemonia patronal, por meio de seu recém-empossado presidente, Paulo Skaf, se mostrava empenhada em que fosse criada a “autoridade produtiva” onde os interesses “de quem trabalha e de quem produz” também estivessem representados no CMN, inaugurando o debate patronal, nos veículos midiáticos de grande circulação, entre as entidades da sociedade civil:</w:t>
      </w:r>
    </w:p>
    <w:p w:rsidR="00303FA9" w:rsidRPr="00A218F7" w:rsidRDefault="00303FA9" w:rsidP="00303FA9">
      <w:pPr>
        <w:spacing w:after="0" w:line="161" w:lineRule="atLeast"/>
        <w:ind w:left="2268"/>
        <w:jc w:val="both"/>
        <w:rPr>
          <w:rFonts w:ascii="Times New Roman" w:eastAsia="Times New Roman" w:hAnsi="Times New Roman"/>
          <w:i/>
          <w:iCs/>
          <w:color w:val="1E1E1E"/>
          <w:sz w:val="20"/>
          <w:szCs w:val="20"/>
          <w:lang w:val="pt-PT" w:eastAsia="pt-BR"/>
        </w:rPr>
      </w:pPr>
      <w:r w:rsidRPr="00A218F7">
        <w:rPr>
          <w:rFonts w:ascii="Times New Roman" w:eastAsia="Times New Roman" w:hAnsi="Times New Roman"/>
          <w:b/>
          <w:bCs/>
          <w:color w:val="1E1E1E"/>
          <w:sz w:val="20"/>
          <w:szCs w:val="20"/>
          <w:lang w:val="pt-PT" w:eastAsia="pt-BR"/>
        </w:rPr>
        <w:t>DINHEIR</w:t>
      </w:r>
      <w:r>
        <w:rPr>
          <w:rFonts w:ascii="Times New Roman" w:eastAsia="Times New Roman" w:hAnsi="Times New Roman"/>
          <w:b/>
          <w:bCs/>
          <w:color w:val="1E1E1E"/>
          <w:sz w:val="20"/>
          <w:szCs w:val="20"/>
          <w:lang w:val="pt-PT" w:eastAsia="pt-BR"/>
        </w:rPr>
        <w:t>O:</w:t>
      </w:r>
      <w:r w:rsidRPr="00A218F7">
        <w:rPr>
          <w:rFonts w:ascii="Times New Roman" w:eastAsia="Times New Roman" w:hAnsi="Times New Roman"/>
          <w:i/>
          <w:iCs/>
          <w:color w:val="1E1E1E"/>
          <w:sz w:val="20"/>
          <w:szCs w:val="20"/>
          <w:lang w:val="pt-PT" w:eastAsia="pt-BR"/>
        </w:rPr>
        <w:t xml:space="preserve"> O sr. </w:t>
      </w:r>
      <w:r w:rsidR="00095250" w:rsidRPr="00A218F7">
        <w:rPr>
          <w:rFonts w:ascii="Times New Roman" w:eastAsia="Times New Roman" w:hAnsi="Times New Roman"/>
          <w:i/>
          <w:iCs/>
          <w:color w:val="1E1E1E"/>
          <w:sz w:val="20"/>
          <w:szCs w:val="20"/>
          <w:lang w:val="pt-PT" w:eastAsia="pt-BR"/>
        </w:rPr>
        <w:t>F</w:t>
      </w:r>
      <w:r w:rsidRPr="00A218F7">
        <w:rPr>
          <w:rFonts w:ascii="Times New Roman" w:eastAsia="Times New Roman" w:hAnsi="Times New Roman"/>
          <w:i/>
          <w:iCs/>
          <w:color w:val="1E1E1E"/>
          <w:sz w:val="20"/>
          <w:szCs w:val="20"/>
          <w:lang w:val="pt-PT" w:eastAsia="pt-BR"/>
        </w:rPr>
        <w:t xml:space="preserve">ala em </w:t>
      </w:r>
      <w:r>
        <w:rPr>
          <w:rFonts w:ascii="Times New Roman" w:eastAsia="Times New Roman" w:hAnsi="Times New Roman"/>
          <w:i/>
          <w:iCs/>
          <w:color w:val="1E1E1E"/>
          <w:sz w:val="20"/>
          <w:szCs w:val="20"/>
          <w:lang w:val="pt-PT" w:eastAsia="pt-BR"/>
        </w:rPr>
        <w:t>“</w:t>
      </w:r>
      <w:r w:rsidRPr="00A218F7">
        <w:rPr>
          <w:rFonts w:ascii="Times New Roman" w:eastAsia="Times New Roman" w:hAnsi="Times New Roman"/>
          <w:i/>
          <w:iCs/>
          <w:color w:val="1E1E1E"/>
          <w:sz w:val="20"/>
          <w:szCs w:val="20"/>
          <w:lang w:val="pt-PT" w:eastAsia="pt-BR"/>
        </w:rPr>
        <w:t>autoridade produtiva</w:t>
      </w:r>
      <w:r>
        <w:rPr>
          <w:rFonts w:ascii="Times New Roman" w:eastAsia="Times New Roman" w:hAnsi="Times New Roman"/>
          <w:i/>
          <w:iCs/>
          <w:color w:val="1E1E1E"/>
          <w:sz w:val="20"/>
          <w:szCs w:val="20"/>
          <w:lang w:val="pt-PT" w:eastAsia="pt-BR"/>
        </w:rPr>
        <w:t>”</w:t>
      </w:r>
      <w:r w:rsidRPr="00A218F7">
        <w:rPr>
          <w:rFonts w:ascii="Times New Roman" w:eastAsia="Times New Roman" w:hAnsi="Times New Roman"/>
          <w:i/>
          <w:iCs/>
          <w:color w:val="1E1E1E"/>
          <w:sz w:val="20"/>
          <w:szCs w:val="20"/>
          <w:lang w:val="pt-PT" w:eastAsia="pt-BR"/>
        </w:rPr>
        <w:t>. Que idéia é essa?</w:t>
      </w:r>
    </w:p>
    <w:p w:rsidR="00303FA9" w:rsidRPr="00A218F7" w:rsidRDefault="00303FA9" w:rsidP="00303FA9">
      <w:pPr>
        <w:spacing w:after="0" w:line="161" w:lineRule="atLeast"/>
        <w:ind w:left="2268"/>
        <w:jc w:val="both"/>
        <w:rPr>
          <w:rFonts w:ascii="Times New Roman" w:eastAsia="Times New Roman" w:hAnsi="Times New Roman"/>
          <w:color w:val="1E1E1E"/>
          <w:sz w:val="20"/>
          <w:szCs w:val="20"/>
          <w:lang w:val="pt-PT" w:eastAsia="pt-BR"/>
        </w:rPr>
      </w:pPr>
      <w:r w:rsidRPr="00A218F7">
        <w:rPr>
          <w:rFonts w:ascii="Times New Roman" w:eastAsia="Times New Roman" w:hAnsi="Times New Roman"/>
          <w:b/>
          <w:bCs/>
          <w:color w:val="1E1E1E"/>
          <w:sz w:val="20"/>
          <w:szCs w:val="20"/>
          <w:lang w:val="pt-PT" w:eastAsia="pt-BR"/>
        </w:rPr>
        <w:t>SKAF</w:t>
      </w:r>
      <w:r>
        <w:rPr>
          <w:rFonts w:ascii="Times New Roman" w:eastAsia="Times New Roman" w:hAnsi="Times New Roman"/>
          <w:color w:val="1E1E1E"/>
          <w:sz w:val="20"/>
          <w:szCs w:val="20"/>
          <w:lang w:val="pt-PT" w:eastAsia="pt-BR"/>
        </w:rPr>
        <w:t xml:space="preserve"> :</w:t>
      </w:r>
      <w:r w:rsidRPr="00A218F7">
        <w:rPr>
          <w:rFonts w:ascii="Times New Roman" w:eastAsia="Times New Roman" w:hAnsi="Times New Roman"/>
          <w:color w:val="1E1E1E"/>
          <w:sz w:val="20"/>
          <w:szCs w:val="20"/>
          <w:lang w:val="pt-PT" w:eastAsia="pt-BR"/>
        </w:rPr>
        <w:t xml:space="preserve"> No Brasil só se fala de autoridade monetária. O Banco Central do Brasil se preocupa apenas com moeda, enquanto nos EUA, por exemplo, ele também se preocupa com o emprego. Nosso modelo é europeu, voltado exclusivamente para a moeda. Só que existem outros interesses no País também. E esses outros interesses precisam ser defendidos. Eu entendo que há necessidade de se criar uma autoridade produtiva, que defenderia os interesses de quem trabalha e de quem produz. A produção passaria a ter voz para valer.</w:t>
      </w:r>
    </w:p>
    <w:p w:rsidR="00303FA9" w:rsidRPr="00A218F7" w:rsidRDefault="00303FA9" w:rsidP="00303FA9">
      <w:pPr>
        <w:spacing w:after="0" w:line="161" w:lineRule="atLeast"/>
        <w:ind w:left="2268"/>
        <w:jc w:val="both"/>
        <w:rPr>
          <w:rFonts w:ascii="Times New Roman" w:eastAsia="Times New Roman" w:hAnsi="Times New Roman"/>
          <w:i/>
          <w:iCs/>
          <w:color w:val="1E1E1E"/>
          <w:sz w:val="20"/>
          <w:szCs w:val="20"/>
          <w:lang w:val="pt-PT" w:eastAsia="pt-BR"/>
        </w:rPr>
      </w:pPr>
      <w:r w:rsidRPr="00A218F7">
        <w:rPr>
          <w:rFonts w:ascii="Times New Roman" w:eastAsia="Times New Roman" w:hAnsi="Times New Roman"/>
          <w:b/>
          <w:bCs/>
          <w:color w:val="1E1E1E"/>
          <w:sz w:val="20"/>
          <w:szCs w:val="20"/>
          <w:lang w:val="pt-PT" w:eastAsia="pt-BR"/>
        </w:rPr>
        <w:t>DINHEIRO</w:t>
      </w:r>
      <w:r w:rsidRPr="00095250">
        <w:rPr>
          <w:rFonts w:ascii="Times New Roman" w:eastAsia="Times New Roman" w:hAnsi="Times New Roman"/>
          <w:i/>
          <w:iCs/>
          <w:color w:val="1E1E1E"/>
          <w:sz w:val="20"/>
          <w:szCs w:val="20"/>
          <w:lang w:val="pt-PT" w:eastAsia="pt-BR"/>
        </w:rPr>
        <w:t>:</w:t>
      </w:r>
      <w:r w:rsidRPr="00A218F7">
        <w:rPr>
          <w:rFonts w:ascii="Times New Roman" w:eastAsia="Times New Roman" w:hAnsi="Times New Roman"/>
          <w:i/>
          <w:iCs/>
          <w:color w:val="1E1E1E"/>
          <w:sz w:val="20"/>
          <w:szCs w:val="20"/>
          <w:lang w:val="pt-PT" w:eastAsia="pt-BR"/>
        </w:rPr>
        <w:t xml:space="preserve"> Como se faria isso?</w:t>
      </w:r>
    </w:p>
    <w:p w:rsidR="00303FA9" w:rsidRPr="00A218F7" w:rsidRDefault="00303FA9" w:rsidP="00303FA9">
      <w:pPr>
        <w:spacing w:line="161" w:lineRule="atLeast"/>
        <w:ind w:left="2268"/>
        <w:jc w:val="both"/>
        <w:rPr>
          <w:rFonts w:ascii="Times New Roman" w:eastAsia="Times New Roman" w:hAnsi="Times New Roman"/>
          <w:color w:val="1E1E1E"/>
          <w:sz w:val="20"/>
          <w:szCs w:val="20"/>
          <w:lang w:val="pt-PT" w:eastAsia="pt-BR"/>
        </w:rPr>
      </w:pPr>
      <w:r w:rsidRPr="00A218F7">
        <w:rPr>
          <w:rFonts w:ascii="Times New Roman" w:eastAsia="Times New Roman" w:hAnsi="Times New Roman"/>
          <w:b/>
          <w:bCs/>
          <w:color w:val="1E1E1E"/>
          <w:sz w:val="20"/>
          <w:szCs w:val="20"/>
          <w:lang w:val="pt-PT" w:eastAsia="pt-BR"/>
        </w:rPr>
        <w:t>SKAF</w:t>
      </w:r>
      <w:r>
        <w:rPr>
          <w:rFonts w:ascii="Times New Roman" w:eastAsia="Times New Roman" w:hAnsi="Times New Roman"/>
          <w:color w:val="1E1E1E"/>
          <w:sz w:val="20"/>
          <w:szCs w:val="20"/>
          <w:lang w:val="pt-PT" w:eastAsia="pt-BR"/>
        </w:rPr>
        <w:t>:</w:t>
      </w:r>
      <w:r w:rsidRPr="00A218F7">
        <w:rPr>
          <w:rFonts w:ascii="Times New Roman" w:eastAsia="Times New Roman" w:hAnsi="Times New Roman"/>
          <w:color w:val="1E1E1E"/>
          <w:sz w:val="20"/>
          <w:szCs w:val="20"/>
          <w:lang w:val="pt-PT" w:eastAsia="pt-BR"/>
        </w:rPr>
        <w:t xml:space="preserve"> Num movimento no qual a </w:t>
      </w:r>
      <w:r w:rsidR="000834BC">
        <w:rPr>
          <w:rFonts w:ascii="Times New Roman" w:eastAsia="Times New Roman" w:hAnsi="Times New Roman"/>
          <w:b/>
          <w:color w:val="1E1E1E"/>
          <w:sz w:val="20"/>
          <w:szCs w:val="20"/>
          <w:lang w:val="pt-PT" w:eastAsia="pt-BR"/>
        </w:rPr>
        <w:t>FIESP</w:t>
      </w:r>
      <w:r w:rsidRPr="00A218F7">
        <w:rPr>
          <w:rFonts w:ascii="Times New Roman" w:eastAsia="Times New Roman" w:hAnsi="Times New Roman"/>
          <w:color w:val="1E1E1E"/>
          <w:sz w:val="20"/>
          <w:szCs w:val="20"/>
          <w:lang w:val="pt-PT" w:eastAsia="pt-BR"/>
        </w:rPr>
        <w:t xml:space="preserve">, em parceria com a </w:t>
      </w:r>
      <w:r w:rsidRPr="00F45E52">
        <w:rPr>
          <w:rFonts w:ascii="Times New Roman" w:eastAsia="Times New Roman" w:hAnsi="Times New Roman"/>
          <w:b/>
          <w:color w:val="1E1E1E"/>
          <w:sz w:val="20"/>
          <w:szCs w:val="20"/>
          <w:lang w:val="pt-PT" w:eastAsia="pt-BR"/>
        </w:rPr>
        <w:t>CNI</w:t>
      </w:r>
      <w:r w:rsidRPr="00A218F7">
        <w:rPr>
          <w:rFonts w:ascii="Times New Roman" w:eastAsia="Times New Roman" w:hAnsi="Times New Roman"/>
          <w:color w:val="1E1E1E"/>
          <w:sz w:val="20"/>
          <w:szCs w:val="20"/>
          <w:lang w:val="pt-PT" w:eastAsia="pt-BR"/>
        </w:rPr>
        <w:t xml:space="preserve"> e os </w:t>
      </w:r>
      <w:r w:rsidRPr="00F45E52">
        <w:rPr>
          <w:rFonts w:ascii="Times New Roman" w:eastAsia="Times New Roman" w:hAnsi="Times New Roman"/>
          <w:b/>
          <w:color w:val="1E1E1E"/>
          <w:sz w:val="20"/>
          <w:szCs w:val="20"/>
          <w:lang w:val="pt-PT" w:eastAsia="pt-BR"/>
        </w:rPr>
        <w:t>setores do comércio e de serviços, junto com a agricultura e com os trabalhadores</w:t>
      </w:r>
      <w:r w:rsidRPr="00A218F7">
        <w:rPr>
          <w:rFonts w:ascii="Times New Roman" w:eastAsia="Times New Roman" w:hAnsi="Times New Roman"/>
          <w:color w:val="1E1E1E"/>
          <w:sz w:val="20"/>
          <w:szCs w:val="20"/>
          <w:lang w:val="pt-PT" w:eastAsia="pt-BR"/>
        </w:rPr>
        <w:t>, ajudaria a montar uma articulação no Congresso Nacional, lutando por uma cadeira no Conselho Monetário Nacional para trabalhadores e para a indústria. Tudo se constituiria na figura da autoridade produtiva. Ela é importante para que a gente participe da formulação das políticas econômicas e não fique sempre recebendo pratos prontos e pagando o custo das decisões das quais não participamos.</w:t>
      </w:r>
      <w:r>
        <w:rPr>
          <w:rStyle w:val="Refdenotaderodap"/>
          <w:rFonts w:ascii="Times New Roman" w:eastAsia="Times New Roman" w:hAnsi="Times New Roman"/>
          <w:color w:val="1E1E1E"/>
          <w:sz w:val="20"/>
          <w:szCs w:val="20"/>
          <w:lang w:val="pt-PT" w:eastAsia="pt-BR"/>
        </w:rPr>
        <w:footnoteReference w:id="455"/>
      </w:r>
    </w:p>
    <w:p w:rsidR="00303FA9" w:rsidRPr="006276C9" w:rsidRDefault="00303FA9" w:rsidP="00303FA9">
      <w:pPr>
        <w:autoSpaceDE w:val="0"/>
        <w:autoSpaceDN w:val="0"/>
        <w:adjustRightInd w:val="0"/>
        <w:spacing w:line="360" w:lineRule="auto"/>
        <w:ind w:firstLine="708"/>
        <w:jc w:val="both"/>
        <w:rPr>
          <w:rFonts w:ascii="Times New Roman" w:hAnsi="Times New Roman"/>
          <w:sz w:val="24"/>
          <w:szCs w:val="24"/>
          <w:lang w:val="pt-PT"/>
        </w:rPr>
      </w:pPr>
      <w:r w:rsidRPr="006276C9">
        <w:rPr>
          <w:rFonts w:ascii="Times New Roman" w:hAnsi="Times New Roman"/>
          <w:sz w:val="24"/>
          <w:szCs w:val="24"/>
          <w:lang w:val="pt-PT"/>
        </w:rPr>
        <w:t>Em março de 2005, a CUT lança o documento “Conselho Monetário Nacional: proposta para ampliação e democratização do CMN”,</w:t>
      </w:r>
      <w:r w:rsidRPr="006276C9">
        <w:rPr>
          <w:rStyle w:val="Refdenotaderodap"/>
          <w:rFonts w:ascii="Times New Roman" w:hAnsi="Times New Roman"/>
          <w:sz w:val="24"/>
          <w:szCs w:val="24"/>
          <w:lang w:val="pt-PT"/>
        </w:rPr>
        <w:footnoteReference w:id="456"/>
      </w:r>
      <w:r w:rsidRPr="006276C9">
        <w:rPr>
          <w:rFonts w:ascii="Times New Roman" w:hAnsi="Times New Roman"/>
          <w:sz w:val="24"/>
          <w:szCs w:val="24"/>
          <w:lang w:val="pt-PT"/>
        </w:rPr>
        <w:t xml:space="preserve"> elaborado com o suporte de um conjunto de subseções do DIEESE e com contribuições da equipe do Centro de Estudos de Conjuntura (CECON) do IE/Unicamp, contando com o envolvimento do Profº Ricardo Carneiro, um de seus mais reconhecidos membros. O documento traça um ligeiro e didático panorama histórico e atual do papel, da composição e da forma de funcionamento do CMN, analisa a atuação do Banco Central na formulação e execução da política monetária e apresenta a proposta da CUT: ampliação do CMN para “um total de 10 representantes, sendo 5 do governo e 5 </w:t>
      </w:r>
      <w:r w:rsidRPr="006276C9">
        <w:rPr>
          <w:rFonts w:ascii="Times New Roman" w:hAnsi="Times New Roman"/>
          <w:sz w:val="24"/>
          <w:szCs w:val="24"/>
        </w:rPr>
        <w:t>da sociedade (2 oriundos do empresariado; 2, da classe trabalhadora e 1 do meio acadêmico)”.</w:t>
      </w:r>
      <w:r>
        <w:rPr>
          <w:rStyle w:val="Refdenotaderodap"/>
          <w:rFonts w:ascii="Times New Roman" w:hAnsi="Times New Roman"/>
          <w:sz w:val="24"/>
          <w:szCs w:val="24"/>
        </w:rPr>
        <w:footnoteReference w:id="457"/>
      </w:r>
      <w:r w:rsidRPr="006276C9">
        <w:rPr>
          <w:rFonts w:ascii="Times New Roman" w:hAnsi="Times New Roman"/>
          <w:sz w:val="24"/>
          <w:szCs w:val="24"/>
        </w:rPr>
        <w:t xml:space="preserve"> O documento justifica que </w:t>
      </w:r>
      <w:r>
        <w:rPr>
          <w:rFonts w:ascii="Times New Roman" w:hAnsi="Times New Roman"/>
          <w:sz w:val="24"/>
          <w:szCs w:val="24"/>
        </w:rPr>
        <w:t xml:space="preserve">esta composição </w:t>
      </w:r>
      <w:r w:rsidRPr="006276C9">
        <w:rPr>
          <w:rFonts w:ascii="Times New Roman" w:hAnsi="Times New Roman"/>
          <w:sz w:val="24"/>
          <w:szCs w:val="24"/>
        </w:rPr>
        <w:t>possibilitaria explicitar melhor “as visões e perspectivas das diferentes áreas governamentais e dos agentes econômicos. Todos estesmembros deverão ser indicados pelo presidente da República. O voto de “minerva” serádo governo</w:t>
      </w:r>
      <w:r w:rsidR="009653BF">
        <w:rPr>
          <w:rFonts w:ascii="Times New Roman" w:hAnsi="Times New Roman"/>
          <w:sz w:val="24"/>
          <w:szCs w:val="24"/>
        </w:rPr>
        <w:t>”</w:t>
      </w:r>
      <w:r>
        <w:rPr>
          <w:rFonts w:ascii="Times New Roman" w:hAnsi="Times New Roman"/>
          <w:sz w:val="24"/>
          <w:szCs w:val="24"/>
        </w:rPr>
        <w:t>.</w:t>
      </w:r>
      <w:r w:rsidR="003B4C01">
        <w:rPr>
          <w:rStyle w:val="Refdenotaderodap"/>
          <w:rFonts w:ascii="Times New Roman" w:hAnsi="Times New Roman"/>
          <w:sz w:val="24"/>
          <w:szCs w:val="24"/>
        </w:rPr>
        <w:footnoteReference w:id="458"/>
      </w:r>
      <w:r>
        <w:rPr>
          <w:rFonts w:ascii="Times New Roman" w:hAnsi="Times New Roman"/>
          <w:sz w:val="24"/>
          <w:szCs w:val="24"/>
        </w:rPr>
        <w:t xml:space="preserve"> O objetivo principal da nova composição, para a CUT, seria tentar conduzir as diretrizes de política monetária ao alcance do equilíbrio entre “as diversas metas a serem buscadas pelo país” e não apenas a inflacionária.</w:t>
      </w:r>
    </w:p>
    <w:p w:rsidR="00303FA9" w:rsidRPr="002C59DE" w:rsidRDefault="00303FA9" w:rsidP="00303FA9">
      <w:pPr>
        <w:autoSpaceDE w:val="0"/>
        <w:autoSpaceDN w:val="0"/>
        <w:adjustRightInd w:val="0"/>
        <w:spacing w:after="0" w:line="240" w:lineRule="auto"/>
        <w:ind w:left="2268"/>
        <w:jc w:val="both"/>
        <w:rPr>
          <w:rFonts w:ascii="Arial" w:hAnsi="Arial" w:cs="Arial"/>
          <w:sz w:val="20"/>
          <w:szCs w:val="20"/>
        </w:rPr>
      </w:pPr>
      <w:r w:rsidRPr="002C59DE">
        <w:rPr>
          <w:rFonts w:ascii="Times New Roman" w:hAnsi="Times New Roman"/>
          <w:sz w:val="20"/>
          <w:szCs w:val="20"/>
        </w:rPr>
        <w:t>As decisões do CMN e do Copom afetam diretamente o nível de atividade econômica, o emprego e a renda. Elas concretamente definem ganhadores e perdedores da política monetária. Desta forma, a política de juros altos, estabelecida pelo CMN e implementada pelo Copom, nos últimos anos, cujo objetivo é o controle da inflação, tem resultado no agravamento do endividamento público, na crise do setor produtivo nacional e no aumento dos lucros dos bancos comerciais.</w:t>
      </w:r>
      <w:r>
        <w:rPr>
          <w:rStyle w:val="Refdenotaderodap"/>
          <w:rFonts w:ascii="Times New Roman" w:hAnsi="Times New Roman"/>
          <w:sz w:val="20"/>
          <w:szCs w:val="20"/>
        </w:rPr>
        <w:footnoteReference w:id="459"/>
      </w:r>
    </w:p>
    <w:p w:rsidR="00303FA9" w:rsidRDefault="00303FA9" w:rsidP="00303FA9">
      <w:pPr>
        <w:autoSpaceDE w:val="0"/>
        <w:autoSpaceDN w:val="0"/>
        <w:adjustRightInd w:val="0"/>
        <w:spacing w:after="0" w:line="240" w:lineRule="auto"/>
        <w:rPr>
          <w:rFonts w:ascii="Arial" w:hAnsi="Arial" w:cs="Arial"/>
          <w:sz w:val="17"/>
          <w:szCs w:val="17"/>
        </w:rPr>
      </w:pPr>
    </w:p>
    <w:p w:rsidR="00303FA9" w:rsidRDefault="00303FA9" w:rsidP="00303FA9">
      <w:pPr>
        <w:tabs>
          <w:tab w:val="center" w:pos="0"/>
        </w:tabs>
        <w:spacing w:line="360" w:lineRule="auto"/>
        <w:jc w:val="both"/>
        <w:rPr>
          <w:rFonts w:ascii="Times New Roman" w:hAnsi="Times New Roman"/>
          <w:sz w:val="24"/>
          <w:szCs w:val="24"/>
        </w:rPr>
      </w:pPr>
      <w:r>
        <w:rPr>
          <w:rFonts w:ascii="Times New Roman" w:hAnsi="Times New Roman"/>
          <w:sz w:val="23"/>
          <w:szCs w:val="23"/>
        </w:rPr>
        <w:tab/>
      </w:r>
      <w:r>
        <w:rPr>
          <w:rFonts w:ascii="Times New Roman" w:hAnsi="Times New Roman"/>
          <w:sz w:val="24"/>
          <w:szCs w:val="24"/>
        </w:rPr>
        <w:t xml:space="preserve">No mesmo mês de março, a CUT lançou a “Campanha pela Ampliação e Democratização do Conselho Monetário Nacional”, na sede dos Sindicatos dos Bancários de São Paulo. Trata-se da mesma campanha aludida pela Carta IEDI 156, na citação acima. O evento contou também com a </w:t>
      </w:r>
      <w:r w:rsidR="00FF0878">
        <w:rPr>
          <w:rFonts w:ascii="Times New Roman" w:hAnsi="Times New Roman"/>
          <w:sz w:val="24"/>
          <w:szCs w:val="24"/>
        </w:rPr>
        <w:t>“</w:t>
      </w:r>
      <w:r>
        <w:rPr>
          <w:rFonts w:ascii="Times New Roman" w:hAnsi="Times New Roman"/>
          <w:sz w:val="24"/>
          <w:szCs w:val="24"/>
        </w:rPr>
        <w:t>parceria</w:t>
      </w:r>
      <w:r w:rsidR="00FF0878">
        <w:rPr>
          <w:rFonts w:ascii="Times New Roman" w:hAnsi="Times New Roman"/>
          <w:sz w:val="24"/>
          <w:szCs w:val="24"/>
        </w:rPr>
        <w:t>”</w:t>
      </w:r>
      <w:r>
        <w:rPr>
          <w:rFonts w:ascii="Times New Roman" w:hAnsi="Times New Roman"/>
          <w:sz w:val="24"/>
          <w:szCs w:val="24"/>
        </w:rPr>
        <w:t xml:space="preserve"> e organização da CNI e da </w:t>
      </w:r>
      <w:r w:rsidR="000834BC">
        <w:rPr>
          <w:rFonts w:ascii="Times New Roman" w:hAnsi="Times New Roman"/>
          <w:sz w:val="24"/>
          <w:szCs w:val="24"/>
        </w:rPr>
        <w:t>FIESP</w:t>
      </w:r>
      <w:r>
        <w:rPr>
          <w:rFonts w:ascii="Times New Roman" w:hAnsi="Times New Roman"/>
          <w:sz w:val="24"/>
          <w:szCs w:val="24"/>
        </w:rPr>
        <w:t xml:space="preserve"> e com o apoio da Confederação dos Bancários, do Sindicato dos Bancários, do DIEESE e do Centro de Estudos Sindicais e de Economia do Trabalho (CESIT), também do IE/Unicamp.</w:t>
      </w:r>
    </w:p>
    <w:p w:rsidR="00303FA9" w:rsidRPr="00033DEE" w:rsidRDefault="00303FA9" w:rsidP="00303FA9">
      <w:pPr>
        <w:tabs>
          <w:tab w:val="left" w:pos="1601"/>
          <w:tab w:val="left" w:pos="2410"/>
        </w:tabs>
        <w:spacing w:line="240" w:lineRule="auto"/>
        <w:ind w:left="2268"/>
        <w:jc w:val="both"/>
        <w:rPr>
          <w:rFonts w:ascii="Times New Roman" w:hAnsi="Times New Roman"/>
          <w:sz w:val="20"/>
          <w:szCs w:val="20"/>
        </w:rPr>
      </w:pPr>
      <w:r w:rsidRPr="00033DEE">
        <w:rPr>
          <w:rFonts w:ascii="Times New Roman" w:hAnsi="Times New Roman"/>
          <w:sz w:val="20"/>
          <w:szCs w:val="20"/>
        </w:rPr>
        <w:t xml:space="preserve">Durante o ato também se posicionaram favoráveis à ampliação do Conselho o diretor da </w:t>
      </w:r>
      <w:r w:rsidRPr="00033DEE">
        <w:rPr>
          <w:rFonts w:ascii="Times New Roman" w:hAnsi="Times New Roman"/>
          <w:b/>
          <w:sz w:val="20"/>
          <w:szCs w:val="20"/>
        </w:rPr>
        <w:t>CNB/CUT</w:t>
      </w:r>
      <w:r w:rsidRPr="00033DEE">
        <w:rPr>
          <w:rFonts w:ascii="Times New Roman" w:hAnsi="Times New Roman"/>
          <w:sz w:val="20"/>
          <w:szCs w:val="20"/>
        </w:rPr>
        <w:t xml:space="preserve">, Carlos Cordeiro, o presidente do Sindicato dos Bancários, </w:t>
      </w:r>
      <w:r w:rsidRPr="00033DEE">
        <w:rPr>
          <w:rFonts w:ascii="Times New Roman" w:hAnsi="Times New Roman"/>
          <w:b/>
          <w:sz w:val="20"/>
          <w:szCs w:val="20"/>
        </w:rPr>
        <w:t>Luiz Cláudio Marcolino</w:t>
      </w:r>
      <w:r w:rsidRPr="00033DEE">
        <w:rPr>
          <w:rFonts w:ascii="Times New Roman" w:hAnsi="Times New Roman"/>
          <w:sz w:val="20"/>
          <w:szCs w:val="20"/>
        </w:rPr>
        <w:t xml:space="preserve">, os professores Luiz Carlos Bresser Pereira, </w:t>
      </w:r>
      <w:r w:rsidRPr="00033DEE">
        <w:rPr>
          <w:rFonts w:ascii="Times New Roman" w:hAnsi="Times New Roman"/>
          <w:b/>
          <w:sz w:val="20"/>
          <w:szCs w:val="20"/>
        </w:rPr>
        <w:t>Luiz Gonzaga Belluzzo</w:t>
      </w:r>
      <w:r w:rsidRPr="00033DEE">
        <w:rPr>
          <w:rFonts w:ascii="Times New Roman" w:hAnsi="Times New Roman"/>
          <w:sz w:val="20"/>
          <w:szCs w:val="20"/>
        </w:rPr>
        <w:t xml:space="preserve"> e Ricardo Carneiro, o deputado Vicentinho (PT/SP), além de representantes da </w:t>
      </w:r>
      <w:r w:rsidRPr="00033DEE">
        <w:rPr>
          <w:rFonts w:ascii="Times New Roman" w:hAnsi="Times New Roman"/>
          <w:b/>
          <w:sz w:val="20"/>
          <w:szCs w:val="20"/>
        </w:rPr>
        <w:t>CGT</w:t>
      </w:r>
      <w:r w:rsidRPr="00033DEE">
        <w:rPr>
          <w:rFonts w:ascii="Times New Roman" w:hAnsi="Times New Roman"/>
          <w:sz w:val="20"/>
          <w:szCs w:val="20"/>
        </w:rPr>
        <w:t xml:space="preserve"> e da CAT e de entidades e ONGs empresariais, como o </w:t>
      </w:r>
      <w:r w:rsidRPr="002E5261">
        <w:rPr>
          <w:rFonts w:ascii="Times New Roman" w:hAnsi="Times New Roman"/>
          <w:b/>
          <w:sz w:val="20"/>
          <w:szCs w:val="20"/>
        </w:rPr>
        <w:t>Simpi, o Instituto Ethos, Cives e IEDI</w:t>
      </w:r>
      <w:r>
        <w:rPr>
          <w:rFonts w:ascii="Times New Roman" w:hAnsi="Times New Roman"/>
          <w:sz w:val="20"/>
          <w:szCs w:val="20"/>
        </w:rPr>
        <w:t>.</w:t>
      </w:r>
      <w:r>
        <w:rPr>
          <w:rStyle w:val="Refdenotaderodap"/>
          <w:rFonts w:ascii="Times New Roman" w:hAnsi="Times New Roman"/>
          <w:sz w:val="20"/>
          <w:szCs w:val="20"/>
        </w:rPr>
        <w:footnoteReference w:id="460"/>
      </w:r>
    </w:p>
    <w:p w:rsidR="00303FA9" w:rsidRDefault="00303FA9" w:rsidP="00303FA9">
      <w:pPr>
        <w:spacing w:line="360" w:lineRule="auto"/>
        <w:ind w:firstLine="708"/>
        <w:jc w:val="both"/>
        <w:rPr>
          <w:rFonts w:ascii="Times New Roman" w:hAnsi="Times New Roman"/>
          <w:sz w:val="24"/>
          <w:szCs w:val="24"/>
          <w:lang w:val="pt-PT"/>
        </w:rPr>
      </w:pPr>
      <w:r>
        <w:rPr>
          <w:rFonts w:ascii="Times New Roman" w:hAnsi="Times New Roman"/>
          <w:sz w:val="24"/>
          <w:szCs w:val="24"/>
          <w:lang w:val="pt-PT"/>
        </w:rPr>
        <w:t xml:space="preserve">A ação conjunta entre </w:t>
      </w:r>
      <w:r w:rsidR="000834BC">
        <w:rPr>
          <w:rFonts w:ascii="Times New Roman" w:hAnsi="Times New Roman"/>
          <w:sz w:val="24"/>
          <w:szCs w:val="24"/>
          <w:lang w:val="pt-PT"/>
        </w:rPr>
        <w:t>FIESP</w:t>
      </w:r>
      <w:r>
        <w:rPr>
          <w:rFonts w:ascii="Times New Roman" w:hAnsi="Times New Roman"/>
          <w:sz w:val="24"/>
          <w:szCs w:val="24"/>
          <w:lang w:val="pt-PT"/>
        </w:rPr>
        <w:t>, CNI e CUT pela ampliação do CMN consolidava-se não apenas em frentes de mobilizações e campanhas, repercutindo na grande mídia, angariando apoio de outros setores e exercendo forte pressão sobre o governo, mas também no plano programático e de princípios, dentro e fora do CDES. É o que se verifica no artigo “Pela ampliação do CMN”, assinado por Armando Monteiro Neto (CNI), Paulo Skaf (</w:t>
      </w:r>
      <w:r w:rsidR="000834BC">
        <w:rPr>
          <w:rFonts w:ascii="Times New Roman" w:hAnsi="Times New Roman"/>
          <w:sz w:val="24"/>
          <w:szCs w:val="24"/>
          <w:lang w:val="pt-PT"/>
        </w:rPr>
        <w:t>FIESP</w:t>
      </w:r>
      <w:r>
        <w:rPr>
          <w:rFonts w:ascii="Times New Roman" w:hAnsi="Times New Roman"/>
          <w:sz w:val="24"/>
          <w:szCs w:val="24"/>
          <w:lang w:val="pt-PT"/>
        </w:rPr>
        <w:t>) e Luiz Marinho (CUT), todos presidentes de suas entidades à época:</w:t>
      </w:r>
    </w:p>
    <w:p w:rsidR="003E7B44" w:rsidRDefault="00303FA9" w:rsidP="00303FA9">
      <w:pPr>
        <w:spacing w:after="0" w:line="240" w:lineRule="auto"/>
        <w:ind w:left="2268"/>
        <w:jc w:val="both"/>
        <w:rPr>
          <w:rFonts w:ascii="Times New Roman" w:hAnsi="Times New Roman"/>
          <w:sz w:val="20"/>
          <w:szCs w:val="20"/>
        </w:rPr>
      </w:pPr>
      <w:r w:rsidRPr="00C07453">
        <w:rPr>
          <w:rFonts w:ascii="Times New Roman" w:hAnsi="Times New Roman"/>
          <w:sz w:val="20"/>
          <w:szCs w:val="20"/>
        </w:rPr>
        <w:t xml:space="preserve">Assumir conjuntamente esta bandeira </w:t>
      </w:r>
      <w:r w:rsidR="00095250">
        <w:rPr>
          <w:rFonts w:ascii="Times New Roman" w:hAnsi="Times New Roman"/>
          <w:sz w:val="20"/>
          <w:szCs w:val="20"/>
        </w:rPr>
        <w:t>–</w:t>
      </w:r>
      <w:r w:rsidRPr="00C07453">
        <w:rPr>
          <w:rFonts w:ascii="Times New Roman" w:hAnsi="Times New Roman"/>
          <w:sz w:val="20"/>
          <w:szCs w:val="20"/>
        </w:rPr>
        <w:t xml:space="preserve"> trabalhadores e empresários, com apoio de intelectuais </w:t>
      </w:r>
      <w:r w:rsidR="00095250">
        <w:rPr>
          <w:rFonts w:ascii="Times New Roman" w:hAnsi="Times New Roman"/>
          <w:sz w:val="20"/>
          <w:szCs w:val="20"/>
        </w:rPr>
        <w:t>–</w:t>
      </w:r>
      <w:r w:rsidRPr="00C07453">
        <w:rPr>
          <w:rFonts w:ascii="Times New Roman" w:hAnsi="Times New Roman"/>
          <w:sz w:val="20"/>
          <w:szCs w:val="20"/>
        </w:rPr>
        <w:t xml:space="preserve"> tem um profundo significado para o nosso país. Ao longo dos dois últimos anos, na condição de representantes de diferentes interesses do mundo da produção, repetimos exaustivamente posições coincidentes sobre a necessidade de agregar às estratégias antiinflacionárias do CMN outras variáveis, como emprego e crescimento econômico.</w:t>
      </w:r>
    </w:p>
    <w:p w:rsidR="00303FA9" w:rsidRPr="00C07453" w:rsidRDefault="00303FA9" w:rsidP="00303FA9">
      <w:pPr>
        <w:spacing w:after="0" w:line="240" w:lineRule="auto"/>
        <w:ind w:left="2268"/>
        <w:jc w:val="both"/>
        <w:rPr>
          <w:rFonts w:ascii="Times New Roman" w:hAnsi="Times New Roman"/>
          <w:sz w:val="20"/>
          <w:szCs w:val="20"/>
        </w:rPr>
      </w:pPr>
      <w:r w:rsidRPr="00C07453">
        <w:rPr>
          <w:rFonts w:ascii="Times New Roman" w:hAnsi="Times New Roman"/>
          <w:sz w:val="20"/>
          <w:szCs w:val="20"/>
        </w:rPr>
        <w:t>Assim, agora resolvemos, com essa campanha, tornar pública nossa reivindicação de participação no órgão, de forma que ele atue em maior consonância com as aspirações da sociedade de maneira geral. (...)</w:t>
      </w:r>
    </w:p>
    <w:p w:rsidR="00303FA9" w:rsidRPr="00C07453" w:rsidRDefault="00303FA9" w:rsidP="00303FA9">
      <w:pPr>
        <w:spacing w:after="0" w:line="240" w:lineRule="auto"/>
        <w:ind w:left="2268"/>
        <w:jc w:val="both"/>
        <w:rPr>
          <w:rFonts w:ascii="Times New Roman" w:hAnsi="Times New Roman"/>
          <w:sz w:val="20"/>
          <w:szCs w:val="20"/>
        </w:rPr>
      </w:pPr>
      <w:r w:rsidRPr="00C07453">
        <w:rPr>
          <w:rFonts w:ascii="Times New Roman" w:hAnsi="Times New Roman"/>
          <w:sz w:val="20"/>
          <w:szCs w:val="20"/>
        </w:rPr>
        <w:t>No contexto da democratização do poder público, a participação de lideranças representativas dos trabalhadores, dos empresários e do meio acadêmico, entre outros, permitirá também maior transparência em suas decisões. (...)A ampliação do CMN é um dos caminhos que permitirão a imprescindível compatibilidade do objetivo da estabilização monetária com a necessária valorização da produção e do emprego.</w:t>
      </w:r>
      <w:r>
        <w:rPr>
          <w:rStyle w:val="Refdenotaderodap"/>
          <w:rFonts w:ascii="Times New Roman" w:hAnsi="Times New Roman"/>
          <w:sz w:val="20"/>
          <w:szCs w:val="20"/>
        </w:rPr>
        <w:footnoteReference w:id="461"/>
      </w:r>
    </w:p>
    <w:p w:rsidR="00303FA9" w:rsidRPr="00412531" w:rsidRDefault="00303FA9" w:rsidP="00303FA9">
      <w:pPr>
        <w:spacing w:after="0" w:line="360" w:lineRule="auto"/>
        <w:ind w:firstLine="708"/>
        <w:jc w:val="both"/>
        <w:rPr>
          <w:rFonts w:ascii="Times New Roman" w:hAnsi="Times New Roman"/>
          <w:sz w:val="24"/>
          <w:szCs w:val="24"/>
        </w:rPr>
      </w:pPr>
    </w:p>
    <w:p w:rsidR="00303FA9" w:rsidRDefault="00615FFB" w:rsidP="00303FA9">
      <w:pPr>
        <w:spacing w:after="0" w:line="360" w:lineRule="auto"/>
        <w:ind w:firstLine="708"/>
        <w:jc w:val="both"/>
        <w:rPr>
          <w:rFonts w:ascii="Times New Roman" w:hAnsi="Times New Roman"/>
          <w:sz w:val="24"/>
          <w:szCs w:val="24"/>
          <w:lang w:val="pt-PT"/>
        </w:rPr>
      </w:pPr>
      <w:r>
        <w:rPr>
          <w:rFonts w:ascii="Times New Roman" w:hAnsi="Times New Roman"/>
          <w:sz w:val="24"/>
          <w:szCs w:val="24"/>
          <w:lang w:val="pt-PT"/>
        </w:rPr>
        <w:t>O</w:t>
      </w:r>
      <w:r w:rsidR="00303FA9">
        <w:rPr>
          <w:rFonts w:ascii="Times New Roman" w:hAnsi="Times New Roman"/>
          <w:sz w:val="24"/>
          <w:szCs w:val="24"/>
          <w:lang w:val="pt-PT"/>
        </w:rPr>
        <w:t xml:space="preserve"> debate acerca da ampliação do CMN não teve início no CDES. E</w:t>
      </w:r>
      <w:r w:rsidR="00303FA9" w:rsidRPr="00EB3C71">
        <w:rPr>
          <w:rFonts w:ascii="Times New Roman" w:hAnsi="Times New Roman"/>
          <w:sz w:val="24"/>
          <w:szCs w:val="24"/>
        </w:rPr>
        <w:t>studos e pesquisas acerca do tema estavam sendo demandados e elaborados pelas entidades patronais muito antes</w:t>
      </w:r>
      <w:r w:rsidR="00303FA9">
        <w:rPr>
          <w:rFonts w:ascii="Times New Roman" w:hAnsi="Times New Roman"/>
          <w:sz w:val="24"/>
          <w:szCs w:val="24"/>
        </w:rPr>
        <w:t xml:space="preserve"> de aparecer e se tornar pauta de reivindicação recorrente no Conselho.</w:t>
      </w:r>
      <w:r w:rsidR="00303FA9">
        <w:rPr>
          <w:rFonts w:ascii="Times New Roman" w:hAnsi="Times New Roman"/>
          <w:sz w:val="24"/>
          <w:szCs w:val="24"/>
          <w:lang w:val="pt-PT"/>
        </w:rPr>
        <w:t xml:space="preserve"> Algumas notícias vinculadas ao assunto estavam sendo ventiladas na grande mídia já em setembro de 2004. O levantamento que fizemos nos mostrou que o trato mais sistêmico e aprofundado sobre o assunto foi feito </w:t>
      </w:r>
      <w:r w:rsidR="00303FA9" w:rsidRPr="001C5063">
        <w:rPr>
          <w:rFonts w:ascii="Times New Roman" w:hAnsi="Times New Roman"/>
          <w:i/>
          <w:sz w:val="24"/>
          <w:szCs w:val="24"/>
          <w:lang w:val="pt-PT"/>
        </w:rPr>
        <w:t>pioneiramente</w:t>
      </w:r>
      <w:r w:rsidR="00303FA9">
        <w:rPr>
          <w:rFonts w:ascii="Times New Roman" w:hAnsi="Times New Roman"/>
          <w:sz w:val="24"/>
          <w:szCs w:val="24"/>
          <w:lang w:val="pt-PT"/>
        </w:rPr>
        <w:t xml:space="preserve"> por </w:t>
      </w:r>
      <w:r w:rsidR="00FF0878">
        <w:rPr>
          <w:rFonts w:ascii="Times New Roman" w:hAnsi="Times New Roman"/>
          <w:sz w:val="24"/>
          <w:szCs w:val="24"/>
          <w:lang w:val="pt-PT"/>
        </w:rPr>
        <w:t>professores</w:t>
      </w:r>
      <w:r w:rsidR="00303FA9">
        <w:rPr>
          <w:rFonts w:ascii="Times New Roman" w:hAnsi="Times New Roman"/>
          <w:sz w:val="24"/>
          <w:szCs w:val="24"/>
          <w:lang w:val="pt-PT"/>
        </w:rPr>
        <w:t xml:space="preserve"> acadêmicos vinculados a FIEP, cuja presidência era ocupada pelo conselheiro Rodrigo Loures. A CUT manifestou-se um pouco mais tardiamente e em consonância com os termos defendidos pelas entidades patronais.</w:t>
      </w:r>
    </w:p>
    <w:p w:rsidR="001D58B7" w:rsidRDefault="00303FA9" w:rsidP="00C94153">
      <w:pPr>
        <w:spacing w:after="0" w:line="360" w:lineRule="auto"/>
        <w:ind w:firstLine="708"/>
        <w:jc w:val="both"/>
        <w:rPr>
          <w:rFonts w:ascii="Times New Roman" w:hAnsi="Times New Roman"/>
          <w:sz w:val="24"/>
          <w:szCs w:val="24"/>
          <w:lang w:val="pt-PT"/>
        </w:rPr>
      </w:pPr>
      <w:r>
        <w:rPr>
          <w:rFonts w:ascii="Times New Roman" w:hAnsi="Times New Roman"/>
          <w:sz w:val="24"/>
          <w:szCs w:val="24"/>
          <w:lang w:val="pt-PT"/>
        </w:rPr>
        <w:t>Parece-nos claro, contudo, que foi no âmbito do CDES que a questão foi, durante algumas reuniões plenárias, sendo tensamente requentada e ajustada à luz do atendimento dos interesses das associações patronais representativas do setor industrial</w:t>
      </w:r>
      <w:r w:rsidR="00EE1CD8">
        <w:rPr>
          <w:rFonts w:ascii="Times New Roman" w:hAnsi="Times New Roman"/>
          <w:sz w:val="24"/>
          <w:szCs w:val="24"/>
          <w:lang w:val="pt-PT"/>
        </w:rPr>
        <w:t xml:space="preserve"> (produtor de valor)</w:t>
      </w:r>
      <w:r>
        <w:rPr>
          <w:rFonts w:ascii="Times New Roman" w:hAnsi="Times New Roman"/>
          <w:sz w:val="24"/>
          <w:szCs w:val="24"/>
          <w:lang w:val="pt-PT"/>
        </w:rPr>
        <w:t xml:space="preserve">, em aliança com o setor sindical. Para além dos recursos rotineiros de expressão de suas demandas por meio da grande mídia, dos órgãos de imprensa de suas próprias entidades e da tribuna parlamentar, empresários e sindicalistas encontraram no CDES meio e guarida eficaz de propagação e alardeamento </w:t>
      </w:r>
      <w:r w:rsidR="00FF0878">
        <w:rPr>
          <w:rFonts w:ascii="Times New Roman" w:hAnsi="Times New Roman"/>
          <w:sz w:val="24"/>
          <w:szCs w:val="24"/>
          <w:lang w:val="pt-PT"/>
        </w:rPr>
        <w:t>da pauta</w:t>
      </w:r>
      <w:r>
        <w:rPr>
          <w:rFonts w:ascii="Times New Roman" w:hAnsi="Times New Roman"/>
          <w:sz w:val="24"/>
          <w:szCs w:val="24"/>
          <w:lang w:val="pt-PT"/>
        </w:rPr>
        <w:t xml:space="preserve"> em questão, que rapidamente tomou </w:t>
      </w:r>
      <w:r w:rsidRPr="00F76BD9">
        <w:rPr>
          <w:rFonts w:ascii="Times New Roman" w:hAnsi="Times New Roman"/>
          <w:i/>
          <w:sz w:val="24"/>
          <w:szCs w:val="24"/>
          <w:lang w:val="pt-PT"/>
        </w:rPr>
        <w:t>status</w:t>
      </w:r>
      <w:r>
        <w:rPr>
          <w:rFonts w:ascii="Times New Roman" w:hAnsi="Times New Roman"/>
          <w:sz w:val="24"/>
          <w:szCs w:val="24"/>
          <w:lang w:val="pt-PT"/>
        </w:rPr>
        <w:t xml:space="preserve"> de prioridade nacional em sua conversão em demandas gerais, justificado pela necessidade de afrouxamento do torniquete imposto pela equipe econômica.  Para tanto, o discurso das lideranças das entidades empresariais industriais </w:t>
      </w:r>
      <w:r>
        <w:rPr>
          <w:rFonts w:ascii="Times New Roman" w:hAnsi="Times New Roman"/>
          <w:i/>
          <w:sz w:val="24"/>
          <w:szCs w:val="24"/>
          <w:lang w:val="pt-PT"/>
        </w:rPr>
        <w:t xml:space="preserve">precisava </w:t>
      </w:r>
      <w:r>
        <w:rPr>
          <w:rFonts w:ascii="Times New Roman" w:hAnsi="Times New Roman"/>
          <w:sz w:val="24"/>
          <w:szCs w:val="24"/>
          <w:lang w:val="pt-PT"/>
        </w:rPr>
        <w:t>identificar o máximo possível tal iniciativa a temas sensíveis e de forte apelo s</w:t>
      </w:r>
      <w:r w:rsidR="00CA0999">
        <w:rPr>
          <w:rFonts w:ascii="Times New Roman" w:hAnsi="Times New Roman"/>
          <w:sz w:val="24"/>
          <w:szCs w:val="24"/>
          <w:lang w:val="pt-PT"/>
        </w:rPr>
        <w:t>o</w:t>
      </w:r>
      <w:r>
        <w:rPr>
          <w:rFonts w:ascii="Times New Roman" w:hAnsi="Times New Roman"/>
          <w:sz w:val="24"/>
          <w:szCs w:val="24"/>
          <w:lang w:val="pt-PT"/>
        </w:rPr>
        <w:t xml:space="preserve">ciopolítico frente às forças social-liberais, o qual contou com a ajuda das centrais e sindicatos laborais da base de apoio do governo, como “democracia participativa” ou “participação social”, “reforma do Estado”, “tornar mais permeável a burocracia conservadora”, “transparência nas decisões”, “governança macroeconômica eficiente”, com vistas a abreviar, ou melhor, a encontrar caminhos e instrumentos ditos mais profícuos e alternativos de política econômica para a retomada do “desenvolvimento” do país, complementando os empregados até então. </w:t>
      </w:r>
    </w:p>
    <w:p w:rsidR="00303FA9" w:rsidRDefault="008B547C" w:rsidP="00303FA9">
      <w:pPr>
        <w:spacing w:line="360" w:lineRule="auto"/>
        <w:ind w:firstLine="708"/>
        <w:jc w:val="both"/>
        <w:rPr>
          <w:rFonts w:ascii="Times New Roman" w:hAnsi="Times New Roman"/>
          <w:sz w:val="24"/>
          <w:szCs w:val="24"/>
          <w:lang w:val="pt-PT"/>
        </w:rPr>
      </w:pPr>
      <w:r>
        <w:rPr>
          <w:rFonts w:ascii="Times New Roman" w:hAnsi="Times New Roman"/>
          <w:sz w:val="24"/>
          <w:szCs w:val="24"/>
          <w:lang w:val="pt-PT"/>
        </w:rPr>
        <w:t>F</w:t>
      </w:r>
      <w:r w:rsidR="00303FA9">
        <w:rPr>
          <w:rFonts w:ascii="Times New Roman" w:hAnsi="Times New Roman"/>
          <w:sz w:val="24"/>
          <w:szCs w:val="24"/>
          <w:lang w:val="pt-PT"/>
        </w:rPr>
        <w:t xml:space="preserve">oi estratégico o consenso ativo obtido de segmentos sociais minoritários presentes no CDES, através de atuação persistente expressa seja pela elaboração e divulgação de estudos, pesquisas e textos de intervenção realizada também pelos intelectuais acadêmicos presentes no CDES, dos quais a conselheira Sonia Fleury destacou-se como protagonista seja pela articulação e sustentação político-ideológica consistente e refinada, que se refletia na formulação de intervenções realizadas nas reuniões plenárias por parte de lideranças destes setores. Por se autolegitimar como uma arena promotora da concertação social, os documentos do CDES, obviamente, não trazem elementos que explicitem claramente as articulações e coalizões prévias, constituídas por grupos com mesma afinidade político-ideológica, senão pela ilação feita pelo pesquisador a partir de análises de discursos das atas das reuniões. Lançando mão de entrevistas com alguns conselheiros Vizeu e Bin, entretanto, corroboram com a referida hipótese de ações previamente articuladas por parte de alguns setores no CDES. Um de seus entrevistados revela a existência de um “conselhinho”, formado pela “esquerda do Conselho” que, </w:t>
      </w:r>
      <w:r w:rsidR="00FF0878">
        <w:rPr>
          <w:rFonts w:ascii="Times New Roman" w:hAnsi="Times New Roman"/>
          <w:sz w:val="24"/>
          <w:szCs w:val="24"/>
          <w:lang w:val="pt-PT"/>
        </w:rPr>
        <w:t xml:space="preserve">tal qual </w:t>
      </w:r>
      <w:r w:rsidR="00303FA9">
        <w:rPr>
          <w:rFonts w:ascii="Times New Roman" w:hAnsi="Times New Roman"/>
          <w:sz w:val="24"/>
          <w:szCs w:val="24"/>
          <w:lang w:val="pt-PT"/>
        </w:rPr>
        <w:t>os empresários, seria uma das alianças internas mais organizadas no CDES. A formação deste “fórum informal” teria sido constituído  por um grupo</w:t>
      </w:r>
    </w:p>
    <w:p w:rsidR="00303FA9" w:rsidRDefault="00303FA9" w:rsidP="00303FA9">
      <w:pPr>
        <w:autoSpaceDE w:val="0"/>
        <w:autoSpaceDN w:val="0"/>
        <w:adjustRightInd w:val="0"/>
        <w:spacing w:after="0" w:line="240" w:lineRule="auto"/>
        <w:ind w:left="2268"/>
        <w:jc w:val="both"/>
        <w:rPr>
          <w:rFonts w:ascii="CharterBT-Roman" w:hAnsi="CharterBT-Roman" w:cs="CharterBT-Roman"/>
          <w:sz w:val="21"/>
          <w:szCs w:val="21"/>
        </w:rPr>
      </w:pPr>
      <w:r>
        <w:rPr>
          <w:rFonts w:ascii="CharterBT-Roman" w:hAnsi="CharterBT-Roman" w:cs="CharterBT-Roman"/>
          <w:sz w:val="21"/>
          <w:szCs w:val="21"/>
        </w:rPr>
        <w:t>(...) de aproximadamente 15 conselheiros que, antes de cada reunião de Grupo Temático ou do Pleno, se reúne em âmbito distinto do CDES. Segundo o entrevistado, “com isso foi se criando um fórum de discussão, de conversa, de troca de idéias, onde ninguém é obrigado a concordar com ninguém”.</w:t>
      </w:r>
      <w:r>
        <w:rPr>
          <w:rStyle w:val="Refdenotaderodap"/>
          <w:rFonts w:ascii="CharterBT-Roman" w:hAnsi="CharterBT-Roman" w:cs="CharterBT-Roman"/>
          <w:sz w:val="21"/>
          <w:szCs w:val="21"/>
        </w:rPr>
        <w:footnoteReference w:id="462"/>
      </w:r>
    </w:p>
    <w:p w:rsidR="00303FA9" w:rsidRDefault="00303FA9" w:rsidP="00303FA9">
      <w:pPr>
        <w:autoSpaceDE w:val="0"/>
        <w:autoSpaceDN w:val="0"/>
        <w:adjustRightInd w:val="0"/>
        <w:spacing w:after="0" w:line="240" w:lineRule="auto"/>
        <w:rPr>
          <w:rFonts w:ascii="Times New Roman" w:hAnsi="Times New Roman"/>
          <w:sz w:val="24"/>
          <w:szCs w:val="24"/>
          <w:lang w:val="pt-PT"/>
        </w:rPr>
      </w:pPr>
    </w:p>
    <w:p w:rsidR="00AD6394" w:rsidRDefault="00303FA9" w:rsidP="00303FA9">
      <w:pPr>
        <w:spacing w:after="0" w:line="360" w:lineRule="auto"/>
        <w:ind w:firstLine="708"/>
        <w:jc w:val="both"/>
        <w:rPr>
          <w:rFonts w:ascii="Times New Roman" w:hAnsi="Times New Roman"/>
          <w:sz w:val="24"/>
          <w:szCs w:val="24"/>
          <w:lang w:val="pt-PT"/>
        </w:rPr>
      </w:pPr>
      <w:r>
        <w:rPr>
          <w:rFonts w:ascii="Times New Roman" w:hAnsi="Times New Roman"/>
          <w:sz w:val="24"/>
          <w:szCs w:val="24"/>
          <w:lang w:val="pt-PT"/>
        </w:rPr>
        <w:t>No CDES, o debate perpassou algumas reuniões e mobilizou argumentos que, na sua amplitude, ajudam também a compreender as percepções e estratégias assumidas para o projeto de hegemonia que se propunha. Questões político-sociais se imiscuiam com as econômicas, não havendo claramente uma divisão nítida de abordagens entre o</w:t>
      </w:r>
      <w:r w:rsidR="0048421B">
        <w:rPr>
          <w:rFonts w:ascii="Times New Roman" w:hAnsi="Times New Roman"/>
          <w:sz w:val="24"/>
          <w:szCs w:val="24"/>
          <w:lang w:val="pt-PT"/>
        </w:rPr>
        <w:t>s setores empresariais deprodução</w:t>
      </w:r>
      <w:r w:rsidR="00C94153">
        <w:rPr>
          <w:rFonts w:ascii="Times New Roman" w:hAnsi="Times New Roman"/>
          <w:sz w:val="24"/>
          <w:szCs w:val="24"/>
          <w:lang w:val="pt-PT"/>
        </w:rPr>
        <w:t xml:space="preserve"> de valor</w:t>
      </w:r>
      <w:r>
        <w:rPr>
          <w:rFonts w:ascii="Times New Roman" w:hAnsi="Times New Roman"/>
          <w:sz w:val="24"/>
          <w:szCs w:val="24"/>
          <w:lang w:val="pt-PT"/>
        </w:rPr>
        <w:t xml:space="preserve"> e os demais que apoiavam a proposta. Para os primeiros importava flexibilizar os instrumentos de política econômica em vigor, com foco nas metas inflacionarias, com vistas a alargar e potencializar mecanismos</w:t>
      </w:r>
      <w:r w:rsidR="00AD6394">
        <w:rPr>
          <w:rFonts w:ascii="Times New Roman" w:hAnsi="Times New Roman"/>
          <w:sz w:val="24"/>
          <w:szCs w:val="24"/>
          <w:lang w:val="pt-PT"/>
        </w:rPr>
        <w:t xml:space="preserve"> que</w:t>
      </w:r>
      <w:r>
        <w:rPr>
          <w:rFonts w:ascii="Times New Roman" w:hAnsi="Times New Roman"/>
          <w:sz w:val="24"/>
          <w:szCs w:val="24"/>
          <w:lang w:val="pt-PT"/>
        </w:rPr>
        <w:t xml:space="preserve"> conduzissem à expansão do financiamento, do investimento, da produção, das exportações e do atendimento ao mercado interno, enfim, dos fatores necessários ao </w:t>
      </w:r>
      <w:r w:rsidRPr="00660045">
        <w:rPr>
          <w:rFonts w:ascii="Times New Roman" w:hAnsi="Times New Roman"/>
          <w:i/>
          <w:sz w:val="24"/>
          <w:szCs w:val="24"/>
          <w:lang w:val="pt-PT"/>
        </w:rPr>
        <w:t>crescimento econômico a partir da redução dos custos do capital</w:t>
      </w:r>
      <w:r>
        <w:rPr>
          <w:rFonts w:ascii="Times New Roman" w:hAnsi="Times New Roman"/>
          <w:sz w:val="24"/>
          <w:szCs w:val="24"/>
          <w:lang w:val="pt-PT"/>
        </w:rPr>
        <w:t xml:space="preserve">. Para os segundos a justificativa para a ampliação do CMN incorporava o debate econômico, </w:t>
      </w:r>
      <w:r w:rsidRPr="00441A87">
        <w:rPr>
          <w:rFonts w:ascii="Times New Roman" w:hAnsi="Times New Roman"/>
          <w:sz w:val="24"/>
          <w:szCs w:val="24"/>
          <w:lang w:val="pt-PT"/>
        </w:rPr>
        <w:t xml:space="preserve">mas apenas na medida em que convergisse </w:t>
      </w:r>
      <w:r>
        <w:rPr>
          <w:rFonts w:ascii="Times New Roman" w:hAnsi="Times New Roman"/>
          <w:sz w:val="24"/>
          <w:szCs w:val="24"/>
          <w:lang w:val="pt-PT"/>
        </w:rPr>
        <w:t>para a melhoria da distribuição de renda (via geração de empregos, aumento do consumo e da renda, dos programas sociais e de transferência de renda etc) e de aprimoramento e alargamento da democracia, já que, neste item, tratava-se de “pensar mecanismos de democracia participativa também na política econômica, e não só nas políticas sociais, como já acontece”, na argumentação de José Antônio Moroni na 12ª Reunião Plenária. Como se disse, a linha que diferenciava os posicionamentos adotados pelos segmentos sociais pró-ampliação da composição do CMN era bastante tênue e, quase em todas situações, ne</w:t>
      </w:r>
      <w:r w:rsidR="00660045">
        <w:rPr>
          <w:rFonts w:ascii="Times New Roman" w:hAnsi="Times New Roman"/>
          <w:sz w:val="24"/>
          <w:szCs w:val="24"/>
          <w:lang w:val="pt-PT"/>
        </w:rPr>
        <w:t xml:space="preserve">cessariamente complementava-se. </w:t>
      </w:r>
    </w:p>
    <w:p w:rsidR="00C94153" w:rsidRDefault="00660045" w:rsidP="00303FA9">
      <w:pPr>
        <w:spacing w:after="0" w:line="360" w:lineRule="auto"/>
        <w:ind w:firstLine="708"/>
        <w:jc w:val="both"/>
        <w:rPr>
          <w:rFonts w:ascii="Times New Roman" w:hAnsi="Times New Roman"/>
          <w:sz w:val="24"/>
          <w:szCs w:val="24"/>
          <w:lang w:val="pt-PT"/>
        </w:rPr>
      </w:pPr>
      <w:r>
        <w:rPr>
          <w:rFonts w:ascii="Times New Roman" w:hAnsi="Times New Roman"/>
          <w:sz w:val="24"/>
          <w:szCs w:val="24"/>
          <w:lang w:val="pt-PT"/>
        </w:rPr>
        <w:t>N</w:t>
      </w:r>
      <w:r w:rsidR="00303FA9">
        <w:rPr>
          <w:rFonts w:ascii="Times New Roman" w:hAnsi="Times New Roman"/>
          <w:sz w:val="24"/>
          <w:szCs w:val="24"/>
          <w:lang w:val="pt-PT"/>
        </w:rPr>
        <w:t>a ininterrupta construção de um projeto hegemônico burguês, não bastava simplesmente defender o crescimento econômico</w:t>
      </w:r>
      <w:r>
        <w:rPr>
          <w:rFonts w:ascii="Times New Roman" w:hAnsi="Times New Roman"/>
          <w:sz w:val="24"/>
          <w:szCs w:val="24"/>
          <w:lang w:val="pt-PT"/>
        </w:rPr>
        <w:t xml:space="preserve">, mas era preciso </w:t>
      </w:r>
      <w:r w:rsidR="00303FA9">
        <w:rPr>
          <w:rFonts w:ascii="Times New Roman" w:hAnsi="Times New Roman"/>
          <w:sz w:val="24"/>
          <w:szCs w:val="24"/>
          <w:lang w:val="pt-PT"/>
        </w:rPr>
        <w:t>valorizar os supostos atributos sociais dele derivados</w:t>
      </w:r>
      <w:r>
        <w:rPr>
          <w:rFonts w:ascii="Times New Roman" w:hAnsi="Times New Roman"/>
          <w:sz w:val="24"/>
          <w:szCs w:val="24"/>
          <w:lang w:val="pt-PT"/>
        </w:rPr>
        <w:t>. O crescimento se tornava a “chave mestra”:</w:t>
      </w:r>
      <w:r w:rsidR="00303FA9">
        <w:rPr>
          <w:rFonts w:ascii="Times New Roman" w:hAnsi="Times New Roman"/>
          <w:sz w:val="24"/>
          <w:szCs w:val="24"/>
          <w:lang w:val="pt-PT"/>
        </w:rPr>
        <w:t xml:space="preserve"> sem ele não existiria outra possibilidade de mitigação do flagelo social, tendo em vista o completo abandono – jamais mencionada no âmbito do CDES, evidentemente </w:t>
      </w:r>
      <w:r w:rsidR="00095250">
        <w:rPr>
          <w:rFonts w:ascii="Times New Roman" w:hAnsi="Times New Roman"/>
          <w:sz w:val="24"/>
          <w:szCs w:val="24"/>
          <w:lang w:val="pt-PT"/>
        </w:rPr>
        <w:t>–</w:t>
      </w:r>
      <w:r w:rsidR="00303FA9">
        <w:rPr>
          <w:rFonts w:ascii="Times New Roman" w:hAnsi="Times New Roman"/>
          <w:sz w:val="24"/>
          <w:szCs w:val="24"/>
          <w:lang w:val="pt-PT"/>
        </w:rPr>
        <w:t xml:space="preserve"> da alternativa socialista. </w:t>
      </w:r>
    </w:p>
    <w:p w:rsidR="00303FA9" w:rsidRDefault="00303FA9" w:rsidP="00303FA9">
      <w:pPr>
        <w:spacing w:line="360" w:lineRule="auto"/>
        <w:ind w:firstLine="708"/>
        <w:jc w:val="both"/>
        <w:rPr>
          <w:rFonts w:ascii="Times New Roman" w:hAnsi="Times New Roman"/>
          <w:sz w:val="24"/>
          <w:szCs w:val="24"/>
          <w:lang w:val="pt-PT"/>
        </w:rPr>
      </w:pPr>
      <w:r>
        <w:rPr>
          <w:rFonts w:ascii="Times New Roman" w:hAnsi="Times New Roman"/>
          <w:sz w:val="24"/>
          <w:szCs w:val="24"/>
          <w:lang w:val="pt-PT"/>
        </w:rPr>
        <w:t xml:space="preserve">Declarações neste sentido foram inúmeras, bastando, a título de ilustração, trazer a do conselheiro Robson Andrade (à época presidente da FIEMG e atual presidente da CNI, </w:t>
      </w:r>
      <w:r w:rsidRPr="00F96C1F">
        <w:rPr>
          <w:rFonts w:ascii="Times New Roman" w:hAnsi="Times New Roman"/>
          <w:sz w:val="24"/>
          <w:szCs w:val="24"/>
          <w:lang w:val="pt-PT"/>
        </w:rPr>
        <w:t>assumindo</w:t>
      </w:r>
      <w:r>
        <w:rPr>
          <w:rFonts w:ascii="Times New Roman" w:hAnsi="Times New Roman"/>
          <w:sz w:val="24"/>
          <w:szCs w:val="24"/>
          <w:lang w:val="pt-PT"/>
        </w:rPr>
        <w:t>o lugar de Armando Monteiro Neto desde 2010):</w:t>
      </w:r>
    </w:p>
    <w:p w:rsidR="00303FA9" w:rsidRPr="00BC19E8" w:rsidRDefault="00303FA9" w:rsidP="00303FA9">
      <w:pPr>
        <w:spacing w:line="240" w:lineRule="auto"/>
        <w:ind w:left="2268"/>
        <w:jc w:val="both"/>
        <w:rPr>
          <w:rFonts w:ascii="Times New Roman" w:hAnsi="Times New Roman"/>
          <w:sz w:val="20"/>
          <w:szCs w:val="20"/>
          <w:lang w:val="pt-PT"/>
        </w:rPr>
      </w:pPr>
      <w:r w:rsidRPr="00BC19E8">
        <w:rPr>
          <w:rFonts w:ascii="Times New Roman" w:hAnsi="Times New Roman"/>
          <w:sz w:val="20"/>
          <w:szCs w:val="20"/>
          <w:lang w:val="pt-PT"/>
        </w:rPr>
        <w:t>(...) estamos convencidos de que só o crescimento econômico susentável e consciente como instrumento de distribuição de renda é capaz de solucionar de forma estruturada questões sociais. Medidas compensatórias têm o mérito de permitir superação, períodos de retração produtiva, causando sofrimento de populações pobres, mas não devem ser políticas permanentes. O desenvolvimento, este sim deve ser buscado de forma duradoura. Crescimento econômico e economia social precisam andar juntas contribuindo para romper o ciclo da pobreza e da servidão</w:t>
      </w:r>
      <w:r>
        <w:rPr>
          <w:rFonts w:ascii="Times New Roman" w:hAnsi="Times New Roman"/>
          <w:sz w:val="20"/>
          <w:szCs w:val="20"/>
          <w:lang w:val="pt-PT"/>
        </w:rPr>
        <w:t xml:space="preserve"> (ATA da 12ª Reunião Plenária, 19/05/2005, p. 07).</w:t>
      </w:r>
    </w:p>
    <w:p w:rsidR="00303FA9" w:rsidRDefault="00303FA9" w:rsidP="00303FA9">
      <w:pPr>
        <w:spacing w:after="0" w:line="360" w:lineRule="auto"/>
        <w:ind w:firstLine="708"/>
        <w:jc w:val="both"/>
        <w:rPr>
          <w:rFonts w:ascii="Times New Roman" w:hAnsi="Times New Roman"/>
          <w:sz w:val="24"/>
          <w:szCs w:val="24"/>
          <w:lang w:val="pt-PT"/>
        </w:rPr>
      </w:pPr>
      <w:r>
        <w:rPr>
          <w:rFonts w:ascii="Times New Roman" w:hAnsi="Times New Roman"/>
          <w:sz w:val="24"/>
          <w:szCs w:val="24"/>
          <w:lang w:val="pt-PT"/>
        </w:rPr>
        <w:t xml:space="preserve">Houve, entretanto, fortes divergências quanto a validade ou a conveniência da proposta de ampliação do CMN no interior da classe empresarial, tributárias não somente mas especialmente das articulações entre </w:t>
      </w:r>
      <w:r w:rsidRPr="00412ADF">
        <w:rPr>
          <w:rFonts w:ascii="Times New Roman" w:hAnsi="Times New Roman"/>
          <w:sz w:val="24"/>
          <w:szCs w:val="24"/>
          <w:lang w:val="pt-PT"/>
        </w:rPr>
        <w:t xml:space="preserve">conselheiros vinculados ao </w:t>
      </w:r>
      <w:r w:rsidR="00CB1E63" w:rsidRPr="00412ADF">
        <w:rPr>
          <w:rFonts w:ascii="Times New Roman" w:hAnsi="Times New Roman"/>
          <w:sz w:val="24"/>
          <w:szCs w:val="24"/>
          <w:lang w:val="pt-PT"/>
        </w:rPr>
        <w:t xml:space="preserve">grande capital monopolista, em especial o </w:t>
      </w:r>
      <w:r w:rsidRPr="00412ADF">
        <w:rPr>
          <w:rFonts w:ascii="Times New Roman" w:hAnsi="Times New Roman"/>
          <w:sz w:val="24"/>
          <w:szCs w:val="24"/>
          <w:lang w:val="pt-PT"/>
        </w:rPr>
        <w:t>setor bancário. Tratava-se de um grupo restrito de conselheiros, mas fortes o bastante para azedar a famigerada concertação</w:t>
      </w:r>
      <w:r>
        <w:rPr>
          <w:rFonts w:ascii="Times New Roman" w:hAnsi="Times New Roman"/>
          <w:sz w:val="24"/>
          <w:szCs w:val="24"/>
          <w:lang w:val="pt-PT"/>
        </w:rPr>
        <w:t>. Com o avanço paulatino da pauta que poderia atingir ou ameaçar diretamente seus poderosos interesses políticos e econômicos, aliado às mobilizações nas entidades da sociedade civil, trataram rapidamente de se articular e passaram a se manifestar nas plenárias, rompendo a condição de “produtores de silêncio”, situação reclamada por vários conselheiros no evento realizado pelo CDES em agosto de 2004, como vimos no capítulo 1.</w:t>
      </w:r>
    </w:p>
    <w:p w:rsidR="00303FA9" w:rsidRDefault="00303FA9" w:rsidP="00303FA9">
      <w:pPr>
        <w:spacing w:line="360" w:lineRule="auto"/>
        <w:ind w:firstLine="708"/>
        <w:jc w:val="both"/>
        <w:rPr>
          <w:rFonts w:ascii="Times New Roman" w:hAnsi="Times New Roman"/>
          <w:sz w:val="24"/>
          <w:szCs w:val="24"/>
          <w:lang w:val="pt-PT"/>
        </w:rPr>
      </w:pPr>
      <w:r>
        <w:rPr>
          <w:rFonts w:ascii="Times New Roman" w:hAnsi="Times New Roman"/>
          <w:sz w:val="24"/>
          <w:szCs w:val="24"/>
          <w:lang w:val="pt-PT"/>
        </w:rPr>
        <w:t>Na 11ª reunião plenária</w:t>
      </w:r>
      <w:r w:rsidR="00CB1E63">
        <w:rPr>
          <w:rFonts w:ascii="Times New Roman" w:hAnsi="Times New Roman"/>
          <w:sz w:val="24"/>
          <w:szCs w:val="24"/>
          <w:lang w:val="pt-PT"/>
        </w:rPr>
        <w:t>, em março de 2005,</w:t>
      </w:r>
      <w:r>
        <w:rPr>
          <w:rFonts w:ascii="Times New Roman" w:hAnsi="Times New Roman"/>
          <w:sz w:val="24"/>
          <w:szCs w:val="24"/>
          <w:lang w:val="pt-PT"/>
        </w:rPr>
        <w:t xml:space="preserve"> a conselheira Sonia Fleury apresentou à plenária a moção por ela elaborada, fruto do amadurecimento dos debates no interior do Grupo de Trabalho Fundamentos Estratégicos para o Desenvolvimento (GTEFD) e que deveria ser debatida naquela ocasião e, caso aprovada, encaminhada à Presidência da República. Sabedor dos descontentamentos presentes, o secretário-executivo do CDES, Jaques Wagner, designou a formação de um grupo de trabalho a fim de que se tentasse “o exercício do diálogo e da tentativa de aproximação”. A escolha dos conselheiros que comporiam o grupo de trabalho foi assim justificada pelo secretário:</w:t>
      </w:r>
    </w:p>
    <w:p w:rsidR="00303FA9" w:rsidRPr="00BE75BF" w:rsidRDefault="00303FA9" w:rsidP="00303FA9">
      <w:pPr>
        <w:spacing w:after="0" w:line="240" w:lineRule="auto"/>
        <w:ind w:left="2268"/>
        <w:jc w:val="both"/>
        <w:rPr>
          <w:rFonts w:ascii="Times New Roman" w:hAnsi="Times New Roman"/>
          <w:sz w:val="20"/>
          <w:szCs w:val="20"/>
          <w:lang w:val="pt-PT"/>
        </w:rPr>
      </w:pPr>
      <w:r w:rsidRPr="00CB1E63">
        <w:rPr>
          <w:rFonts w:ascii="Times New Roman" w:hAnsi="Times New Roman"/>
          <w:b/>
          <w:sz w:val="20"/>
          <w:szCs w:val="20"/>
          <w:lang w:val="pt-PT"/>
        </w:rPr>
        <w:t>Sonia Fleury</w:t>
      </w:r>
      <w:r w:rsidRPr="00BE75BF">
        <w:rPr>
          <w:rFonts w:ascii="Times New Roman" w:hAnsi="Times New Roman"/>
          <w:sz w:val="20"/>
          <w:szCs w:val="20"/>
          <w:lang w:val="pt-PT"/>
        </w:rPr>
        <w:t xml:space="preserve">, que é quem trouxe a nós essa moção; o conselheiro </w:t>
      </w:r>
      <w:r w:rsidRPr="00CB1E63">
        <w:rPr>
          <w:rFonts w:ascii="Times New Roman" w:hAnsi="Times New Roman"/>
          <w:b/>
          <w:sz w:val="20"/>
          <w:szCs w:val="20"/>
          <w:lang w:val="pt-PT"/>
        </w:rPr>
        <w:t>Rodrigo Loures</w:t>
      </w:r>
      <w:r w:rsidRPr="00BE75BF">
        <w:rPr>
          <w:rFonts w:ascii="Times New Roman" w:hAnsi="Times New Roman"/>
          <w:sz w:val="20"/>
          <w:szCs w:val="20"/>
          <w:lang w:val="pt-PT"/>
        </w:rPr>
        <w:t xml:space="preserve"> porque também apresentou uma proposição sobre o mesmo tema dentro do grupo Fundamentos Estratégicos e se manifestou inclusive publicamente em artigo em jornal; o conselheiro </w:t>
      </w:r>
      <w:r w:rsidRPr="00CB1E63">
        <w:rPr>
          <w:rFonts w:ascii="Times New Roman" w:hAnsi="Times New Roman"/>
          <w:b/>
          <w:sz w:val="20"/>
          <w:szCs w:val="20"/>
          <w:lang w:val="pt-PT"/>
        </w:rPr>
        <w:t>Paulo Skaf</w:t>
      </w:r>
      <w:r w:rsidRPr="00BE75BF">
        <w:rPr>
          <w:rFonts w:ascii="Times New Roman" w:hAnsi="Times New Roman"/>
          <w:sz w:val="20"/>
          <w:szCs w:val="20"/>
          <w:lang w:val="pt-PT"/>
        </w:rPr>
        <w:t xml:space="preserve">, por ter também se manifestado; o </w:t>
      </w:r>
      <w:r w:rsidRPr="00CB1E63">
        <w:rPr>
          <w:rFonts w:ascii="Times New Roman" w:hAnsi="Times New Roman"/>
          <w:b/>
          <w:sz w:val="20"/>
          <w:szCs w:val="20"/>
          <w:lang w:val="pt-PT"/>
        </w:rPr>
        <w:t>Márcio Cypriano</w:t>
      </w:r>
      <w:r w:rsidRPr="00BE75BF">
        <w:rPr>
          <w:rFonts w:ascii="Times New Roman" w:hAnsi="Times New Roman"/>
          <w:sz w:val="20"/>
          <w:szCs w:val="20"/>
          <w:lang w:val="pt-PT"/>
        </w:rPr>
        <w:t xml:space="preserve">, que é presidente da Febraban, porque é evidente que o setor financeiro tem a sua posição sobre o tema; </w:t>
      </w:r>
      <w:r>
        <w:rPr>
          <w:rFonts w:ascii="Times New Roman" w:hAnsi="Times New Roman"/>
          <w:sz w:val="20"/>
          <w:szCs w:val="20"/>
          <w:lang w:val="pt-PT"/>
        </w:rPr>
        <w:t xml:space="preserve">o conselheiro </w:t>
      </w:r>
      <w:r w:rsidRPr="00CB1E63">
        <w:rPr>
          <w:rFonts w:ascii="Times New Roman" w:hAnsi="Times New Roman"/>
          <w:b/>
          <w:sz w:val="20"/>
          <w:szCs w:val="20"/>
          <w:lang w:val="pt-PT"/>
        </w:rPr>
        <w:t>Luiz Marinho</w:t>
      </w:r>
      <w:r>
        <w:rPr>
          <w:rFonts w:ascii="Times New Roman" w:hAnsi="Times New Roman"/>
          <w:sz w:val="20"/>
          <w:szCs w:val="20"/>
          <w:lang w:val="pt-PT"/>
        </w:rPr>
        <w:t xml:space="preserve">, do lado laboral e por ter também defendido a reflexão sobre o tema; </w:t>
      </w:r>
      <w:r w:rsidRPr="00BE75BF">
        <w:rPr>
          <w:rFonts w:ascii="Times New Roman" w:hAnsi="Times New Roman"/>
          <w:sz w:val="20"/>
          <w:szCs w:val="20"/>
          <w:lang w:val="pt-PT"/>
        </w:rPr>
        <w:t xml:space="preserve">e o conselheiro </w:t>
      </w:r>
      <w:r w:rsidRPr="00CB1E63">
        <w:rPr>
          <w:rFonts w:ascii="Times New Roman" w:hAnsi="Times New Roman"/>
          <w:b/>
          <w:sz w:val="20"/>
          <w:szCs w:val="20"/>
          <w:lang w:val="pt-PT"/>
        </w:rPr>
        <w:t>Gabriel Jorge Ferreira</w:t>
      </w:r>
      <w:r w:rsidRPr="00BE75BF">
        <w:rPr>
          <w:rFonts w:ascii="Times New Roman" w:hAnsi="Times New Roman"/>
          <w:sz w:val="20"/>
          <w:szCs w:val="20"/>
          <w:lang w:val="pt-PT"/>
        </w:rPr>
        <w:t xml:space="preserve"> que também é do setor financeiro</w:t>
      </w:r>
      <w:r>
        <w:rPr>
          <w:rFonts w:ascii="Times New Roman" w:hAnsi="Times New Roman"/>
          <w:sz w:val="20"/>
          <w:szCs w:val="20"/>
          <w:lang w:val="pt-PT"/>
        </w:rPr>
        <w:t xml:space="preserve"> (ATA da 11ª Reunião Plenária, 10/03/2005, p. 06</w:t>
      </w:r>
      <w:r w:rsidR="00CB1E63">
        <w:rPr>
          <w:rFonts w:ascii="Times New Roman" w:hAnsi="Times New Roman"/>
          <w:sz w:val="20"/>
          <w:szCs w:val="20"/>
          <w:lang w:val="pt-PT"/>
        </w:rPr>
        <w:t>, grifos meus</w:t>
      </w:r>
      <w:r>
        <w:rPr>
          <w:rFonts w:ascii="Times New Roman" w:hAnsi="Times New Roman"/>
          <w:sz w:val="20"/>
          <w:szCs w:val="20"/>
          <w:lang w:val="pt-PT"/>
        </w:rPr>
        <w:t>).</w:t>
      </w:r>
    </w:p>
    <w:p w:rsidR="00303FA9" w:rsidRDefault="00303FA9" w:rsidP="00303FA9">
      <w:pPr>
        <w:spacing w:after="0" w:line="360" w:lineRule="auto"/>
        <w:jc w:val="both"/>
        <w:rPr>
          <w:rFonts w:ascii="Times New Roman" w:hAnsi="Times New Roman"/>
          <w:sz w:val="24"/>
          <w:szCs w:val="24"/>
        </w:rPr>
      </w:pPr>
    </w:p>
    <w:p w:rsidR="00303FA9" w:rsidRDefault="00303FA9" w:rsidP="00303FA9">
      <w:pPr>
        <w:autoSpaceDE w:val="0"/>
        <w:autoSpaceDN w:val="0"/>
        <w:adjustRightInd w:val="0"/>
        <w:spacing w:line="360" w:lineRule="auto"/>
        <w:ind w:firstLine="708"/>
        <w:jc w:val="both"/>
        <w:rPr>
          <w:rFonts w:ascii="Times New Roman" w:hAnsi="Times New Roman"/>
          <w:sz w:val="24"/>
          <w:szCs w:val="24"/>
        </w:rPr>
      </w:pPr>
      <w:r w:rsidRPr="007362B5">
        <w:rPr>
          <w:rFonts w:ascii="Times New Roman" w:hAnsi="Times New Roman"/>
          <w:sz w:val="24"/>
          <w:szCs w:val="24"/>
        </w:rPr>
        <w:t xml:space="preserve">Percebe-se que dos seis conselheiros designados quatro eram </w:t>
      </w:r>
      <w:r>
        <w:rPr>
          <w:rFonts w:ascii="Times New Roman" w:hAnsi="Times New Roman"/>
          <w:sz w:val="24"/>
          <w:szCs w:val="24"/>
        </w:rPr>
        <w:t>grandes lideranças empresariais</w:t>
      </w:r>
      <w:r w:rsidRPr="007362B5">
        <w:rPr>
          <w:rFonts w:ascii="Times New Roman" w:hAnsi="Times New Roman"/>
          <w:sz w:val="24"/>
          <w:szCs w:val="24"/>
        </w:rPr>
        <w:t xml:space="preserve">, uma acadêmica e outro sindicalista laboral. Não houve representação de lideranças das </w:t>
      </w:r>
      <w:r w:rsidR="00BA25BA">
        <w:rPr>
          <w:rFonts w:ascii="Times New Roman" w:hAnsi="Times New Roman"/>
          <w:sz w:val="24"/>
          <w:szCs w:val="24"/>
        </w:rPr>
        <w:t>“</w:t>
      </w:r>
      <w:r w:rsidRPr="007362B5">
        <w:rPr>
          <w:rFonts w:ascii="Times New Roman" w:hAnsi="Times New Roman"/>
          <w:sz w:val="24"/>
          <w:szCs w:val="24"/>
        </w:rPr>
        <w:t>demais entidades da sociedade civil</w:t>
      </w:r>
      <w:r w:rsidR="00BA25BA">
        <w:rPr>
          <w:rFonts w:ascii="Times New Roman" w:hAnsi="Times New Roman"/>
          <w:sz w:val="24"/>
          <w:szCs w:val="24"/>
        </w:rPr>
        <w:t>”</w:t>
      </w:r>
      <w:r w:rsidRPr="007362B5">
        <w:rPr>
          <w:rFonts w:ascii="Times New Roman" w:hAnsi="Times New Roman"/>
          <w:sz w:val="24"/>
          <w:szCs w:val="24"/>
        </w:rPr>
        <w:t xml:space="preserve"> e de movimentos sociais</w:t>
      </w:r>
      <w:r w:rsidR="00095250">
        <w:rPr>
          <w:rFonts w:ascii="Times New Roman" w:hAnsi="Times New Roman"/>
          <w:sz w:val="24"/>
          <w:szCs w:val="24"/>
        </w:rPr>
        <w:t>–</w:t>
      </w:r>
      <w:r>
        <w:rPr>
          <w:rFonts w:ascii="Times New Roman" w:hAnsi="Times New Roman"/>
          <w:sz w:val="24"/>
          <w:szCs w:val="24"/>
        </w:rPr>
        <w:t xml:space="preserve"> o que era sintomático de que a referida “democratização” </w:t>
      </w:r>
      <w:r w:rsidR="00CB1E63">
        <w:rPr>
          <w:rFonts w:ascii="Times New Roman" w:hAnsi="Times New Roman"/>
          <w:sz w:val="24"/>
          <w:szCs w:val="24"/>
        </w:rPr>
        <w:t>guiava-se por</w:t>
      </w:r>
      <w:r>
        <w:rPr>
          <w:rFonts w:ascii="Times New Roman" w:hAnsi="Times New Roman"/>
          <w:sz w:val="24"/>
          <w:szCs w:val="24"/>
        </w:rPr>
        <w:t xml:space="preserve"> um sentido preciso</w:t>
      </w:r>
      <w:r w:rsidRPr="007362B5">
        <w:rPr>
          <w:rFonts w:ascii="Times New Roman" w:hAnsi="Times New Roman"/>
          <w:sz w:val="24"/>
          <w:szCs w:val="24"/>
        </w:rPr>
        <w:t xml:space="preserve">. O próprio </w:t>
      </w:r>
      <w:r>
        <w:rPr>
          <w:rFonts w:ascii="Times New Roman" w:hAnsi="Times New Roman"/>
          <w:sz w:val="24"/>
          <w:szCs w:val="24"/>
        </w:rPr>
        <w:t>Jaques Wagner</w:t>
      </w:r>
      <w:r w:rsidRPr="007362B5">
        <w:rPr>
          <w:rFonts w:ascii="Times New Roman" w:hAnsi="Times New Roman"/>
          <w:sz w:val="24"/>
          <w:szCs w:val="24"/>
        </w:rPr>
        <w:t xml:space="preserve"> participou ativamente da negociação </w:t>
      </w:r>
      <w:r>
        <w:rPr>
          <w:rFonts w:ascii="Times New Roman" w:hAnsi="Times New Roman"/>
          <w:sz w:val="24"/>
          <w:szCs w:val="24"/>
        </w:rPr>
        <w:t xml:space="preserve">no intuito de </w:t>
      </w:r>
      <w:r w:rsidRPr="007362B5">
        <w:rPr>
          <w:rFonts w:ascii="Times New Roman" w:hAnsi="Times New Roman"/>
          <w:sz w:val="24"/>
          <w:szCs w:val="24"/>
        </w:rPr>
        <w:t xml:space="preserve">obter o consenso na comissão. </w:t>
      </w:r>
      <w:r>
        <w:rPr>
          <w:rFonts w:ascii="Times New Roman" w:hAnsi="Times New Roman"/>
          <w:sz w:val="24"/>
          <w:szCs w:val="24"/>
        </w:rPr>
        <w:t xml:space="preserve">De antemão, o secretário anunciava que, desde a última reunião em dezembro, “já houve manifestação da Fazenda sobre o COPOM e lá se entende que não há o que discutir” (idem), isto é, rechaçou qualquer esperança de inserção de novos membros neste órgão. A rigor, não havia o mínimo esforço por parte de Palocci e de Meirelles </w:t>
      </w:r>
      <w:r w:rsidR="00CB1E63">
        <w:rPr>
          <w:rFonts w:ascii="Times New Roman" w:hAnsi="Times New Roman"/>
          <w:sz w:val="24"/>
          <w:szCs w:val="24"/>
        </w:rPr>
        <w:t xml:space="preserve">de </w:t>
      </w:r>
      <w:r>
        <w:rPr>
          <w:rFonts w:ascii="Times New Roman" w:hAnsi="Times New Roman"/>
          <w:sz w:val="24"/>
          <w:szCs w:val="24"/>
        </w:rPr>
        <w:t>que a demanda pela ampliação do CMN tomasse corpo, muito menos que fosse implementada pelo Executivo. O próprio Jaques Wagner admitiu que</w:t>
      </w:r>
    </w:p>
    <w:p w:rsidR="00303FA9" w:rsidRPr="00311D10" w:rsidRDefault="00303FA9" w:rsidP="00303FA9">
      <w:pPr>
        <w:tabs>
          <w:tab w:val="left" w:pos="2268"/>
        </w:tabs>
        <w:autoSpaceDE w:val="0"/>
        <w:autoSpaceDN w:val="0"/>
        <w:adjustRightInd w:val="0"/>
        <w:spacing w:line="240" w:lineRule="auto"/>
        <w:ind w:left="2268"/>
        <w:jc w:val="both"/>
        <w:rPr>
          <w:rFonts w:ascii="Times New Roman" w:hAnsi="Times New Roman"/>
          <w:sz w:val="20"/>
          <w:szCs w:val="20"/>
        </w:rPr>
      </w:pPr>
      <w:r>
        <w:rPr>
          <w:rFonts w:ascii="Times New Roman" w:hAnsi="Times New Roman"/>
          <w:sz w:val="20"/>
          <w:szCs w:val="20"/>
        </w:rPr>
        <w:t xml:space="preserve">(...) </w:t>
      </w:r>
      <w:r w:rsidRPr="00311D10">
        <w:rPr>
          <w:rFonts w:ascii="Times New Roman" w:hAnsi="Times New Roman"/>
          <w:sz w:val="20"/>
          <w:szCs w:val="20"/>
        </w:rPr>
        <w:t xml:space="preserve">se alguém me perguntar se ele [Palocci] é contra ou a favor, eu respondo que o ministro tem uma posição de submeter ao Presidente da República. É claro que ele como membro da equipe econômica se sentiria, vamos dizer assim, mais confortável de deixar o Conselho </w:t>
      </w:r>
      <w:r>
        <w:rPr>
          <w:rFonts w:ascii="Times New Roman" w:hAnsi="Times New Roman"/>
          <w:sz w:val="20"/>
          <w:szCs w:val="20"/>
        </w:rPr>
        <w:t xml:space="preserve">[o CMN] </w:t>
      </w:r>
      <w:r w:rsidRPr="00311D10">
        <w:rPr>
          <w:rFonts w:ascii="Times New Roman" w:hAnsi="Times New Roman"/>
          <w:sz w:val="20"/>
          <w:szCs w:val="20"/>
        </w:rPr>
        <w:t>com a formação atual (...)</w:t>
      </w:r>
      <w:r>
        <w:rPr>
          <w:rFonts w:ascii="Times New Roman" w:hAnsi="Times New Roman"/>
          <w:sz w:val="20"/>
          <w:szCs w:val="20"/>
        </w:rPr>
        <w:t xml:space="preserve"> (ATA, 12ª Reunião Plenária, p. 20)</w:t>
      </w:r>
      <w:r w:rsidRPr="00311D10">
        <w:rPr>
          <w:rFonts w:ascii="Times New Roman" w:hAnsi="Times New Roman"/>
          <w:sz w:val="20"/>
          <w:szCs w:val="20"/>
        </w:rPr>
        <w:t>.</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lang w:val="pt-PT"/>
        </w:rPr>
        <w:t xml:space="preserve">As resistências se explicitaram no CDES na 12ª reunião, em maio de 2005, quando </w:t>
      </w:r>
      <w:r>
        <w:rPr>
          <w:rFonts w:ascii="Times New Roman" w:hAnsi="Times New Roman"/>
          <w:sz w:val="24"/>
          <w:szCs w:val="24"/>
        </w:rPr>
        <w:t xml:space="preserve">o conselheiro Roberto Setúbal (Presidente do Itaú S/A) manifestou-se contrariamente ao que estava sendo proposto na moção elaborada pela comissão. Segundo o conselheiro, a experiência dos anos 80, quando o CMN foi politizado por meio da representação de diversos setores, “foi um dos elementos que nos levou a ter aquela situação de descontrole inflacionário total” e o caminho que estava sendo adotado nos colocava “na contramão da história”, posto que “o mundo todo, quer seja nos Estados Unidos, na Europa, (...) deram independência ao Banco Central. Ou seja, despolitizaram totalmente a política monetária” </w:t>
      </w:r>
      <w:r w:rsidRPr="00135C8A">
        <w:rPr>
          <w:rFonts w:ascii="Times New Roman" w:hAnsi="Times New Roman"/>
          <w:sz w:val="24"/>
          <w:szCs w:val="24"/>
        </w:rPr>
        <w:t>(ATA, 12ª Reunião Plenária, p. 21</w:t>
      </w:r>
      <w:r>
        <w:rPr>
          <w:rFonts w:ascii="Times New Roman" w:hAnsi="Times New Roman"/>
          <w:sz w:val="24"/>
          <w:szCs w:val="24"/>
        </w:rPr>
        <w:t>).  Acreditava que a política monetária deveria ser acompanhada de uma política fiscal mais forte, através do corte de gastos públicos e da desindexação de preços, aliviando a taxa de juros sobrecarregada.</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O conselheiro Antoninho Trevisan (</w:t>
      </w:r>
      <w:r w:rsidR="000834BC">
        <w:rPr>
          <w:rFonts w:ascii="Times New Roman" w:hAnsi="Times New Roman"/>
          <w:sz w:val="24"/>
          <w:szCs w:val="24"/>
        </w:rPr>
        <w:t>FIESP</w:t>
      </w:r>
      <w:r>
        <w:rPr>
          <w:rFonts w:ascii="Times New Roman" w:hAnsi="Times New Roman"/>
          <w:sz w:val="24"/>
          <w:szCs w:val="24"/>
        </w:rPr>
        <w:t xml:space="preserve"> e Movimento Brasil Competitivo) refutava os argumentos de Setúbal, primeiramente dizendo que não estava mais em discussão a ampliação ou não do CMN, fato decidido na reunião anterior a qual Setúbal não participara. Além disso, alegava que o CMN nos anos 80 viveu sob o regime militar e num período de alta inflação. Trava-se, no regime democrático, de garantir “a participação não de políticos (...), mas de representantes legítimos da sociedade”. Tudo isto não tinha nada a ver com a independência Banco Central, que continuaria a ser resguardada. </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Armando Monteiro Neto (presidente da CNI) contra-argumentou Setúbal dizendo que a presença dos ministros no CMN “significa a possibilidade de politização da política monetária, na medida em que os ministros são entes políticos por excelência” (</w:t>
      </w:r>
      <w:r w:rsidRPr="00135C8A">
        <w:rPr>
          <w:rFonts w:ascii="Times New Roman" w:hAnsi="Times New Roman"/>
          <w:sz w:val="24"/>
          <w:szCs w:val="24"/>
        </w:rPr>
        <w:t>ATA, 12ª Reunião Plenária,</w:t>
      </w:r>
      <w:r>
        <w:rPr>
          <w:rFonts w:ascii="Times New Roman" w:hAnsi="Times New Roman"/>
          <w:sz w:val="24"/>
          <w:szCs w:val="24"/>
        </w:rPr>
        <w:t xml:space="preserve"> p. 23). Contra a noção de que a economia é “uma ciência absolutamente exata”, com “fórmula única”, trouxe à cena a figura de Delfim Neto cuja “competência técnica” afirmou ser “inquestionável” e, contudo, “é absolutamente crítico em relação à condução da política monetária”, tomando como base “argumentos econométricos”.</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Em seguida, a conselheira Zilda Arns interveio no debate dizendo que “se houve redução da desnutrição no País, muito se deve à estabilidade da moeda. O pobre hoje tem pouco dinheiro e vai gastando ao longo do mês” e que “os pobres estão comendo melhor porque a moeda agora é estável”. Portanto, a preocupação central da conselheira era a de que “não haja inflação” e afirmou não ter uma visão clara se a ampliação do CMN para nove membros “vai ajudar ou piorar a inflação no País”.</w:t>
      </w:r>
    </w:p>
    <w:p w:rsidR="00303FA9" w:rsidRPr="00F1646E"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Outras intervenções em prol da ampliação se sucederam, como as de Antonio Neto (presidente da CGTB), Pedro Oliveira (CEB), Luiz Carlos Delben Leite (Sindim</w:t>
      </w:r>
      <w:r w:rsidR="00CB1E63">
        <w:rPr>
          <w:rFonts w:ascii="Times New Roman" w:hAnsi="Times New Roman"/>
          <w:sz w:val="24"/>
          <w:szCs w:val="24"/>
        </w:rPr>
        <w:t>aq/PNBE), Rodrigo Loures (FIEP). E</w:t>
      </w:r>
      <w:r>
        <w:rPr>
          <w:rFonts w:ascii="Times New Roman" w:hAnsi="Times New Roman"/>
          <w:sz w:val="24"/>
          <w:szCs w:val="24"/>
        </w:rPr>
        <w:t>s</w:t>
      </w:r>
      <w:r w:rsidR="00CB1E63">
        <w:rPr>
          <w:rFonts w:ascii="Times New Roman" w:hAnsi="Times New Roman"/>
          <w:sz w:val="24"/>
          <w:szCs w:val="24"/>
        </w:rPr>
        <w:t>s</w:t>
      </w:r>
      <w:r>
        <w:rPr>
          <w:rFonts w:ascii="Times New Roman" w:hAnsi="Times New Roman"/>
          <w:sz w:val="24"/>
          <w:szCs w:val="24"/>
        </w:rPr>
        <w:t>e último sustentou que o CMN poderia “perfeitamente ser ampliado, constituído por pessoas de notável saber (...) de sorte a poder capturar e estar em sintonia com diversas perspectivas da sociedade e não ficar limitada exclusivamente a um viés financista” (idem: 24) e, respondendo à Zilda Arns, afirmou que era “perfeitamente possível alcançar estabilidade econômica com juros baixos” a exemplo dos países desenvolvidos. João Felício (CUT) embasou seus argumentos pela lógica da “democratização” por meio da “presença de representantes da sociedade civil, do mundo do trabalho, do mundo da indústria, para estabelecer diretrizes no CMN” (idem: p. 26).</w:t>
      </w:r>
    </w:p>
    <w:p w:rsidR="00303FA9" w:rsidRDefault="00303FA9" w:rsidP="00303FA9">
      <w:pPr>
        <w:spacing w:line="360" w:lineRule="auto"/>
        <w:ind w:firstLine="708"/>
        <w:jc w:val="both"/>
        <w:rPr>
          <w:rFonts w:ascii="Times New Roman" w:hAnsi="Times New Roman"/>
          <w:sz w:val="24"/>
          <w:szCs w:val="24"/>
        </w:rPr>
      </w:pPr>
      <w:r>
        <w:rPr>
          <w:rFonts w:ascii="Times New Roman" w:hAnsi="Times New Roman"/>
          <w:sz w:val="24"/>
          <w:szCs w:val="24"/>
        </w:rPr>
        <w:t>Resgatando e valendo-se de sua experiência enquanto membro do CMN entre 1979 e 1989, o conselheiro e empresário Abílio Diniz (Grupo Pão de Açúcar) enfatizou que o órgão é “eminentemente técnico”. Sua intervenção foi decisiva para marcar o terreno dos opositores:</w:t>
      </w:r>
    </w:p>
    <w:p w:rsidR="00303FA9" w:rsidRPr="00F2263D" w:rsidRDefault="00303FA9" w:rsidP="00303FA9">
      <w:pPr>
        <w:spacing w:line="240" w:lineRule="auto"/>
        <w:ind w:left="2268"/>
        <w:jc w:val="both"/>
        <w:rPr>
          <w:rFonts w:ascii="Times New Roman" w:hAnsi="Times New Roman"/>
          <w:sz w:val="20"/>
          <w:szCs w:val="20"/>
        </w:rPr>
      </w:pPr>
      <w:r w:rsidRPr="00F2263D">
        <w:rPr>
          <w:rFonts w:ascii="Times New Roman" w:hAnsi="Times New Roman"/>
          <w:sz w:val="20"/>
          <w:szCs w:val="20"/>
        </w:rPr>
        <w:t>As pessoas que forem colocadas lá [no CMN] têm que ser qualificadas, tem que ser profundamente conhecedoras de economia (...). Não dá para querermos acomodar a sociedade em torno do CMN, não dá para pensarmos em colocar um representante da indústria, outro do setor financeiro, outro dos sindicatos, outro do setor social. O CMN não é para isso e nem sequer (...) foi capaz de segurar a inflação naquele tempo (...). Não é no CMN que a gente consegue segurar a inflação. O que nós estamos falando aqui é de modificar fundamentos da política econômica. Isto quem tem que modificar é o Presidente da República e o Ministro da Fazenda</w:t>
      </w:r>
      <w:r>
        <w:rPr>
          <w:rFonts w:ascii="Times New Roman" w:hAnsi="Times New Roman"/>
          <w:sz w:val="20"/>
          <w:szCs w:val="20"/>
        </w:rPr>
        <w:t>. (...) Eu acho que o Conselho [CDES] pode apoiar o seu aumento, agora para quê? Só se for para colocar pessoas capacitadas para atuar no CMN e preservar a maioria para o governo (idem: 26).</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Jorge Gerdau enfatizou a importância do posicionamento do Abílio Diniz</w:t>
      </w:r>
      <w:r w:rsidR="000D185B">
        <w:rPr>
          <w:rFonts w:ascii="Times New Roman" w:hAnsi="Times New Roman"/>
          <w:sz w:val="24"/>
          <w:szCs w:val="24"/>
        </w:rPr>
        <w:t xml:space="preserve"> e</w:t>
      </w:r>
      <w:r>
        <w:rPr>
          <w:rFonts w:ascii="Times New Roman" w:hAnsi="Times New Roman"/>
          <w:sz w:val="24"/>
          <w:szCs w:val="24"/>
        </w:rPr>
        <w:t xml:space="preserve"> utilizou a fala de Zilda Arns para asseverar que “o crescimento da inflação afeta o mais pobre”. Como “guardião da moeda”, os conselheiros deveriam respeitar a “função técnica” do CMN. Gerdau retomou os argumentos de Setúbal: “estamos exigindo na política monetária um único instrumento de combate à inflação [que] deveria ser estabelecido por uma política econômica muito mais ampla” (idem: 27). Em seguida, Setúbal voltou à carga concordando com as intervenções de Diniz e Gerdau e enfatizou novamente o “perfil técnico” para o CMN, sem o qual “colocamos em risco o esforço enorme que foi feito durante os últimos dez anos para controlar a inflação” (idem: 28).</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 xml:space="preserve">O conselheiro Paulo Skaf, por sua vez, parabenizou a lucidez da fala de Antoninho Trevisan e criticou Setúbal ao querer comparar a experiência do CMN da década de 1980 com a atual </w:t>
      </w:r>
      <w:r w:rsidR="00095250">
        <w:rPr>
          <w:rFonts w:ascii="Times New Roman" w:hAnsi="Times New Roman"/>
          <w:sz w:val="24"/>
          <w:szCs w:val="24"/>
        </w:rPr>
        <w:t>–</w:t>
      </w:r>
      <w:r>
        <w:rPr>
          <w:rFonts w:ascii="Times New Roman" w:hAnsi="Times New Roman"/>
          <w:sz w:val="24"/>
          <w:szCs w:val="24"/>
        </w:rPr>
        <w:t xml:space="preserve"> “comparar coisas que não são comparáveis”. Sobre a ameaça de se retirar o “perfil técnico”, Skaf lembrou que “técnicos também fazem parte da sociedade” e que “a ideia é ampliar uma discussão das regras do jogo com as quais toda a sociedade brasileira vai ter que conviver. Sem esquecer que estará assegurada a maioria para o governo”, conforme consta na moção. Com a composição atual, defendeu Skaf, “não há Conselho Monetário Nacional”, posto que o CMN “(...) do Ministro da Fazenda e do presidente do Banco Central, que praticamente representam uma única opinião, mais o Ministério do Planejamento, é um conselho que começa ganhando pelo menos de 2 x 1” (idem: 28-29).</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José Antônio Moroni  (presidente da ABONG) elevou o tom do debate ao afirmar que “me dá um profundo desconforto ligar a questão da democracia, da participação à inflação (...) para mim é forçar a barra e é querer assustar a sociedade com o fantasma que nós, enquanto sociedade civil, conseguimos eliminar, e que não foi obra de nenhum governo” (idem: 29). O conselheiro alertou sobre o “falso dilema” que era encarar o debate como “técnico e político”: “dizer que um Conselho formado por três ministros, sendo que um deles foi coordenador de campanha do atual Presidente e outros dois são deputados federais, é um espaço essencialmente técnico, me desculpem, é uma historinha na qual eu não acredito” (idem).</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 xml:space="preserve">Fábio Colletti Barbosa (à época presidente do ABN AMRO Bank) foi outro conselheiro que se manifestou contrário à proposta de ampliação do CMN. Destacando as “conquistas importantes”, como a  responsabilidade fiscal e o repúdio à inflação, asseverou que o CMN “está muito bem aparelhado para trabalhar com a definição de meta de inflação”. Argumentou, no sentido oposto ao de Felício e Moroni, que os ministros que compõem o CMN seguiam a orientação do Presidente e que este havia sido “democraticamente eleito”. Introduziu uma saída que traduzia a posição original dos prepostos dos banqueiros </w:t>
      </w:r>
      <w:r w:rsidR="00095250">
        <w:rPr>
          <w:rFonts w:ascii="Times New Roman" w:hAnsi="Times New Roman"/>
          <w:sz w:val="24"/>
          <w:szCs w:val="24"/>
        </w:rPr>
        <w:t>–</w:t>
      </w:r>
      <w:r>
        <w:rPr>
          <w:rFonts w:ascii="Times New Roman" w:hAnsi="Times New Roman"/>
          <w:sz w:val="24"/>
          <w:szCs w:val="24"/>
        </w:rPr>
        <w:t xml:space="preserve"> Márcio Cypriano e Gabriel Ferreira </w:t>
      </w:r>
      <w:r w:rsidR="00095250">
        <w:rPr>
          <w:rFonts w:ascii="Times New Roman" w:hAnsi="Times New Roman"/>
          <w:sz w:val="24"/>
          <w:szCs w:val="24"/>
        </w:rPr>
        <w:t>–</w:t>
      </w:r>
      <w:r>
        <w:rPr>
          <w:rFonts w:ascii="Times New Roman" w:hAnsi="Times New Roman"/>
          <w:sz w:val="24"/>
          <w:szCs w:val="24"/>
        </w:rPr>
        <w:t xml:space="preserve"> neste debate: a criação de Câmaras Consultivas, prevista em lei,</w:t>
      </w:r>
      <w:r>
        <w:rPr>
          <w:rStyle w:val="Refdenotaderodap"/>
          <w:rFonts w:ascii="Times New Roman" w:hAnsi="Times New Roman"/>
          <w:sz w:val="24"/>
          <w:szCs w:val="24"/>
        </w:rPr>
        <w:footnoteReference w:id="463"/>
      </w:r>
      <w:r>
        <w:rPr>
          <w:rFonts w:ascii="Times New Roman" w:hAnsi="Times New Roman"/>
          <w:sz w:val="24"/>
          <w:szCs w:val="24"/>
        </w:rPr>
        <w:t xml:space="preserve"> como mecanismo “da sociedade ter alguma voz, mas eu acho que não seria adequado que isto acontecesse dentro do Conselho Monetário Nacional de maneira representativa, decidindo qual é a melhor meta de inflação para a sociedade” (idem: p. 30).</w:t>
      </w: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 xml:space="preserve">No olho do furacão, a função de intermediação do debate assumida por Jaques Wagner trazia apelos para que os conselheiros se esforçassem na construção de um “consenso de convicção”, o que se mostrou ilusório ao longo das intervenções. Lembrou várias vezes – e sem surtir efeito, como vimos – que, na moção, “não se usou a palavra representação propositadamente, para tentar sair deste risco da politização”, acionando a noção de que “a sociedade civil deveria ser entendida no sentido </w:t>
      </w:r>
      <w:r>
        <w:rPr>
          <w:rFonts w:ascii="Times New Roman" w:hAnsi="Times New Roman"/>
          <w:i/>
          <w:sz w:val="24"/>
          <w:szCs w:val="24"/>
        </w:rPr>
        <w:t xml:space="preserve">lato sensu </w:t>
      </w:r>
      <w:r>
        <w:rPr>
          <w:rFonts w:ascii="Times New Roman" w:hAnsi="Times New Roman"/>
          <w:sz w:val="24"/>
          <w:szCs w:val="24"/>
        </w:rPr>
        <w:t>e não como representação” (idem: 22). Ao colocar-se como tradutor fiel do debate na comissão que elaborou a moção, afirmou que “não tentemos justificar a ampliação por outro argumento que não o de uma eventual governança mais eficiente”, pois tal ampliação imputaria ao CMN “uma decisão mais acurada (...) porque está incluindo sensibilidades</w:t>
      </w:r>
      <w:r>
        <w:rPr>
          <w:rStyle w:val="Refdenotaderodap"/>
          <w:rFonts w:ascii="Times New Roman" w:hAnsi="Times New Roman"/>
          <w:sz w:val="24"/>
          <w:szCs w:val="24"/>
        </w:rPr>
        <w:footnoteReference w:id="464"/>
      </w:r>
      <w:r>
        <w:rPr>
          <w:rFonts w:ascii="Times New Roman" w:hAnsi="Times New Roman"/>
          <w:sz w:val="24"/>
          <w:szCs w:val="24"/>
        </w:rPr>
        <w:t xml:space="preserve"> diferentes” (idem: 24).</w:t>
      </w:r>
    </w:p>
    <w:p w:rsidR="00303FA9" w:rsidRDefault="00534353" w:rsidP="00303FA9">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Na 12ª reunião plenária, em maio de 2005, a</w:t>
      </w:r>
      <w:r w:rsidR="00303FA9">
        <w:rPr>
          <w:rFonts w:ascii="Times New Roman" w:hAnsi="Times New Roman"/>
          <w:sz w:val="24"/>
          <w:szCs w:val="24"/>
        </w:rPr>
        <w:t xml:space="preserve"> moção acabou sendo aprovada como recomendação da maioria absoluta dos conselheiros e não como consenso, que seria expressão da unanimidade. Fleury relata que “n</w:t>
      </w:r>
      <w:r w:rsidR="00303FA9" w:rsidRPr="00BE3FB6">
        <w:rPr>
          <w:rFonts w:ascii="Times New Roman" w:hAnsi="Times New Roman"/>
          <w:sz w:val="24"/>
          <w:szCs w:val="24"/>
        </w:rPr>
        <w:t xml:space="preserve">a impossibilidade de obter o mesmo consenso </w:t>
      </w:r>
      <w:r w:rsidR="00303FA9">
        <w:rPr>
          <w:rFonts w:ascii="Times New Roman" w:hAnsi="Times New Roman"/>
          <w:sz w:val="24"/>
          <w:szCs w:val="24"/>
        </w:rPr>
        <w:t>(...)</w:t>
      </w:r>
      <w:r w:rsidR="00303FA9" w:rsidRPr="00BE3FB6">
        <w:rPr>
          <w:rFonts w:ascii="Times New Roman" w:hAnsi="Times New Roman"/>
          <w:sz w:val="24"/>
          <w:szCs w:val="24"/>
        </w:rPr>
        <w:t>, a moção foi votada e aprovada por cerca de 90% dos participantes, comgrande repercussão na mídia</w:t>
      </w:r>
      <w:r w:rsidR="00303FA9">
        <w:rPr>
          <w:rFonts w:ascii="Times New Roman" w:hAnsi="Times New Roman"/>
          <w:sz w:val="24"/>
          <w:szCs w:val="24"/>
        </w:rPr>
        <w:t>”</w:t>
      </w:r>
      <w:r w:rsidR="00303FA9">
        <w:rPr>
          <w:rFonts w:ascii="Arial" w:hAnsi="Arial" w:cs="Arial"/>
          <w:sz w:val="23"/>
          <w:szCs w:val="23"/>
        </w:rPr>
        <w:t>.</w:t>
      </w:r>
      <w:r w:rsidR="00303FA9" w:rsidRPr="00135C8A">
        <w:rPr>
          <w:rStyle w:val="Refdenotaderodap"/>
          <w:rFonts w:ascii="Times New Roman" w:hAnsi="Times New Roman"/>
          <w:sz w:val="23"/>
          <w:szCs w:val="23"/>
        </w:rPr>
        <w:footnoteReference w:id="465"/>
      </w:r>
      <w:r w:rsidR="00303FA9">
        <w:rPr>
          <w:rFonts w:ascii="Times New Roman" w:hAnsi="Times New Roman"/>
          <w:sz w:val="24"/>
          <w:szCs w:val="24"/>
        </w:rPr>
        <w:t>Eis abaixo, em seu inteiro teor, a moção transcrita:</w:t>
      </w:r>
    </w:p>
    <w:p w:rsidR="00303FA9" w:rsidRPr="00D155B4" w:rsidRDefault="00303FA9" w:rsidP="00303FA9">
      <w:pPr>
        <w:spacing w:after="0" w:line="240" w:lineRule="auto"/>
        <w:ind w:left="2268"/>
        <w:jc w:val="both"/>
        <w:rPr>
          <w:rFonts w:ascii="Times New Roman" w:hAnsi="Times New Roman"/>
          <w:sz w:val="20"/>
          <w:szCs w:val="20"/>
        </w:rPr>
      </w:pPr>
      <w:r w:rsidRPr="00D155B4">
        <w:rPr>
          <w:rFonts w:ascii="Times New Roman" w:hAnsi="Times New Roman"/>
          <w:sz w:val="20"/>
          <w:szCs w:val="20"/>
        </w:rPr>
        <w:t>Considerando que:</w:t>
      </w:r>
    </w:p>
    <w:p w:rsidR="00303FA9" w:rsidRPr="00D155B4" w:rsidRDefault="00303FA9" w:rsidP="00303FA9">
      <w:pPr>
        <w:spacing w:after="0" w:line="240" w:lineRule="auto"/>
        <w:ind w:left="2268"/>
        <w:jc w:val="both"/>
        <w:rPr>
          <w:rFonts w:ascii="Times New Roman" w:hAnsi="Times New Roman"/>
          <w:sz w:val="20"/>
          <w:szCs w:val="20"/>
        </w:rPr>
      </w:pPr>
      <w:r w:rsidRPr="00D155B4">
        <w:rPr>
          <w:rFonts w:ascii="Times New Roman" w:hAnsi="Times New Roman"/>
          <w:sz w:val="20"/>
          <w:szCs w:val="20"/>
        </w:rPr>
        <w:t>O Brasil vive um momento especial devido à conquista da estabilização da moeda, combinado com o início de recuperação da taxa de crescimento econômico e da geração de novos empregos;</w:t>
      </w:r>
    </w:p>
    <w:p w:rsidR="00303FA9" w:rsidRPr="00D155B4" w:rsidRDefault="00303FA9" w:rsidP="00303FA9">
      <w:pPr>
        <w:spacing w:after="0" w:line="240" w:lineRule="auto"/>
        <w:ind w:left="2268"/>
        <w:jc w:val="both"/>
        <w:rPr>
          <w:rFonts w:ascii="Times New Roman" w:hAnsi="Times New Roman"/>
          <w:sz w:val="20"/>
          <w:szCs w:val="20"/>
        </w:rPr>
      </w:pPr>
      <w:r w:rsidRPr="00D155B4">
        <w:rPr>
          <w:rFonts w:ascii="Times New Roman" w:hAnsi="Times New Roman"/>
          <w:sz w:val="20"/>
          <w:szCs w:val="20"/>
        </w:rPr>
        <w:t xml:space="preserve"> As decisões de política macroeconômica devem ser tomadas de forma a absorver a sensibilidade dos diversos setores da sociedade preocupados com o desenvolvimento brasileiro e dispostos a se co-responsabilizarem por esta trajetória; </w:t>
      </w:r>
    </w:p>
    <w:p w:rsidR="00303FA9" w:rsidRPr="00D155B4" w:rsidRDefault="00303FA9" w:rsidP="00303FA9">
      <w:pPr>
        <w:spacing w:after="0" w:line="240" w:lineRule="auto"/>
        <w:ind w:left="2268"/>
        <w:jc w:val="both"/>
        <w:rPr>
          <w:rFonts w:ascii="Times New Roman" w:hAnsi="Times New Roman"/>
          <w:b/>
          <w:bCs/>
          <w:i/>
          <w:iCs/>
          <w:sz w:val="20"/>
          <w:szCs w:val="20"/>
          <w:u w:val="single"/>
        </w:rPr>
      </w:pPr>
      <w:r w:rsidRPr="00D155B4">
        <w:rPr>
          <w:rFonts w:ascii="Times New Roman" w:hAnsi="Times New Roman"/>
          <w:b/>
          <w:bCs/>
          <w:i/>
          <w:iCs/>
          <w:sz w:val="20"/>
          <w:szCs w:val="20"/>
          <w:u w:val="single"/>
        </w:rPr>
        <w:t>Os conselheiros, por maioria, recomendam:</w:t>
      </w:r>
    </w:p>
    <w:p w:rsidR="00303FA9" w:rsidRPr="00D155B4" w:rsidRDefault="00303FA9" w:rsidP="00303FA9">
      <w:pPr>
        <w:spacing w:after="0" w:line="240" w:lineRule="auto"/>
        <w:ind w:left="2268"/>
        <w:jc w:val="both"/>
        <w:rPr>
          <w:rFonts w:ascii="Times New Roman" w:hAnsi="Times New Roman"/>
          <w:sz w:val="20"/>
          <w:szCs w:val="20"/>
        </w:rPr>
      </w:pPr>
      <w:r w:rsidRPr="00D155B4">
        <w:rPr>
          <w:rFonts w:ascii="Times New Roman" w:hAnsi="Times New Roman"/>
          <w:b/>
          <w:bCs/>
          <w:sz w:val="20"/>
          <w:szCs w:val="20"/>
        </w:rPr>
        <w:t>A ampliação da composição do Conselho Monetário Nacional para no máximo nove integrantes, passando a incluir membros da sociedade, assegurada maioria aos representantes do Governo</w:t>
      </w:r>
      <w:r>
        <w:rPr>
          <w:rFonts w:ascii="Times New Roman" w:hAnsi="Times New Roman"/>
          <w:b/>
          <w:bCs/>
          <w:sz w:val="20"/>
          <w:szCs w:val="20"/>
        </w:rPr>
        <w:t>.</w:t>
      </w:r>
      <w:r>
        <w:rPr>
          <w:rStyle w:val="Refdenotaderodap"/>
          <w:rFonts w:ascii="Times New Roman" w:hAnsi="Times New Roman"/>
          <w:bCs/>
          <w:sz w:val="20"/>
          <w:szCs w:val="20"/>
        </w:rPr>
        <w:footnoteReference w:id="466"/>
      </w:r>
    </w:p>
    <w:p w:rsidR="00303FA9" w:rsidRDefault="00303FA9" w:rsidP="00303FA9">
      <w:pPr>
        <w:spacing w:after="0" w:line="360" w:lineRule="auto"/>
        <w:ind w:firstLine="708"/>
        <w:jc w:val="both"/>
        <w:rPr>
          <w:rFonts w:ascii="Times New Roman" w:hAnsi="Times New Roman"/>
          <w:sz w:val="24"/>
          <w:szCs w:val="24"/>
        </w:rPr>
      </w:pPr>
    </w:p>
    <w:p w:rsidR="00303FA9" w:rsidRDefault="00303FA9" w:rsidP="00303FA9">
      <w:pPr>
        <w:spacing w:after="0" w:line="360" w:lineRule="auto"/>
        <w:ind w:firstLine="708"/>
        <w:jc w:val="both"/>
        <w:rPr>
          <w:rFonts w:ascii="Times New Roman" w:hAnsi="Times New Roman"/>
          <w:sz w:val="24"/>
          <w:szCs w:val="24"/>
        </w:rPr>
      </w:pPr>
      <w:r>
        <w:rPr>
          <w:rFonts w:ascii="Times New Roman" w:hAnsi="Times New Roman"/>
          <w:sz w:val="24"/>
          <w:szCs w:val="24"/>
        </w:rPr>
        <w:t>O desenho da moção deixou uma larga margem de manobra para que o Presidente da República, no caso de uma possível alteração na composição do CMN a partir da aceitação da recomendação do CDES, pudesse implementá-la em consonância com a vontade plena do Executivo, posto que: i) seria o próprio Presidente da República que escolheria os novos membros do CMN, razão pela qual Jaques Wagner lembrava que não necessariamente poderia atender as representações setoriais (empresários, trabalhadores e “sociedade civil”, por exemplo), o que lhe afastaria do perigo de “politização” e arrefeceria os ânimos dos dissidentes; ii) não haveria limite mínimo de inserção de novos membros não governamentais, permitindo ao Presidente “nomear oito membros do governo e um da sociedade”, na avaliação de Moroni; iii) em seu próprio texto, a moção assegurou maioria aos representantes do governo, garantindo que as decisões na política econômica continuassem sendo ditadas pelo governo.</w:t>
      </w:r>
    </w:p>
    <w:p w:rsidR="00303FA9" w:rsidRDefault="00303FA9" w:rsidP="00303FA9">
      <w:pPr>
        <w:spacing w:line="360" w:lineRule="auto"/>
        <w:ind w:firstLine="708"/>
        <w:jc w:val="both"/>
        <w:rPr>
          <w:rFonts w:ascii="Times New Roman" w:hAnsi="Times New Roman"/>
          <w:color w:val="000000"/>
          <w:sz w:val="24"/>
          <w:szCs w:val="24"/>
        </w:rPr>
      </w:pPr>
      <w:r>
        <w:rPr>
          <w:rFonts w:ascii="Times New Roman" w:hAnsi="Times New Roman"/>
          <w:sz w:val="24"/>
          <w:szCs w:val="24"/>
        </w:rPr>
        <w:t>Durante e após o período de debates no CDES, como vimos, tomaram corpo campanhas e mobilizações patrocinadas pelos aparelhos privados de hegemonia empresariais, coligados a outras entidades da sociedade civil, principalmente as Centrais Sindicais, para que a ampliação do CMN fosse implementada. A referida Carta IEDI, por exemplo, em relação à aprovação da moção no CDES dizia que “</w:t>
      </w:r>
      <w:r w:rsidRPr="006D12D1">
        <w:rPr>
          <w:rFonts w:ascii="Times New Roman" w:hAnsi="Times New Roman"/>
          <w:color w:val="000000"/>
          <w:sz w:val="24"/>
          <w:szCs w:val="24"/>
        </w:rPr>
        <w:t>é amplamente f</w:t>
      </w:r>
      <w:r>
        <w:rPr>
          <w:rFonts w:ascii="Times New Roman" w:hAnsi="Times New Roman"/>
          <w:color w:val="000000"/>
          <w:sz w:val="24"/>
          <w:szCs w:val="24"/>
        </w:rPr>
        <w:t>avor</w:t>
      </w:r>
      <w:r w:rsidRPr="006D12D1">
        <w:rPr>
          <w:rFonts w:ascii="Times New Roman" w:hAnsi="Times New Roman"/>
          <w:color w:val="000000"/>
          <w:sz w:val="24"/>
          <w:szCs w:val="24"/>
        </w:rPr>
        <w:t>ável à esta mudança, porque avalia que a maior presença de representantes do setor produtivo da economia trará o equilíbrio nas decisões pertinentes à taxa de juros e ao crédito na economia</w:t>
      </w:r>
      <w:r>
        <w:rPr>
          <w:rFonts w:ascii="Times New Roman" w:hAnsi="Times New Roman"/>
          <w:color w:val="000000"/>
          <w:sz w:val="24"/>
          <w:szCs w:val="24"/>
        </w:rPr>
        <w:t xml:space="preserve">” (idem). No CDES, a retomada do debate, em tom de pressão e cobrança </w:t>
      </w:r>
      <w:r w:rsidR="00F937E8">
        <w:rPr>
          <w:rFonts w:ascii="Times New Roman" w:hAnsi="Times New Roman"/>
          <w:color w:val="000000"/>
          <w:sz w:val="24"/>
          <w:szCs w:val="24"/>
        </w:rPr>
        <w:t>a</w:t>
      </w:r>
      <w:r>
        <w:rPr>
          <w:rFonts w:ascii="Times New Roman" w:hAnsi="Times New Roman"/>
          <w:color w:val="000000"/>
          <w:sz w:val="24"/>
          <w:szCs w:val="24"/>
        </w:rPr>
        <w:t xml:space="preserve">o governo, era recorrente e durou até o fim do primeiro mandato de Lula da Silva. </w:t>
      </w:r>
    </w:p>
    <w:p w:rsidR="00303FA9" w:rsidRDefault="00303FA9" w:rsidP="00303FA9">
      <w:pPr>
        <w:spacing w:line="240" w:lineRule="auto"/>
        <w:ind w:left="2268"/>
        <w:jc w:val="both"/>
        <w:rPr>
          <w:rFonts w:ascii="Times New Roman" w:hAnsi="Times New Roman"/>
          <w:sz w:val="24"/>
          <w:szCs w:val="24"/>
        </w:rPr>
      </w:pPr>
      <w:r w:rsidRPr="00023695">
        <w:rPr>
          <w:rFonts w:ascii="Times New Roman" w:hAnsi="Times New Roman"/>
          <w:sz w:val="20"/>
          <w:szCs w:val="20"/>
        </w:rPr>
        <w:t>(...) é preciso democratizar todos os outros níveis. Nós começamos este process</w:t>
      </w:r>
      <w:r>
        <w:rPr>
          <w:rFonts w:ascii="Times New Roman" w:hAnsi="Times New Roman"/>
          <w:sz w:val="20"/>
          <w:szCs w:val="20"/>
        </w:rPr>
        <w:t>o</w:t>
      </w:r>
      <w:r w:rsidRPr="00023695">
        <w:rPr>
          <w:rFonts w:ascii="Times New Roman" w:hAnsi="Times New Roman"/>
          <w:sz w:val="20"/>
          <w:szCs w:val="20"/>
        </w:rPr>
        <w:t>, com a ideia não respondida ainda pelo Governo, com a nossa proposta, que foi negociada e pactuada, de alteração da composição do Conselho Monetário Nacional e é preciso que esse processo de democracia chegue a todos os órgãos econômicos, às estatais (Conselheira Sonia Fleury, ATA da 13ª Reunião Plenária</w:t>
      </w:r>
      <w:r>
        <w:rPr>
          <w:rFonts w:ascii="Times New Roman" w:hAnsi="Times New Roman"/>
          <w:sz w:val="20"/>
          <w:szCs w:val="20"/>
        </w:rPr>
        <w:t xml:space="preserve">, </w:t>
      </w:r>
      <w:r w:rsidRPr="00023695">
        <w:rPr>
          <w:rFonts w:ascii="Times New Roman" w:hAnsi="Times New Roman"/>
          <w:sz w:val="20"/>
          <w:szCs w:val="20"/>
        </w:rPr>
        <w:t>25/08/2005, p. 26)</w:t>
      </w:r>
      <w:r>
        <w:rPr>
          <w:rFonts w:ascii="Times New Roman" w:hAnsi="Times New Roman"/>
          <w:sz w:val="24"/>
          <w:szCs w:val="24"/>
        </w:rPr>
        <w:t>.</w:t>
      </w:r>
    </w:p>
    <w:p w:rsidR="00303FA9" w:rsidRDefault="00303FA9" w:rsidP="00303FA9">
      <w:pPr>
        <w:spacing w:line="240" w:lineRule="auto"/>
        <w:ind w:left="2268"/>
        <w:jc w:val="both"/>
        <w:rPr>
          <w:rFonts w:ascii="Times New Roman" w:hAnsi="Times New Roman"/>
          <w:sz w:val="20"/>
          <w:szCs w:val="20"/>
        </w:rPr>
      </w:pPr>
      <w:r>
        <w:rPr>
          <w:rFonts w:ascii="Times New Roman" w:hAnsi="Times New Roman"/>
          <w:sz w:val="20"/>
          <w:szCs w:val="20"/>
        </w:rPr>
        <w:t xml:space="preserve">(...) Aqui nesse Conselho nós concluímos, votamos com unanimidade e propomos ao Presidente da República a ampliação do Conselho Monetário Nacional, que seria uma forma de se discutir de forma mais ampla estas questões da política econômica, as metas inflacionárias. (...) Não sei como esse assunto ficou, pelo menos nunca mais foi ventilado no Conselho (Conselheiro Paulo Skaf, ATA 15ª Reunião Plenária, 01/12/2005, p. 18).  </w:t>
      </w:r>
    </w:p>
    <w:p w:rsidR="00303FA9" w:rsidRDefault="00303FA9" w:rsidP="00303FA9">
      <w:pPr>
        <w:spacing w:line="240" w:lineRule="auto"/>
        <w:ind w:left="2268"/>
        <w:jc w:val="both"/>
        <w:rPr>
          <w:rFonts w:ascii="Times New Roman" w:hAnsi="Times New Roman"/>
          <w:sz w:val="20"/>
          <w:szCs w:val="20"/>
        </w:rPr>
      </w:pPr>
      <w:r>
        <w:rPr>
          <w:rFonts w:ascii="Times New Roman" w:hAnsi="Times New Roman"/>
          <w:sz w:val="20"/>
          <w:szCs w:val="20"/>
        </w:rPr>
        <w:t>(...)</w:t>
      </w:r>
      <w:r w:rsidRPr="00865E55">
        <w:rPr>
          <w:rFonts w:ascii="Times New Roman" w:hAnsi="Times New Roman"/>
          <w:sz w:val="20"/>
          <w:szCs w:val="20"/>
        </w:rPr>
        <w:t xml:space="preserve"> há uma proposta concreta daquela moção que eu trouxe aqui de alteração da composição do conselho monetário nacional, foi um trabalho muito árduo, o presidente tem a obrigação de nos responder, nós temos direito a saber o que ele vai fazer a respeito disso. Por exemplo, se não dá para fazer, então ele que diga que não dá para fazer, mas não pode não falar nada. Assim como as outra</w:t>
      </w:r>
      <w:r>
        <w:rPr>
          <w:rFonts w:ascii="Times New Roman" w:hAnsi="Times New Roman"/>
          <w:sz w:val="20"/>
          <w:szCs w:val="20"/>
        </w:rPr>
        <w:t>s propostas (Conselheira Sonia Fleury, ATA da 17ª Reunião Plenária, 15/05/2006, p. 24).</w:t>
      </w:r>
    </w:p>
    <w:p w:rsidR="00303FA9" w:rsidRDefault="00303FA9" w:rsidP="00303FA9">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Apesar das cobranças e do caráter extremamente tímido e defensivo da moção, a implementação da proposta, no fundo, </w:t>
      </w:r>
      <w:r w:rsidR="00F773B1">
        <w:rPr>
          <w:rFonts w:ascii="Times New Roman" w:hAnsi="Times New Roman"/>
          <w:sz w:val="24"/>
          <w:szCs w:val="24"/>
        </w:rPr>
        <w:t>não ganhou força junto</w:t>
      </w:r>
      <w:r>
        <w:rPr>
          <w:rFonts w:ascii="Times New Roman" w:hAnsi="Times New Roman"/>
          <w:sz w:val="24"/>
          <w:szCs w:val="24"/>
        </w:rPr>
        <w:t xml:space="preserve"> ao Executivo, sofreu tratamento protelatório e um contínuo “em estudo” pelos Secretários do CDES, pelo </w:t>
      </w:r>
      <w:r>
        <w:rPr>
          <w:rFonts w:ascii="Times New Roman" w:hAnsi="Times New Roman"/>
          <w:i/>
          <w:sz w:val="24"/>
          <w:szCs w:val="24"/>
        </w:rPr>
        <w:t>staff</w:t>
      </w:r>
      <w:r>
        <w:rPr>
          <w:rFonts w:ascii="Times New Roman" w:hAnsi="Times New Roman"/>
          <w:sz w:val="24"/>
          <w:szCs w:val="24"/>
        </w:rPr>
        <w:t xml:space="preserve"> ministerial da área econômica e pelo próprio presidente Lula da Silva. Em termos gerais, a questão era </w:t>
      </w:r>
      <w:r w:rsidR="00F773B1">
        <w:rPr>
          <w:rFonts w:ascii="Times New Roman" w:hAnsi="Times New Roman"/>
          <w:sz w:val="24"/>
          <w:szCs w:val="24"/>
        </w:rPr>
        <w:t>anunciada</w:t>
      </w:r>
      <w:r>
        <w:rPr>
          <w:rFonts w:ascii="Times New Roman" w:hAnsi="Times New Roman"/>
          <w:sz w:val="24"/>
          <w:szCs w:val="24"/>
        </w:rPr>
        <w:t xml:space="preserve"> pelos interlocutores do governo como importante e a ser estudada mais aprofundadamente, mas que solicitava espera e paciência, até mesmo porque se reorganizava uma nova equipe econômica com a saída de Palocci</w:t>
      </w:r>
      <w:r w:rsidR="00352BA2">
        <w:rPr>
          <w:rFonts w:ascii="Times New Roman" w:hAnsi="Times New Roman"/>
          <w:sz w:val="24"/>
          <w:szCs w:val="24"/>
        </w:rPr>
        <w:t>, em março de 2006</w:t>
      </w:r>
      <w:r>
        <w:rPr>
          <w:rFonts w:ascii="Times New Roman" w:hAnsi="Times New Roman"/>
          <w:sz w:val="24"/>
          <w:szCs w:val="24"/>
        </w:rPr>
        <w:t>. Esta foi a explicação dada por Tarso Genro:</w:t>
      </w:r>
    </w:p>
    <w:p w:rsidR="00303FA9" w:rsidRPr="001D4BCA" w:rsidRDefault="00303FA9" w:rsidP="00303FA9">
      <w:pPr>
        <w:autoSpaceDE w:val="0"/>
        <w:autoSpaceDN w:val="0"/>
        <w:adjustRightInd w:val="0"/>
        <w:spacing w:line="240" w:lineRule="auto"/>
        <w:ind w:left="2268"/>
        <w:jc w:val="both"/>
        <w:rPr>
          <w:rFonts w:ascii="Times New Roman" w:hAnsi="Times New Roman"/>
          <w:sz w:val="20"/>
          <w:szCs w:val="20"/>
        </w:rPr>
      </w:pPr>
      <w:r w:rsidRPr="001D4BCA">
        <w:rPr>
          <w:rFonts w:ascii="Times New Roman" w:hAnsi="Times New Roman"/>
          <w:sz w:val="20"/>
          <w:szCs w:val="20"/>
        </w:rPr>
        <w:t>A questão do Conselho Monetário Nacional já está retomada pelo governo, é uma coisa que não foi abandonada. Estava adormecida, mas já está retomada nas discussões internas do governo que eu, inclusive, estou coordenando juntamente com o Ministro Guido Mantega. Espero que nós tenhamos brevemente um retorno a respeito da questão, para mim uma das contribuições mais importantes que o Conselho deu para o governo (ATA da 17ª Reunião Plenária, 10/05/2006, p. 25).</w:t>
      </w:r>
    </w:p>
    <w:p w:rsidR="00303FA9" w:rsidRDefault="00303FA9" w:rsidP="00303FA9">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Seja como for, ficou claro pela exposição dos debates que, à despeito dos pontos divergentes, havia evidente convergência sobre o país que se desejava: equilíbrio macroeconômico (monetário e fiscal), respeito e garantia ao funcionamento regular dos mecanismos de mercado, com forte ênfase nas </w:t>
      </w:r>
      <w:r w:rsidR="000D185B">
        <w:rPr>
          <w:rFonts w:ascii="Times New Roman" w:hAnsi="Times New Roman"/>
          <w:sz w:val="24"/>
          <w:szCs w:val="24"/>
        </w:rPr>
        <w:t>contrar</w:t>
      </w:r>
      <w:r>
        <w:rPr>
          <w:rFonts w:ascii="Times New Roman" w:hAnsi="Times New Roman"/>
          <w:sz w:val="24"/>
          <w:szCs w:val="24"/>
        </w:rPr>
        <w:t xml:space="preserve">reformas, e autonomia do Banco Central. Preservadas estas condições, a disputa de fundo, a nosso ver, remetia ao redirecionamento tácito da política econômica “pró-desenvolvimento” (e dos instrumentos e mecanismos que o projeto envolvia), o que exigia a abertura de novas linhas de ação do empresariado </w:t>
      </w:r>
      <w:r w:rsidR="000D185B">
        <w:rPr>
          <w:rFonts w:ascii="Times New Roman" w:hAnsi="Times New Roman"/>
          <w:sz w:val="24"/>
          <w:szCs w:val="24"/>
        </w:rPr>
        <w:t>industral (produtor de valor)</w:t>
      </w:r>
      <w:r>
        <w:rPr>
          <w:rFonts w:ascii="Times New Roman" w:hAnsi="Times New Roman"/>
          <w:sz w:val="24"/>
          <w:szCs w:val="24"/>
        </w:rPr>
        <w:t xml:space="preserve"> nos nichos estatais encarados por suas entidades como constitutivos dos interesses representativos do setor </w:t>
      </w:r>
      <w:r w:rsidR="005A3F9A">
        <w:rPr>
          <w:rFonts w:ascii="Times New Roman" w:hAnsi="Times New Roman"/>
          <w:sz w:val="24"/>
          <w:szCs w:val="24"/>
        </w:rPr>
        <w:t>bancário-</w:t>
      </w:r>
      <w:r>
        <w:rPr>
          <w:rFonts w:ascii="Times New Roman" w:hAnsi="Times New Roman"/>
          <w:sz w:val="24"/>
          <w:szCs w:val="24"/>
        </w:rPr>
        <w:t xml:space="preserve">financeiro, como o Banco Central, o Ministério da Fazenda, o Conselho Monetário Nacional e o Comitê de Política Monetária. </w:t>
      </w:r>
    </w:p>
    <w:p w:rsidR="00150A5C" w:rsidRPr="008B0B2A" w:rsidRDefault="00303FA9" w:rsidP="00303FA9">
      <w:pPr>
        <w:autoSpaceDE w:val="0"/>
        <w:autoSpaceDN w:val="0"/>
        <w:adjustRightInd w:val="0"/>
        <w:spacing w:after="0" w:line="360" w:lineRule="auto"/>
        <w:ind w:firstLine="708"/>
        <w:jc w:val="both"/>
        <w:rPr>
          <w:rFonts w:ascii="Times New Roman" w:hAnsi="Times New Roman"/>
          <w:sz w:val="24"/>
          <w:szCs w:val="24"/>
        </w:rPr>
      </w:pPr>
      <w:r w:rsidRPr="004130D0">
        <w:rPr>
          <w:rFonts w:ascii="Times New Roman" w:hAnsi="Times New Roman"/>
          <w:sz w:val="24"/>
          <w:szCs w:val="24"/>
        </w:rPr>
        <w:t xml:space="preserve">Polarizando sob sua direção o conjunto </w:t>
      </w:r>
      <w:r w:rsidR="00352BA2" w:rsidRPr="004130D0">
        <w:rPr>
          <w:rFonts w:ascii="Times New Roman" w:hAnsi="Times New Roman"/>
          <w:sz w:val="24"/>
          <w:szCs w:val="24"/>
        </w:rPr>
        <w:t>d</w:t>
      </w:r>
      <w:r w:rsidRPr="004130D0">
        <w:rPr>
          <w:rFonts w:ascii="Times New Roman" w:hAnsi="Times New Roman"/>
          <w:sz w:val="24"/>
          <w:szCs w:val="24"/>
        </w:rPr>
        <w:t xml:space="preserve">as forças subalternas ali organizadas, </w:t>
      </w:r>
      <w:r w:rsidR="000D185B" w:rsidRPr="004130D0">
        <w:rPr>
          <w:rFonts w:ascii="Times New Roman" w:hAnsi="Times New Roman"/>
          <w:sz w:val="24"/>
          <w:szCs w:val="24"/>
        </w:rPr>
        <w:t>a</w:t>
      </w:r>
      <w:r w:rsidRPr="004130D0">
        <w:rPr>
          <w:rFonts w:ascii="Times New Roman" w:hAnsi="Times New Roman"/>
          <w:sz w:val="24"/>
          <w:szCs w:val="24"/>
        </w:rPr>
        <w:t xml:space="preserve"> fração </w:t>
      </w:r>
      <w:r w:rsidR="000D185B" w:rsidRPr="004130D0">
        <w:rPr>
          <w:rFonts w:ascii="Times New Roman" w:hAnsi="Times New Roman"/>
          <w:sz w:val="24"/>
          <w:szCs w:val="24"/>
        </w:rPr>
        <w:t xml:space="preserve">produtor de valor </w:t>
      </w:r>
      <w:r w:rsidRPr="004130D0">
        <w:rPr>
          <w:rFonts w:ascii="Times New Roman" w:hAnsi="Times New Roman"/>
          <w:sz w:val="24"/>
          <w:szCs w:val="24"/>
        </w:rPr>
        <w:t xml:space="preserve">pretendia assegurar a consecução dos seus objetivos, </w:t>
      </w:r>
      <w:r w:rsidR="00B4661B" w:rsidRPr="004130D0">
        <w:rPr>
          <w:rFonts w:ascii="Times New Roman" w:hAnsi="Times New Roman"/>
          <w:sz w:val="24"/>
          <w:szCs w:val="24"/>
        </w:rPr>
        <w:t>buscando operar</w:t>
      </w:r>
      <w:r w:rsidRPr="004130D0">
        <w:rPr>
          <w:rFonts w:ascii="Times New Roman" w:hAnsi="Times New Roman"/>
          <w:sz w:val="24"/>
          <w:szCs w:val="24"/>
        </w:rPr>
        <w:t xml:space="preserve"> no núcleo de poder estatal e ascende</w:t>
      </w:r>
      <w:r w:rsidR="00B4661B" w:rsidRPr="004130D0">
        <w:rPr>
          <w:rFonts w:ascii="Times New Roman" w:hAnsi="Times New Roman"/>
          <w:sz w:val="24"/>
          <w:szCs w:val="24"/>
        </w:rPr>
        <w:t>r</w:t>
      </w:r>
      <w:r w:rsidRPr="004130D0">
        <w:rPr>
          <w:rFonts w:ascii="Times New Roman" w:hAnsi="Times New Roman"/>
          <w:sz w:val="24"/>
          <w:szCs w:val="24"/>
        </w:rPr>
        <w:t xml:space="preserve"> às posições hegemônicas no bloco </w:t>
      </w:r>
      <w:r w:rsidR="009222AD" w:rsidRPr="004130D0">
        <w:rPr>
          <w:rFonts w:ascii="Times New Roman" w:hAnsi="Times New Roman"/>
          <w:sz w:val="24"/>
          <w:szCs w:val="24"/>
        </w:rPr>
        <w:t>dominante</w:t>
      </w:r>
      <w:r w:rsidRPr="004130D0">
        <w:rPr>
          <w:rFonts w:ascii="Times New Roman" w:hAnsi="Times New Roman"/>
          <w:sz w:val="24"/>
          <w:szCs w:val="24"/>
        </w:rPr>
        <w:t xml:space="preserve">, realizando institucionalmente as exigências da estrutura econômica, isto é, ampliando o Estado através da luta política de dada fração dos dominantes. </w:t>
      </w:r>
      <w:r w:rsidR="004130D0" w:rsidRPr="008B0B2A">
        <w:rPr>
          <w:rFonts w:ascii="Times New Roman" w:hAnsi="Times New Roman"/>
          <w:sz w:val="24"/>
          <w:szCs w:val="24"/>
        </w:rPr>
        <w:t>Nas disputas intraclasse dominante, a</w:t>
      </w:r>
      <w:r w:rsidR="009222AD" w:rsidRPr="008B0B2A">
        <w:rPr>
          <w:rFonts w:ascii="Times New Roman" w:hAnsi="Times New Roman"/>
          <w:sz w:val="24"/>
          <w:szCs w:val="24"/>
        </w:rPr>
        <w:t xml:space="preserve">s </w:t>
      </w:r>
      <w:r w:rsidR="00C46FD4" w:rsidRPr="008B0B2A">
        <w:rPr>
          <w:rFonts w:ascii="Times New Roman" w:hAnsi="Times New Roman"/>
          <w:sz w:val="24"/>
          <w:szCs w:val="24"/>
        </w:rPr>
        <w:t>fissuras</w:t>
      </w:r>
      <w:r w:rsidR="009222AD" w:rsidRPr="008B0B2A">
        <w:rPr>
          <w:rFonts w:ascii="Times New Roman" w:hAnsi="Times New Roman"/>
          <w:sz w:val="24"/>
          <w:szCs w:val="24"/>
        </w:rPr>
        <w:t xml:space="preserve">, quanto ao tema da ampliação do CMN, </w:t>
      </w:r>
      <w:r w:rsidR="004130D0" w:rsidRPr="008B0B2A">
        <w:rPr>
          <w:rFonts w:ascii="Times New Roman" w:hAnsi="Times New Roman"/>
          <w:sz w:val="24"/>
          <w:szCs w:val="24"/>
        </w:rPr>
        <w:t xml:space="preserve">não foram lineares, isto é, não se deram num terreno </w:t>
      </w:r>
      <w:r w:rsidR="00BB7DEF" w:rsidRPr="008B0B2A">
        <w:rPr>
          <w:rFonts w:ascii="Times New Roman" w:hAnsi="Times New Roman"/>
          <w:sz w:val="24"/>
          <w:szCs w:val="24"/>
        </w:rPr>
        <w:t xml:space="preserve">estritamente </w:t>
      </w:r>
      <w:r w:rsidR="004130D0" w:rsidRPr="008B0B2A">
        <w:rPr>
          <w:rFonts w:ascii="Times New Roman" w:hAnsi="Times New Roman"/>
          <w:sz w:val="24"/>
          <w:szCs w:val="24"/>
        </w:rPr>
        <w:t xml:space="preserve">demarcado, </w:t>
      </w:r>
      <w:r w:rsidR="00BB7DEF" w:rsidRPr="008B0B2A">
        <w:rPr>
          <w:rFonts w:ascii="Times New Roman" w:hAnsi="Times New Roman"/>
          <w:sz w:val="24"/>
          <w:szCs w:val="24"/>
        </w:rPr>
        <w:t>pois</w:t>
      </w:r>
      <w:r w:rsidR="004130D0" w:rsidRPr="008B0B2A">
        <w:rPr>
          <w:rFonts w:ascii="Times New Roman" w:hAnsi="Times New Roman"/>
          <w:sz w:val="24"/>
          <w:szCs w:val="24"/>
        </w:rPr>
        <w:t xml:space="preserve"> havia divergências entre</w:t>
      </w:r>
      <w:r w:rsidR="009222AD" w:rsidRPr="008B0B2A">
        <w:rPr>
          <w:rFonts w:ascii="Times New Roman" w:hAnsi="Times New Roman"/>
          <w:sz w:val="24"/>
          <w:szCs w:val="24"/>
        </w:rPr>
        <w:t xml:space="preserve"> grandes capitalistas monopolistas (</w:t>
      </w:r>
      <w:r w:rsidR="004130D0" w:rsidRPr="008B0B2A">
        <w:rPr>
          <w:rFonts w:ascii="Times New Roman" w:hAnsi="Times New Roman"/>
          <w:sz w:val="24"/>
          <w:szCs w:val="24"/>
        </w:rPr>
        <w:t>Jorge Gerdau e Abílio Diniz, por exemplo, não endossaram a proposta de ampliação do CMN) da fração de produção de valor</w:t>
      </w:r>
      <w:r w:rsidR="001064E2" w:rsidRPr="008B0B2A">
        <w:rPr>
          <w:rFonts w:ascii="Times New Roman" w:hAnsi="Times New Roman"/>
          <w:sz w:val="24"/>
          <w:szCs w:val="24"/>
        </w:rPr>
        <w:t xml:space="preserve">, </w:t>
      </w:r>
      <w:r w:rsidR="001064E2" w:rsidRPr="008B0B2A">
        <w:rPr>
          <w:rFonts w:ascii="Times New Roman" w:hAnsi="Times New Roman"/>
          <w:i/>
          <w:sz w:val="24"/>
          <w:szCs w:val="24"/>
        </w:rPr>
        <w:t>se levarmos em conta o debate presente nas Atas das Reuniões Plenárias</w:t>
      </w:r>
      <w:r w:rsidR="00BB7DEF" w:rsidRPr="008B0B2A">
        <w:rPr>
          <w:rFonts w:ascii="Times New Roman" w:hAnsi="Times New Roman"/>
          <w:sz w:val="24"/>
          <w:szCs w:val="24"/>
        </w:rPr>
        <w:t>. Contudo, mostrou-se evidente que, apesar das fissuras, os empresários organizadores de ap</w:t>
      </w:r>
      <w:r w:rsidR="00150A5C" w:rsidRPr="008B0B2A">
        <w:rPr>
          <w:rFonts w:ascii="Times New Roman" w:hAnsi="Times New Roman"/>
          <w:sz w:val="24"/>
          <w:szCs w:val="24"/>
        </w:rPr>
        <w:t>arelhos privados de hegemonia de setores do</w:t>
      </w:r>
      <w:r w:rsidR="00BB7DEF" w:rsidRPr="008B0B2A">
        <w:rPr>
          <w:rFonts w:ascii="Times New Roman" w:hAnsi="Times New Roman"/>
          <w:sz w:val="24"/>
          <w:szCs w:val="24"/>
        </w:rPr>
        <w:t xml:space="preserve"> capital produtivo, lograram a aprovação da moção, nos termos e nos limites </w:t>
      </w:r>
      <w:r w:rsidR="004640A8" w:rsidRPr="008B0B2A">
        <w:rPr>
          <w:rFonts w:ascii="Times New Roman" w:hAnsi="Times New Roman"/>
          <w:sz w:val="24"/>
          <w:szCs w:val="24"/>
        </w:rPr>
        <w:t>a</w:t>
      </w:r>
      <w:r w:rsidR="00BB7DEF" w:rsidRPr="008B0B2A">
        <w:rPr>
          <w:rFonts w:ascii="Times New Roman" w:hAnsi="Times New Roman"/>
          <w:sz w:val="24"/>
          <w:szCs w:val="24"/>
        </w:rPr>
        <w:t xml:space="preserve">os quais apreciamos. </w:t>
      </w:r>
      <w:r w:rsidR="00F773B1" w:rsidRPr="008B0B2A">
        <w:rPr>
          <w:rFonts w:ascii="Times New Roman" w:hAnsi="Times New Roman"/>
          <w:sz w:val="24"/>
          <w:szCs w:val="24"/>
        </w:rPr>
        <w:t xml:space="preserve">Tanto os limites </w:t>
      </w:r>
      <w:r w:rsidR="00A60488" w:rsidRPr="008B0B2A">
        <w:rPr>
          <w:rFonts w:ascii="Times New Roman" w:hAnsi="Times New Roman"/>
          <w:sz w:val="24"/>
          <w:szCs w:val="24"/>
        </w:rPr>
        <w:t>apresentados pela</w:t>
      </w:r>
      <w:r w:rsidR="00F773B1" w:rsidRPr="008B0B2A">
        <w:rPr>
          <w:rFonts w:ascii="Times New Roman" w:hAnsi="Times New Roman"/>
          <w:sz w:val="24"/>
          <w:szCs w:val="24"/>
        </w:rPr>
        <w:t xml:space="preserve"> moção quanto a não implantação da recomendação do Co</w:t>
      </w:r>
      <w:r w:rsidR="0028414A" w:rsidRPr="008B0B2A">
        <w:rPr>
          <w:rFonts w:ascii="Times New Roman" w:hAnsi="Times New Roman"/>
          <w:sz w:val="24"/>
          <w:szCs w:val="24"/>
        </w:rPr>
        <w:t xml:space="preserve">nselho pelo Executivo </w:t>
      </w:r>
      <w:r w:rsidR="0028414A" w:rsidRPr="008B0B2A">
        <w:rPr>
          <w:rFonts w:ascii="Times New Roman" w:hAnsi="Times New Roman"/>
          <w:i/>
          <w:sz w:val="24"/>
          <w:szCs w:val="24"/>
        </w:rPr>
        <w:t xml:space="preserve">problematizam a organicidade da </w:t>
      </w:r>
      <w:r w:rsidR="00A60488" w:rsidRPr="008B0B2A">
        <w:rPr>
          <w:rFonts w:ascii="Times New Roman" w:hAnsi="Times New Roman"/>
          <w:i/>
          <w:sz w:val="24"/>
          <w:szCs w:val="24"/>
        </w:rPr>
        <w:t>direção</w:t>
      </w:r>
      <w:r w:rsidR="0028414A" w:rsidRPr="008B0B2A">
        <w:rPr>
          <w:rFonts w:ascii="Times New Roman" w:hAnsi="Times New Roman"/>
          <w:i/>
          <w:sz w:val="24"/>
          <w:szCs w:val="24"/>
        </w:rPr>
        <w:t xml:space="preserve"> operada pelo grande capital </w:t>
      </w:r>
      <w:r w:rsidR="00A60488" w:rsidRPr="008B0B2A">
        <w:rPr>
          <w:rFonts w:ascii="Times New Roman" w:hAnsi="Times New Roman"/>
          <w:i/>
          <w:sz w:val="24"/>
          <w:szCs w:val="24"/>
        </w:rPr>
        <w:t>produtor de valor</w:t>
      </w:r>
      <w:r w:rsidR="0028414A" w:rsidRPr="008B0B2A">
        <w:rPr>
          <w:rFonts w:ascii="Times New Roman" w:hAnsi="Times New Roman"/>
          <w:sz w:val="24"/>
          <w:szCs w:val="24"/>
        </w:rPr>
        <w:t xml:space="preserve">, mas não são suficientes para </w:t>
      </w:r>
      <w:r w:rsidR="00150A5C" w:rsidRPr="008B0B2A">
        <w:rPr>
          <w:rFonts w:ascii="Times New Roman" w:hAnsi="Times New Roman"/>
          <w:sz w:val="24"/>
          <w:szCs w:val="24"/>
        </w:rPr>
        <w:t>afast</w:t>
      </w:r>
      <w:r w:rsidR="00D97A19" w:rsidRPr="008B0B2A">
        <w:rPr>
          <w:rFonts w:ascii="Times New Roman" w:hAnsi="Times New Roman"/>
          <w:sz w:val="24"/>
          <w:szCs w:val="24"/>
        </w:rPr>
        <w:t>á-la, muito menos</w:t>
      </w:r>
      <w:r w:rsidR="0028414A" w:rsidRPr="008B0B2A">
        <w:rPr>
          <w:rFonts w:ascii="Times New Roman" w:hAnsi="Times New Roman"/>
          <w:sz w:val="24"/>
          <w:szCs w:val="24"/>
        </w:rPr>
        <w:t>rechaçá-la</w:t>
      </w:r>
      <w:r w:rsidR="00150A5C" w:rsidRPr="008B0B2A">
        <w:rPr>
          <w:rFonts w:ascii="Times New Roman" w:hAnsi="Times New Roman"/>
          <w:sz w:val="24"/>
          <w:szCs w:val="24"/>
        </w:rPr>
        <w:t xml:space="preserve"> em definitivo. De fato, </w:t>
      </w:r>
      <w:r w:rsidR="004537B1" w:rsidRPr="008B0B2A">
        <w:rPr>
          <w:rFonts w:ascii="Times New Roman" w:hAnsi="Times New Roman"/>
          <w:sz w:val="24"/>
          <w:szCs w:val="24"/>
        </w:rPr>
        <w:t>neste e noutros momentos</w:t>
      </w:r>
      <w:r w:rsidR="00150A5C" w:rsidRPr="008B0B2A">
        <w:rPr>
          <w:rFonts w:ascii="Times New Roman" w:hAnsi="Times New Roman"/>
          <w:sz w:val="24"/>
          <w:szCs w:val="24"/>
        </w:rPr>
        <w:t xml:space="preserve"> não havia uma força social clara e consistente capaz </w:t>
      </w:r>
      <w:r w:rsidR="00F937E8">
        <w:rPr>
          <w:rFonts w:ascii="Times New Roman" w:hAnsi="Times New Roman"/>
          <w:sz w:val="24"/>
          <w:szCs w:val="24"/>
        </w:rPr>
        <w:t xml:space="preserve">de </w:t>
      </w:r>
      <w:r w:rsidR="00150A5C" w:rsidRPr="008B0B2A">
        <w:rPr>
          <w:rFonts w:ascii="Times New Roman" w:hAnsi="Times New Roman"/>
          <w:sz w:val="24"/>
          <w:szCs w:val="24"/>
        </w:rPr>
        <w:t xml:space="preserve">dar uma direção indubitável a todos </w:t>
      </w:r>
      <w:r w:rsidR="004537B1" w:rsidRPr="008B0B2A">
        <w:rPr>
          <w:rFonts w:ascii="Times New Roman" w:hAnsi="Times New Roman"/>
          <w:sz w:val="24"/>
          <w:szCs w:val="24"/>
        </w:rPr>
        <w:t>setores sociais presentes</w:t>
      </w:r>
      <w:r w:rsidR="00150A5C" w:rsidRPr="008B0B2A">
        <w:rPr>
          <w:rFonts w:ascii="Times New Roman" w:hAnsi="Times New Roman"/>
          <w:sz w:val="24"/>
          <w:szCs w:val="24"/>
        </w:rPr>
        <w:t xml:space="preserve">. </w:t>
      </w:r>
    </w:p>
    <w:p w:rsidR="00303FA9" w:rsidRPr="004130D0" w:rsidRDefault="0028414A" w:rsidP="00303FA9">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Neste exercício, a</w:t>
      </w:r>
      <w:r w:rsidR="00303FA9" w:rsidRPr="004130D0">
        <w:rPr>
          <w:rFonts w:ascii="Times New Roman" w:hAnsi="Times New Roman"/>
          <w:sz w:val="24"/>
          <w:szCs w:val="24"/>
        </w:rPr>
        <w:t xml:space="preserve"> absorção de demandas por “democratização”, “transparência” ou “destecnificação” das decisões estatais, oriundas dos grupos subalternos não causava constrangimentos ao empresariado, muito pelo contrário, pois introduzia uma cunha legitimadora </w:t>
      </w:r>
      <w:r w:rsidR="003A22BA">
        <w:rPr>
          <w:rFonts w:ascii="Times New Roman" w:hAnsi="Times New Roman"/>
          <w:sz w:val="24"/>
          <w:szCs w:val="24"/>
        </w:rPr>
        <w:t xml:space="preserve">social-liberal </w:t>
      </w:r>
      <w:r w:rsidR="00303FA9" w:rsidRPr="004130D0">
        <w:rPr>
          <w:rFonts w:ascii="Times New Roman" w:hAnsi="Times New Roman"/>
          <w:sz w:val="24"/>
          <w:szCs w:val="24"/>
        </w:rPr>
        <w:t>de alta eficácia, desde que sob sua direção, e mesmo porque não se tratava de pôr em questão os próprios fundamentos da política econômica, como vimos.</w:t>
      </w:r>
    </w:p>
    <w:p w:rsidR="00303FA9" w:rsidRDefault="00303FA9" w:rsidP="00303FA9">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O desenrolar da crise política do “mensalão” atingiu em cheio a área econômica do governo, tornando insustentável o comando do Ministério da Fazenda por Palocci. A entrada de Guido Mantega em substituição a Palocci acendeu os ânimos dos empresários da pirâmide da Paulista, entusiasmando-os com os novos rumos que a política econômica poderia ter nas mãos de um – assim considerado </w:t>
      </w:r>
      <w:r w:rsidR="00095250">
        <w:rPr>
          <w:rFonts w:ascii="Times New Roman" w:hAnsi="Times New Roman"/>
          <w:sz w:val="24"/>
          <w:szCs w:val="24"/>
        </w:rPr>
        <w:t>–</w:t>
      </w:r>
      <w:r>
        <w:rPr>
          <w:rFonts w:ascii="Times New Roman" w:hAnsi="Times New Roman"/>
          <w:sz w:val="24"/>
          <w:szCs w:val="24"/>
        </w:rPr>
        <w:t>“desenvolvimentista”. Muito provavelmente, isto postergou ou distendeu temporariamente a batalha sobre a ampliação do CMN, aliado à conjuntura econômica bastante favorável do período 2006-2008. É o que se pode deduzir da reportagem de capa da “Revista da Indústria”, de abril/maio de 2006:</w:t>
      </w:r>
    </w:p>
    <w:p w:rsidR="00303FA9" w:rsidRPr="00FF5AB1" w:rsidRDefault="00303FA9" w:rsidP="00303FA9">
      <w:pPr>
        <w:autoSpaceDE w:val="0"/>
        <w:autoSpaceDN w:val="0"/>
        <w:adjustRightInd w:val="0"/>
        <w:spacing w:after="0" w:line="240" w:lineRule="auto"/>
        <w:ind w:left="2268"/>
        <w:jc w:val="both"/>
        <w:rPr>
          <w:rFonts w:ascii="Times New Roman" w:hAnsi="Times New Roman"/>
          <w:sz w:val="20"/>
          <w:szCs w:val="20"/>
        </w:rPr>
      </w:pPr>
      <w:r w:rsidRPr="00FF5AB1">
        <w:rPr>
          <w:rFonts w:ascii="Times New Roman" w:hAnsi="Times New Roman"/>
          <w:sz w:val="20"/>
          <w:szCs w:val="20"/>
        </w:rPr>
        <w:t>A escolha de Guido Mantega para substituir Antonio Palocci no Ministério da Fazenda foi bem recebida pelos industriais paulistas. Os motivos da acolhida se relacionam à palavra desenvolvimentista que define o perfil do economista formado pela Universidade de São Paulo e em teoria se contrapõe à ortodoxia do médico de Ribeirão Preto. Para o setor, o termo soa como (boa) música: pode significar principalmente queda mais acentuada dos juros reais – do ângulo dos empresários, o remédio mais eficiente contra a inflação.</w:t>
      </w:r>
      <w:r>
        <w:rPr>
          <w:rStyle w:val="Refdenotaderodap"/>
          <w:rFonts w:ascii="Times New Roman" w:hAnsi="Times New Roman"/>
          <w:sz w:val="20"/>
          <w:szCs w:val="20"/>
        </w:rPr>
        <w:footnoteReference w:id="467"/>
      </w:r>
    </w:p>
    <w:p w:rsidR="00303FA9" w:rsidRDefault="00303FA9" w:rsidP="00303FA9">
      <w:pPr>
        <w:autoSpaceDE w:val="0"/>
        <w:autoSpaceDN w:val="0"/>
        <w:adjustRightInd w:val="0"/>
        <w:spacing w:after="0" w:line="240" w:lineRule="auto"/>
        <w:rPr>
          <w:rFonts w:ascii="MinionPro-Regular" w:hAnsi="MinionPro-Regular" w:cs="MinionPro-Regular"/>
          <w:sz w:val="20"/>
          <w:szCs w:val="20"/>
        </w:rPr>
      </w:pPr>
      <w:bookmarkStart w:id="1" w:name="art11"/>
      <w:bookmarkEnd w:id="1"/>
    </w:p>
    <w:p w:rsidR="00AD6394" w:rsidRDefault="00BB7DEF" w:rsidP="00FF0878">
      <w:pPr>
        <w:spacing w:line="360" w:lineRule="auto"/>
        <w:ind w:firstLine="708"/>
        <w:jc w:val="both"/>
        <w:rPr>
          <w:rFonts w:ascii="Times New Roman" w:hAnsi="Times New Roman"/>
          <w:sz w:val="24"/>
          <w:szCs w:val="24"/>
          <w:lang w:val="pt-PT"/>
        </w:rPr>
      </w:pPr>
      <w:r w:rsidRPr="008B0B2A">
        <w:rPr>
          <w:rFonts w:ascii="Times New Roman" w:hAnsi="Times New Roman"/>
          <w:sz w:val="24"/>
          <w:szCs w:val="24"/>
          <w:lang w:val="pt-PT"/>
        </w:rPr>
        <w:t>O</w:t>
      </w:r>
      <w:r w:rsidR="00FF0878" w:rsidRPr="008B0B2A">
        <w:rPr>
          <w:rFonts w:ascii="Times New Roman" w:hAnsi="Times New Roman"/>
          <w:sz w:val="24"/>
          <w:szCs w:val="24"/>
          <w:lang w:val="pt-PT"/>
        </w:rPr>
        <w:t xml:space="preserve"> período de discussão acerca da ampliação dos membros do CMN (novembro de 2004 a maio de 2005)</w:t>
      </w:r>
      <w:r w:rsidRPr="008B0B2A">
        <w:rPr>
          <w:rFonts w:ascii="Times New Roman" w:hAnsi="Times New Roman"/>
          <w:sz w:val="24"/>
          <w:szCs w:val="24"/>
          <w:lang w:val="pt-PT"/>
        </w:rPr>
        <w:t>, no CDES,</w:t>
      </w:r>
      <w:r w:rsidR="00FF0878" w:rsidRPr="008B0B2A">
        <w:rPr>
          <w:rFonts w:ascii="Times New Roman" w:hAnsi="Times New Roman"/>
          <w:sz w:val="24"/>
          <w:szCs w:val="24"/>
          <w:lang w:val="pt-PT"/>
        </w:rPr>
        <w:t xml:space="preserve"> mostrou </w:t>
      </w:r>
      <w:r w:rsidR="00FF0878" w:rsidRPr="008B0B2A">
        <w:rPr>
          <w:rFonts w:ascii="Times New Roman" w:hAnsi="Times New Roman"/>
          <w:i/>
          <w:sz w:val="24"/>
          <w:szCs w:val="24"/>
          <w:lang w:val="pt-PT"/>
        </w:rPr>
        <w:t xml:space="preserve">mais um momento de </w:t>
      </w:r>
      <w:r w:rsidR="004640A8" w:rsidRPr="008B0B2A">
        <w:rPr>
          <w:rFonts w:ascii="Times New Roman" w:hAnsi="Times New Roman"/>
          <w:i/>
          <w:sz w:val="24"/>
          <w:szCs w:val="24"/>
          <w:lang w:val="pt-PT"/>
        </w:rPr>
        <w:t>montagem</w:t>
      </w:r>
      <w:r w:rsidR="00FF0878" w:rsidRPr="008B0B2A">
        <w:rPr>
          <w:rFonts w:ascii="Times New Roman" w:hAnsi="Times New Roman"/>
          <w:i/>
          <w:sz w:val="24"/>
          <w:szCs w:val="24"/>
          <w:lang w:val="pt-PT"/>
        </w:rPr>
        <w:t xml:space="preserve"> do processo de operacionalização da hegemonia do grande capital produtor de valor</w:t>
      </w:r>
      <w:r w:rsidR="00FF0878" w:rsidRPr="008B0B2A">
        <w:rPr>
          <w:rFonts w:ascii="Times New Roman" w:hAnsi="Times New Roman"/>
          <w:sz w:val="24"/>
          <w:szCs w:val="24"/>
          <w:lang w:val="pt-PT"/>
        </w:rPr>
        <w:t xml:space="preserve"> sob o conjunto das forças subalternas representadas. A direção burguesa </w:t>
      </w:r>
      <w:r w:rsidR="00AD6394">
        <w:rPr>
          <w:rFonts w:ascii="Times New Roman" w:hAnsi="Times New Roman"/>
          <w:sz w:val="24"/>
          <w:szCs w:val="24"/>
          <w:lang w:val="pt-PT"/>
        </w:rPr>
        <w:t xml:space="preserve">em construção </w:t>
      </w:r>
      <w:r w:rsidR="00FF0878" w:rsidRPr="008B0B2A">
        <w:rPr>
          <w:rFonts w:ascii="Times New Roman" w:hAnsi="Times New Roman"/>
          <w:sz w:val="24"/>
          <w:szCs w:val="24"/>
          <w:lang w:val="pt-PT"/>
        </w:rPr>
        <w:t>foi capaz de agrupar em torno de si a direção da CUT, os intelectuais e outros conselheiros não empresariais vinculados ao segmento que denominei “demai</w:t>
      </w:r>
      <w:r w:rsidR="00AD6394">
        <w:rPr>
          <w:rFonts w:ascii="Times New Roman" w:hAnsi="Times New Roman"/>
          <w:sz w:val="24"/>
          <w:szCs w:val="24"/>
          <w:lang w:val="pt-PT"/>
        </w:rPr>
        <w:t>s entidades da sociedade civil”, ainda que, nesse debate, banqueiros e alguns grandes empresários não se coadunassem com a proposta.</w:t>
      </w:r>
    </w:p>
    <w:p w:rsidR="00FF0878" w:rsidRPr="008B0B2A" w:rsidRDefault="00FF0878" w:rsidP="00FF0878">
      <w:pPr>
        <w:spacing w:line="360" w:lineRule="auto"/>
        <w:ind w:firstLine="708"/>
        <w:jc w:val="both"/>
        <w:rPr>
          <w:rFonts w:ascii="Times New Roman" w:hAnsi="Times New Roman"/>
          <w:sz w:val="24"/>
          <w:szCs w:val="24"/>
          <w:lang w:val="pt-PT"/>
        </w:rPr>
      </w:pPr>
      <w:r w:rsidRPr="008B0B2A">
        <w:rPr>
          <w:rFonts w:ascii="Times New Roman" w:hAnsi="Times New Roman"/>
          <w:sz w:val="24"/>
          <w:szCs w:val="24"/>
          <w:lang w:val="pt-PT"/>
        </w:rPr>
        <w:t xml:space="preserve">O CDES foi um dos lugares de concertação (operacionalização da hegemonia) social-liberal importante. Isto não quer dizer que as políticas que eles propunham seriam vitoriosas </w:t>
      </w:r>
      <w:r w:rsidR="00F773B1" w:rsidRPr="008B0B2A">
        <w:rPr>
          <w:rFonts w:ascii="Times New Roman" w:hAnsi="Times New Roman"/>
          <w:sz w:val="24"/>
          <w:szCs w:val="24"/>
          <w:lang w:val="pt-PT"/>
        </w:rPr>
        <w:t>(alçando ao</w:t>
      </w:r>
      <w:r w:rsidRPr="008B0B2A">
        <w:rPr>
          <w:rFonts w:ascii="Times New Roman" w:hAnsi="Times New Roman"/>
          <w:sz w:val="24"/>
          <w:szCs w:val="24"/>
          <w:lang w:val="pt-PT"/>
        </w:rPr>
        <w:t xml:space="preserve"> status de políticas públicas) ou, mesmo sendo, nas dimensões das expectativas por eles traçadas. Na verdade, deve-se compreender o momento da hegemonia como um exercício pedagógico de atração (e decapitação) de indivíduos e grupos subalternos aos círculos de influência e/ou dominação dos dominantes: </w:t>
      </w:r>
      <w:r w:rsidRPr="008B0B2A">
        <w:rPr>
          <w:rFonts w:ascii="Times New Roman" w:hAnsi="Times New Roman"/>
          <w:i/>
          <w:sz w:val="24"/>
          <w:szCs w:val="24"/>
          <w:lang w:val="pt-PT"/>
        </w:rPr>
        <w:t>a pedagogia da hegemonia passava pela valorização ou positivação do capital produtor de valor como mola-mestra do crescimento econômico</w:t>
      </w:r>
      <w:r w:rsidRPr="008B0B2A">
        <w:rPr>
          <w:rFonts w:ascii="Times New Roman" w:hAnsi="Times New Roman"/>
          <w:sz w:val="24"/>
          <w:szCs w:val="24"/>
          <w:lang w:val="pt-PT"/>
        </w:rPr>
        <w:t xml:space="preserve">, abrindo possibilidades de ganhos sociais, e galgava </w:t>
      </w:r>
      <w:r w:rsidR="00F773B1" w:rsidRPr="008B0B2A">
        <w:rPr>
          <w:rFonts w:ascii="Times New Roman" w:hAnsi="Times New Roman"/>
          <w:sz w:val="24"/>
          <w:szCs w:val="24"/>
          <w:lang w:val="pt-PT"/>
        </w:rPr>
        <w:t xml:space="preserve">firmes </w:t>
      </w:r>
      <w:r w:rsidRPr="008B0B2A">
        <w:rPr>
          <w:rFonts w:ascii="Times New Roman" w:hAnsi="Times New Roman"/>
          <w:sz w:val="24"/>
          <w:szCs w:val="24"/>
          <w:lang w:val="pt-PT"/>
        </w:rPr>
        <w:t xml:space="preserve">posições </w:t>
      </w:r>
      <w:r w:rsidR="00F773B1" w:rsidRPr="008B0B2A">
        <w:rPr>
          <w:rFonts w:ascii="Times New Roman" w:hAnsi="Times New Roman"/>
          <w:sz w:val="24"/>
          <w:szCs w:val="24"/>
          <w:lang w:val="pt-PT"/>
        </w:rPr>
        <w:t>quanto à</w:t>
      </w:r>
      <w:r w:rsidRPr="008B0B2A">
        <w:rPr>
          <w:rFonts w:ascii="Times New Roman" w:hAnsi="Times New Roman"/>
          <w:sz w:val="24"/>
          <w:szCs w:val="24"/>
          <w:lang w:val="pt-PT"/>
        </w:rPr>
        <w:t xml:space="preserve"> aderência </w:t>
      </w:r>
      <w:r w:rsidR="00F773B1" w:rsidRPr="008B0B2A">
        <w:rPr>
          <w:rFonts w:ascii="Times New Roman" w:hAnsi="Times New Roman"/>
          <w:sz w:val="24"/>
          <w:szCs w:val="24"/>
          <w:lang w:val="pt-PT"/>
        </w:rPr>
        <w:t>d</w:t>
      </w:r>
      <w:r w:rsidRPr="008B0B2A">
        <w:rPr>
          <w:rFonts w:ascii="Times New Roman" w:hAnsi="Times New Roman"/>
          <w:sz w:val="24"/>
          <w:szCs w:val="24"/>
          <w:lang w:val="pt-PT"/>
        </w:rPr>
        <w:t>os grupos sociais não empresariais, tornando-se aliados subalternizados.</w:t>
      </w:r>
    </w:p>
    <w:p w:rsidR="004538C7" w:rsidRDefault="004538C7" w:rsidP="004538C7">
      <w:pPr>
        <w:spacing w:line="360" w:lineRule="auto"/>
        <w:jc w:val="both"/>
        <w:rPr>
          <w:rFonts w:ascii="Times New Roman" w:hAnsi="Times New Roman"/>
          <w:b/>
          <w:sz w:val="24"/>
          <w:szCs w:val="24"/>
        </w:rPr>
      </w:pPr>
      <w:r>
        <w:rPr>
          <w:rFonts w:ascii="Times New Roman" w:hAnsi="Times New Roman"/>
          <w:b/>
          <w:sz w:val="24"/>
          <w:szCs w:val="24"/>
        </w:rPr>
        <w:t>3.5</w:t>
      </w:r>
      <w:r w:rsidRPr="00E57E61">
        <w:rPr>
          <w:rFonts w:ascii="Times New Roman" w:hAnsi="Times New Roman"/>
          <w:b/>
          <w:sz w:val="24"/>
          <w:szCs w:val="24"/>
        </w:rPr>
        <w:t xml:space="preserve"> – A Agenda Nacional de Desenvolvimento (AND)</w:t>
      </w:r>
    </w:p>
    <w:p w:rsidR="004538C7" w:rsidRDefault="004538C7" w:rsidP="004538C7">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Em agosto de 2005, foi aprovada na planária do CDES a </w:t>
      </w:r>
      <w:r w:rsidRPr="000635E9">
        <w:rPr>
          <w:rFonts w:ascii="Times New Roman" w:hAnsi="Times New Roman"/>
          <w:i/>
          <w:sz w:val="24"/>
          <w:szCs w:val="24"/>
        </w:rPr>
        <w:t>Agenda Nacional de Desenvolvimento (AND)</w:t>
      </w:r>
      <w:r>
        <w:rPr>
          <w:rFonts w:ascii="Times New Roman" w:hAnsi="Times New Roman"/>
          <w:sz w:val="24"/>
          <w:szCs w:val="24"/>
        </w:rPr>
        <w:t xml:space="preserve">, documento fruto das discussões internas da plenária mas, principalmente, do acúmulo de debates do Grupo Temático “Fundamentos Estratégicos para o Desenvolvimento”, composto por cerca de 50 conselheiros. Trata-se, sem dúvidas, da primeira fonte produzida pelos próprios conselheiros sendo que, por buscar caracterizar-se como um documento mais panorâmico, a AND não trouxe medidas concretas e </w:t>
      </w:r>
      <w:r w:rsidR="00E109A1">
        <w:rPr>
          <w:rFonts w:ascii="Times New Roman" w:hAnsi="Times New Roman"/>
          <w:sz w:val="24"/>
          <w:szCs w:val="24"/>
        </w:rPr>
        <w:t>exequíveis</w:t>
      </w:r>
      <w:r>
        <w:rPr>
          <w:rFonts w:ascii="Times New Roman" w:hAnsi="Times New Roman"/>
          <w:sz w:val="24"/>
          <w:szCs w:val="24"/>
        </w:rPr>
        <w:t xml:space="preserve">, não definiu metas nem prazos precisos a fim de possibilitar operacionalizar a retomada do “desenvolvimento em bases sustentáveis”. </w:t>
      </w:r>
    </w:p>
    <w:p w:rsidR="004538C7" w:rsidRDefault="004538C7" w:rsidP="004538C7">
      <w:pPr>
        <w:spacing w:after="0" w:line="360" w:lineRule="auto"/>
        <w:jc w:val="both"/>
        <w:rPr>
          <w:rFonts w:ascii="Times New Roman" w:hAnsi="Times New Roman"/>
          <w:sz w:val="24"/>
          <w:szCs w:val="24"/>
        </w:rPr>
      </w:pPr>
      <w:r>
        <w:rPr>
          <w:rFonts w:ascii="Times New Roman" w:hAnsi="Times New Roman"/>
          <w:sz w:val="24"/>
          <w:szCs w:val="24"/>
        </w:rPr>
        <w:tab/>
        <w:t xml:space="preserve">A Agenda Nacional de Desenvolvimento, segundo a análise das atas das reuniões e dos trabalhos de analistas, foi elaborada apenas pelos conselheiros, tendo os funcionários da </w:t>
      </w:r>
      <w:r w:rsidR="00F928B3">
        <w:rPr>
          <w:rFonts w:ascii="Times New Roman" w:hAnsi="Times New Roman"/>
          <w:sz w:val="24"/>
          <w:szCs w:val="24"/>
        </w:rPr>
        <w:t>SEDES</w:t>
      </w:r>
      <w:r>
        <w:rPr>
          <w:rFonts w:ascii="Times New Roman" w:hAnsi="Times New Roman"/>
          <w:sz w:val="24"/>
          <w:szCs w:val="24"/>
        </w:rPr>
        <w:t xml:space="preserve"> a função de coordenação, monitoramento e assessoria. Não nos deteremos no seu processo de elaboração, ampla e detalhadamente estudado por outros analistas e pesquisadores do CDES,</w:t>
      </w:r>
      <w:r>
        <w:rPr>
          <w:rStyle w:val="Refdenotaderodap"/>
          <w:rFonts w:ascii="Times New Roman" w:hAnsi="Times New Roman"/>
          <w:sz w:val="24"/>
          <w:szCs w:val="24"/>
        </w:rPr>
        <w:footnoteReference w:id="468"/>
      </w:r>
      <w:r>
        <w:rPr>
          <w:rFonts w:ascii="Times New Roman" w:hAnsi="Times New Roman"/>
          <w:sz w:val="24"/>
          <w:szCs w:val="24"/>
        </w:rPr>
        <w:t xml:space="preserve"> senão em seus aspectos mais relevantes, mas na identificação dos pontos considerados pelos conselheiros como essenciais para a “superação dos entraves estruturais ao desenvolvimento nacional”, realçando suas diretrizes estratégicas.</w:t>
      </w:r>
      <w:r>
        <w:rPr>
          <w:rStyle w:val="Refdenotaderodap"/>
          <w:rFonts w:ascii="Times New Roman" w:hAnsi="Times New Roman"/>
          <w:sz w:val="24"/>
          <w:szCs w:val="24"/>
        </w:rPr>
        <w:footnoteReference w:id="469"/>
      </w:r>
    </w:p>
    <w:p w:rsidR="004538C7" w:rsidRDefault="004538C7" w:rsidP="004538C7">
      <w:pPr>
        <w:spacing w:after="0" w:line="360" w:lineRule="auto"/>
        <w:ind w:firstLine="708"/>
        <w:jc w:val="both"/>
        <w:rPr>
          <w:rFonts w:ascii="Times New Roman" w:hAnsi="Times New Roman"/>
          <w:sz w:val="24"/>
          <w:szCs w:val="24"/>
        </w:rPr>
      </w:pPr>
      <w:r>
        <w:rPr>
          <w:rFonts w:ascii="Times New Roman" w:hAnsi="Times New Roman"/>
          <w:sz w:val="24"/>
          <w:szCs w:val="24"/>
        </w:rPr>
        <w:t xml:space="preserve">Os trabalhos requisitados para a elaboração da AND mobilizaram muitos esforços por parte da Secretaria e dos conselheiros. O Grupo Temático Fundamentos Estratégicos do Desenvolvimento (GTFED) teve papel fundamental na elaboração da Agenda, aprofundando seus estudos e discussões, iniciadas desde julho de 2003. </w:t>
      </w:r>
      <w:r w:rsidRPr="00C63CE3">
        <w:rPr>
          <w:rFonts w:ascii="Times New Roman" w:hAnsi="Times New Roman"/>
          <w:sz w:val="24"/>
          <w:szCs w:val="24"/>
        </w:rPr>
        <w:t xml:space="preserve">A SEDES e o Núcleo de Estudos Estratégicos da Secom/PR identificaram, </w:t>
      </w:r>
      <w:r>
        <w:rPr>
          <w:rFonts w:ascii="Times New Roman" w:hAnsi="Times New Roman"/>
          <w:sz w:val="24"/>
          <w:szCs w:val="24"/>
        </w:rPr>
        <w:t xml:space="preserve">em maio de 2004, </w:t>
      </w:r>
      <w:r w:rsidRPr="00C63CE3">
        <w:rPr>
          <w:rFonts w:ascii="Times New Roman" w:hAnsi="Times New Roman"/>
          <w:sz w:val="24"/>
          <w:szCs w:val="24"/>
        </w:rPr>
        <w:t xml:space="preserve">junto aos conselheiros, os elementos para uma </w:t>
      </w:r>
      <w:r w:rsidRPr="00C63CE3">
        <w:rPr>
          <w:rFonts w:ascii="Times New Roman" w:hAnsi="Times New Roman"/>
          <w:i/>
          <w:sz w:val="24"/>
          <w:szCs w:val="24"/>
        </w:rPr>
        <w:t>visão de futuro</w:t>
      </w:r>
      <w:r w:rsidRPr="00C63CE3">
        <w:rPr>
          <w:rFonts w:ascii="Times New Roman" w:hAnsi="Times New Roman"/>
          <w:sz w:val="24"/>
          <w:szCs w:val="24"/>
        </w:rPr>
        <w:t xml:space="preserve"> do país.</w:t>
      </w:r>
      <w:r w:rsidRPr="00C63CE3">
        <w:rPr>
          <w:rStyle w:val="Refdenotaderodap"/>
          <w:rFonts w:ascii="Times New Roman" w:hAnsi="Times New Roman"/>
          <w:sz w:val="24"/>
          <w:szCs w:val="24"/>
        </w:rPr>
        <w:footnoteReference w:id="470"/>
      </w:r>
      <w:r w:rsidRPr="00C63CE3">
        <w:rPr>
          <w:rFonts w:ascii="Times New Roman" w:hAnsi="Times New Roman"/>
          <w:sz w:val="24"/>
          <w:szCs w:val="24"/>
        </w:rPr>
        <w:t xml:space="preserve"> Logo após, definiram, os </w:t>
      </w:r>
      <w:r w:rsidRPr="00C63CE3">
        <w:rPr>
          <w:rFonts w:ascii="Times New Roman" w:hAnsi="Times New Roman"/>
          <w:i/>
          <w:sz w:val="24"/>
          <w:szCs w:val="24"/>
        </w:rPr>
        <w:t>valores orientadores</w:t>
      </w:r>
      <w:r w:rsidRPr="00C63CE3">
        <w:rPr>
          <w:rStyle w:val="Refdenotaderodap"/>
          <w:rFonts w:ascii="Times New Roman" w:hAnsi="Times New Roman"/>
          <w:i/>
          <w:sz w:val="24"/>
          <w:szCs w:val="24"/>
        </w:rPr>
        <w:footnoteReference w:id="471"/>
      </w:r>
      <w:r w:rsidRPr="00C63CE3">
        <w:rPr>
          <w:rFonts w:ascii="Times New Roman" w:hAnsi="Times New Roman"/>
          <w:sz w:val="24"/>
          <w:szCs w:val="24"/>
        </w:rPr>
        <w:t xml:space="preserve"> da AND e, a partir deles, traçaram os principais problemas a serem superados pelo país. O passo seguinte consistiu em agrupar os problemas indicados em seis grandes </w:t>
      </w:r>
      <w:r w:rsidRPr="00C63CE3">
        <w:rPr>
          <w:rFonts w:ascii="Times New Roman" w:hAnsi="Times New Roman"/>
          <w:i/>
          <w:sz w:val="24"/>
          <w:szCs w:val="24"/>
        </w:rPr>
        <w:t>âmbitos problemáticos</w:t>
      </w:r>
      <w:r w:rsidRPr="00C63CE3">
        <w:rPr>
          <w:rFonts w:ascii="Times New Roman" w:hAnsi="Times New Roman"/>
          <w:sz w:val="24"/>
          <w:szCs w:val="24"/>
        </w:rPr>
        <w:t xml:space="preserve">, para os quais seriam concebidas </w:t>
      </w:r>
      <w:r w:rsidRPr="00C63CE3">
        <w:rPr>
          <w:rFonts w:ascii="Times New Roman" w:hAnsi="Times New Roman"/>
          <w:i/>
          <w:sz w:val="24"/>
          <w:szCs w:val="24"/>
        </w:rPr>
        <w:t>diretrizes estratégicas</w:t>
      </w:r>
      <w:r w:rsidRPr="00C63CE3">
        <w:rPr>
          <w:rFonts w:ascii="Times New Roman" w:hAnsi="Times New Roman"/>
          <w:sz w:val="24"/>
          <w:szCs w:val="24"/>
        </w:rPr>
        <w:t xml:space="preserve">, mediante constituição de grupos de trabalho para cada um deles. </w:t>
      </w:r>
    </w:p>
    <w:p w:rsidR="004538C7" w:rsidRDefault="004538C7" w:rsidP="004538C7">
      <w:pPr>
        <w:spacing w:after="0" w:line="360" w:lineRule="auto"/>
        <w:ind w:firstLine="708"/>
        <w:jc w:val="both"/>
        <w:rPr>
          <w:rFonts w:ascii="Times New Roman" w:hAnsi="Times New Roman"/>
          <w:sz w:val="24"/>
          <w:szCs w:val="24"/>
        </w:rPr>
      </w:pPr>
      <w:r>
        <w:rPr>
          <w:rFonts w:ascii="Times New Roman" w:hAnsi="Times New Roman"/>
          <w:sz w:val="24"/>
          <w:szCs w:val="24"/>
        </w:rPr>
        <w:t xml:space="preserve">As diretrizes estratégicas cunhadas pelos conselheiros teriam sido concebidas com o objetivo de traçar políticas de enfrentamento aos problemas e preocupações por eles identificados como relevantes na obstrução de um projeto de desenvolvimento. </w:t>
      </w:r>
      <w:r w:rsidRPr="00C63CE3">
        <w:rPr>
          <w:rFonts w:ascii="Times New Roman" w:hAnsi="Times New Roman"/>
          <w:sz w:val="24"/>
          <w:szCs w:val="24"/>
        </w:rPr>
        <w:t xml:space="preserve">Para confecção destas </w:t>
      </w:r>
      <w:r>
        <w:rPr>
          <w:rFonts w:ascii="Times New Roman" w:hAnsi="Times New Roman"/>
          <w:sz w:val="24"/>
          <w:szCs w:val="24"/>
        </w:rPr>
        <w:t>diretrizes</w:t>
      </w:r>
      <w:r w:rsidRPr="00C63CE3">
        <w:rPr>
          <w:rFonts w:ascii="Times New Roman" w:hAnsi="Times New Roman"/>
          <w:sz w:val="24"/>
          <w:szCs w:val="24"/>
        </w:rPr>
        <w:t>, realizaram estudos, debates, seminários, consultas a especialistas, resultando numa versão porme</w:t>
      </w:r>
      <w:r>
        <w:rPr>
          <w:rFonts w:ascii="Times New Roman" w:hAnsi="Times New Roman"/>
          <w:sz w:val="24"/>
          <w:szCs w:val="24"/>
        </w:rPr>
        <w:t>norizada de diretrizes</w:t>
      </w:r>
      <w:r w:rsidRPr="00C63CE3">
        <w:rPr>
          <w:rFonts w:ascii="Times New Roman" w:hAnsi="Times New Roman"/>
          <w:sz w:val="24"/>
          <w:szCs w:val="24"/>
        </w:rPr>
        <w:t xml:space="preserve">. </w:t>
      </w:r>
      <w:r>
        <w:rPr>
          <w:rFonts w:ascii="Times New Roman" w:hAnsi="Times New Roman"/>
          <w:sz w:val="24"/>
          <w:szCs w:val="24"/>
        </w:rPr>
        <w:t>Segundo Garcia, os seis “âmbitos problemáticos” foram sistematizados de forma mais ampla possível, visando a não setorialização, especialização ou delimitação pontual.</w:t>
      </w:r>
      <w:r>
        <w:rPr>
          <w:rStyle w:val="Refdenotaderodap"/>
          <w:rFonts w:ascii="Times New Roman" w:hAnsi="Times New Roman"/>
          <w:sz w:val="24"/>
          <w:szCs w:val="24"/>
        </w:rPr>
        <w:footnoteReference w:id="472"/>
      </w:r>
      <w:r>
        <w:rPr>
          <w:rFonts w:ascii="Times New Roman" w:hAnsi="Times New Roman"/>
          <w:sz w:val="24"/>
          <w:szCs w:val="24"/>
        </w:rPr>
        <w:t xml:space="preserve"> Os objetivos a serem alcançados por uma agenda voltada para o desenvolvimento do país foram traçados a partir de uma “imagem invertida” dos âmbitos problemáticos, isto é, retirando </w:t>
      </w:r>
      <w:r w:rsidRPr="00377B98">
        <w:rPr>
          <w:rFonts w:ascii="Times New Roman" w:hAnsi="Times New Roman"/>
          <w:sz w:val="24"/>
          <w:szCs w:val="24"/>
        </w:rPr>
        <w:t>“a negatividade ou a carga negativa dos âmbitos problemáticos, revelando uma situação caso não existisse</w:t>
      </w:r>
      <w:r>
        <w:rPr>
          <w:rFonts w:ascii="Times New Roman" w:hAnsi="Times New Roman"/>
          <w:sz w:val="24"/>
          <w:szCs w:val="24"/>
        </w:rPr>
        <w:t>m”.</w:t>
      </w:r>
      <w:r>
        <w:rPr>
          <w:rStyle w:val="Refdenotaderodap"/>
          <w:rFonts w:ascii="Times New Roman" w:hAnsi="Times New Roman"/>
          <w:sz w:val="24"/>
          <w:szCs w:val="24"/>
        </w:rPr>
        <w:footnoteReference w:id="473"/>
      </w:r>
    </w:p>
    <w:p w:rsidR="004538C7" w:rsidRDefault="004538C7" w:rsidP="004538C7">
      <w:pPr>
        <w:spacing w:after="0" w:line="360" w:lineRule="auto"/>
        <w:ind w:firstLine="708"/>
        <w:jc w:val="both"/>
        <w:rPr>
          <w:rFonts w:ascii="Times New Roman" w:hAnsi="Times New Roman"/>
          <w:sz w:val="24"/>
          <w:szCs w:val="24"/>
        </w:rPr>
      </w:pPr>
      <w:r w:rsidRPr="00C63CE3">
        <w:rPr>
          <w:rFonts w:ascii="Times New Roman" w:hAnsi="Times New Roman"/>
          <w:sz w:val="24"/>
          <w:szCs w:val="24"/>
        </w:rPr>
        <w:t xml:space="preserve">Durante o mês de junho de 2005 </w:t>
      </w:r>
      <w:r>
        <w:rPr>
          <w:rFonts w:ascii="Times New Roman" w:hAnsi="Times New Roman"/>
          <w:sz w:val="24"/>
          <w:szCs w:val="24"/>
        </w:rPr>
        <w:t>ocorreu</w:t>
      </w:r>
      <w:r w:rsidRPr="00C63CE3">
        <w:rPr>
          <w:rFonts w:ascii="Times New Roman" w:hAnsi="Times New Roman"/>
          <w:sz w:val="24"/>
          <w:szCs w:val="24"/>
        </w:rPr>
        <w:t xml:space="preserve"> o processo de discussão da proposta de Agenda.</w:t>
      </w:r>
      <w:r>
        <w:rPr>
          <w:rFonts w:ascii="Times New Roman" w:hAnsi="Times New Roman"/>
          <w:sz w:val="24"/>
          <w:szCs w:val="24"/>
        </w:rPr>
        <w:t>Constituíram-se</w:t>
      </w:r>
      <w:r w:rsidRPr="00C63CE3">
        <w:rPr>
          <w:rFonts w:ascii="Times New Roman" w:hAnsi="Times New Roman"/>
          <w:sz w:val="24"/>
          <w:szCs w:val="24"/>
        </w:rPr>
        <w:t xml:space="preserve"> oito grupos, segundo o grau de afinidade e convergência de interesses, envolvendo a totalidade dos </w:t>
      </w:r>
      <w:r w:rsidR="006640DD">
        <w:rPr>
          <w:rFonts w:ascii="Times New Roman" w:hAnsi="Times New Roman"/>
          <w:sz w:val="24"/>
          <w:szCs w:val="24"/>
        </w:rPr>
        <w:t>c</w:t>
      </w:r>
      <w:r w:rsidRPr="00C63CE3">
        <w:rPr>
          <w:rFonts w:ascii="Times New Roman" w:hAnsi="Times New Roman"/>
          <w:sz w:val="24"/>
          <w:szCs w:val="24"/>
        </w:rPr>
        <w:t>onselheiros. Cada grupo de discussão contou com um relator/sistematizador. Ao término das discussões em grupo, os oito relatores/sistematizadores, durante o mês de julho, negoc</w:t>
      </w:r>
      <w:r>
        <w:rPr>
          <w:rFonts w:ascii="Times New Roman" w:hAnsi="Times New Roman"/>
          <w:sz w:val="24"/>
          <w:szCs w:val="24"/>
        </w:rPr>
        <w:t>iaram a versão final da AND.</w:t>
      </w:r>
      <w:r>
        <w:rPr>
          <w:rStyle w:val="Refdenotaderodap"/>
          <w:rFonts w:ascii="Times New Roman" w:hAnsi="Times New Roman"/>
          <w:sz w:val="24"/>
          <w:szCs w:val="24"/>
        </w:rPr>
        <w:footnoteReference w:id="474"/>
      </w:r>
    </w:p>
    <w:p w:rsidR="004538C7" w:rsidRPr="00C63CE3" w:rsidRDefault="004538C7" w:rsidP="004538C7">
      <w:pPr>
        <w:autoSpaceDE w:val="0"/>
        <w:autoSpaceDN w:val="0"/>
        <w:adjustRightInd w:val="0"/>
        <w:spacing w:line="360" w:lineRule="auto"/>
        <w:ind w:firstLine="708"/>
        <w:jc w:val="both"/>
        <w:rPr>
          <w:rFonts w:ascii="Times New Roman" w:hAnsi="Times New Roman"/>
          <w:sz w:val="24"/>
          <w:szCs w:val="24"/>
        </w:rPr>
      </w:pPr>
      <w:r w:rsidRPr="00C63CE3">
        <w:rPr>
          <w:rFonts w:ascii="Times New Roman" w:hAnsi="Times New Roman"/>
          <w:sz w:val="24"/>
          <w:szCs w:val="24"/>
        </w:rPr>
        <w:t>Uma síntese da AND é encontrada em Tápia:</w:t>
      </w:r>
    </w:p>
    <w:p w:rsidR="004538C7" w:rsidRPr="00C10150" w:rsidRDefault="004538C7" w:rsidP="004538C7">
      <w:pPr>
        <w:autoSpaceDE w:val="0"/>
        <w:autoSpaceDN w:val="0"/>
        <w:adjustRightInd w:val="0"/>
        <w:spacing w:after="0" w:line="240" w:lineRule="auto"/>
        <w:ind w:left="2268"/>
        <w:jc w:val="both"/>
        <w:rPr>
          <w:rFonts w:ascii="Times New Roman" w:hAnsi="Times New Roman"/>
          <w:sz w:val="20"/>
          <w:szCs w:val="20"/>
        </w:rPr>
      </w:pPr>
      <w:r w:rsidRPr="00C10150">
        <w:rPr>
          <w:rFonts w:ascii="Times New Roman" w:hAnsi="Times New Roman"/>
          <w:sz w:val="20"/>
          <w:szCs w:val="20"/>
        </w:rPr>
        <w:t>Em termos gerais, a Agenda Nacional de Desenvolvimento contempla os temas mais visíveis do debate econômico e social brasileiro: necessidade de um financiamento padrão estável; superação dos entraves da infra-estrutura, fazendo com que essa se torne competitiva e eficiente; aumentar a capacidade operativa e de gestão do Estado brasileiro alicerçado num pacto federativo renovado. Essas diretrizes precisam ser combinadas com a definição de mecanismos para tratar de modo conseq</w:t>
      </w:r>
      <w:r w:rsidR="005913F9">
        <w:rPr>
          <w:rFonts w:ascii="Times New Roman" w:hAnsi="Times New Roman"/>
          <w:sz w:val="20"/>
          <w:szCs w:val="20"/>
        </w:rPr>
        <w:t>u</w:t>
      </w:r>
      <w:r w:rsidRPr="00C10150">
        <w:rPr>
          <w:rFonts w:ascii="Times New Roman" w:hAnsi="Times New Roman"/>
          <w:sz w:val="20"/>
          <w:szCs w:val="20"/>
        </w:rPr>
        <w:t>ente a desigualdade nas suas múltiplas dimensões e pelo efetivo enfrentamento da delicada questão da insegurança pública e da morosidade da Justiça.</w:t>
      </w:r>
    </w:p>
    <w:p w:rsidR="004538C7" w:rsidRDefault="004538C7" w:rsidP="004538C7">
      <w:pPr>
        <w:autoSpaceDE w:val="0"/>
        <w:autoSpaceDN w:val="0"/>
        <w:adjustRightInd w:val="0"/>
        <w:spacing w:line="240" w:lineRule="auto"/>
        <w:ind w:left="2268"/>
        <w:jc w:val="both"/>
        <w:rPr>
          <w:rFonts w:ascii="Times New Roman" w:hAnsi="Times New Roman"/>
          <w:sz w:val="20"/>
          <w:szCs w:val="20"/>
        </w:rPr>
      </w:pPr>
      <w:r w:rsidRPr="00C10150">
        <w:rPr>
          <w:rFonts w:ascii="Times New Roman" w:hAnsi="Times New Roman"/>
          <w:sz w:val="20"/>
          <w:szCs w:val="20"/>
        </w:rPr>
        <w:t>Na intenção dos seus formuladores, a AND deveria ser um contraponto às propostas existentes pelo seu escopo e também às orientações da política macroeconômica do governo principalmente no que tange à política de juros e ao sistema de metas de inflação.</w:t>
      </w:r>
      <w:r>
        <w:rPr>
          <w:rStyle w:val="Refdenotaderodap"/>
          <w:rFonts w:ascii="Times New Roman" w:hAnsi="Times New Roman"/>
          <w:sz w:val="20"/>
          <w:szCs w:val="20"/>
        </w:rPr>
        <w:footnoteReference w:id="475"/>
      </w:r>
    </w:p>
    <w:p w:rsidR="004538C7" w:rsidRDefault="004538C7" w:rsidP="004538C7">
      <w:pPr>
        <w:autoSpaceDE w:val="0"/>
        <w:autoSpaceDN w:val="0"/>
        <w:adjustRightInd w:val="0"/>
        <w:spacing w:line="360" w:lineRule="auto"/>
        <w:jc w:val="both"/>
        <w:rPr>
          <w:rFonts w:ascii="Times New Roman" w:hAnsi="Times New Roman"/>
          <w:sz w:val="24"/>
          <w:szCs w:val="24"/>
        </w:rPr>
      </w:pPr>
      <w:r>
        <w:rPr>
          <w:rFonts w:ascii="Times New Roman" w:hAnsi="Times New Roman"/>
          <w:sz w:val="20"/>
          <w:szCs w:val="20"/>
        </w:rPr>
        <w:tab/>
      </w:r>
      <w:r>
        <w:rPr>
          <w:rFonts w:ascii="Times New Roman" w:hAnsi="Times New Roman"/>
          <w:sz w:val="24"/>
          <w:szCs w:val="24"/>
        </w:rPr>
        <w:t>O processo de elaboração da Agenda Nacional de Desenvolvimento pode ser visualizado por meio da figura abaixo.</w:t>
      </w:r>
    </w:p>
    <w:p w:rsidR="004538C7" w:rsidRPr="00453CF9" w:rsidRDefault="004538C7" w:rsidP="004538C7">
      <w:pPr>
        <w:autoSpaceDE w:val="0"/>
        <w:autoSpaceDN w:val="0"/>
        <w:adjustRightInd w:val="0"/>
        <w:spacing w:line="240" w:lineRule="auto"/>
        <w:ind w:left="2268"/>
        <w:jc w:val="both"/>
        <w:rPr>
          <w:rFonts w:ascii="Times New Roman" w:hAnsi="Times New Roman"/>
          <w:b/>
          <w:sz w:val="24"/>
          <w:szCs w:val="24"/>
        </w:rPr>
      </w:pPr>
      <w:r w:rsidRPr="00453CF9">
        <w:rPr>
          <w:rFonts w:ascii="Times New Roman" w:hAnsi="Times New Roman"/>
          <w:b/>
          <w:sz w:val="24"/>
          <w:szCs w:val="24"/>
        </w:rPr>
        <w:t xml:space="preserve">Figura </w:t>
      </w:r>
      <w:r>
        <w:rPr>
          <w:rFonts w:ascii="Times New Roman" w:hAnsi="Times New Roman"/>
          <w:b/>
          <w:sz w:val="24"/>
          <w:szCs w:val="24"/>
        </w:rPr>
        <w:t>3.1</w:t>
      </w:r>
      <w:r w:rsidRPr="00453CF9">
        <w:rPr>
          <w:rFonts w:ascii="Times New Roman" w:hAnsi="Times New Roman"/>
          <w:b/>
          <w:sz w:val="24"/>
          <w:szCs w:val="24"/>
        </w:rPr>
        <w:t xml:space="preserve"> – </w:t>
      </w:r>
      <w:r>
        <w:rPr>
          <w:rFonts w:ascii="Times New Roman" w:hAnsi="Times New Roman"/>
          <w:b/>
          <w:sz w:val="24"/>
          <w:szCs w:val="24"/>
        </w:rPr>
        <w:t xml:space="preserve">O </w:t>
      </w:r>
      <w:r w:rsidRPr="00453CF9">
        <w:rPr>
          <w:rFonts w:ascii="Times New Roman" w:hAnsi="Times New Roman"/>
          <w:b/>
          <w:sz w:val="24"/>
          <w:szCs w:val="24"/>
        </w:rPr>
        <w:t>Processo de Construção da AND</w:t>
      </w:r>
    </w:p>
    <w:p w:rsidR="004538C7" w:rsidRDefault="00DB7322" w:rsidP="004538C7">
      <w:pPr>
        <w:spacing w:line="360" w:lineRule="auto"/>
        <w:jc w:val="both"/>
        <w:rPr>
          <w:rFonts w:ascii="Times New Roman" w:hAnsi="Times New Roman"/>
          <w:sz w:val="24"/>
          <w:szCs w:val="24"/>
        </w:rPr>
      </w:pPr>
      <w:r>
        <w:rPr>
          <w:rFonts w:ascii="Times New Roman" w:hAnsi="Times New Roman"/>
          <w:noProof/>
          <w:sz w:val="24"/>
          <w:szCs w:val="24"/>
          <w:lang w:eastAsia="pt-BR"/>
        </w:rPr>
        <w:pict>
          <v:roundrect id="_x0000_s1034" style="position:absolute;left:0;text-align:left;margin-left:175pt;margin-top:11.35pt;width:84.9pt;height:49.95pt;z-index:251658240" arcsize="10923f">
            <v:textbox style="mso-next-textbox:#_x0000_s1034">
              <w:txbxContent>
                <w:p w:rsidR="00DD31B9" w:rsidRPr="009A607C" w:rsidRDefault="00DD31B9" w:rsidP="004538C7">
                  <w:pPr>
                    <w:spacing w:line="240" w:lineRule="auto"/>
                    <w:jc w:val="center"/>
                    <w:rPr>
                      <w:rFonts w:ascii="Eras Bold ITC" w:hAnsi="Eras Bold ITC"/>
                      <w:sz w:val="20"/>
                      <w:szCs w:val="20"/>
                    </w:rPr>
                  </w:pPr>
                  <w:r w:rsidRPr="009A607C">
                    <w:rPr>
                      <w:rFonts w:ascii="Eras Bold ITC" w:hAnsi="Eras Bold ITC"/>
                      <w:sz w:val="20"/>
                      <w:szCs w:val="20"/>
                    </w:rPr>
                    <w:t>Diretrizes</w:t>
                  </w:r>
                </w:p>
                <w:p w:rsidR="00DD31B9" w:rsidRPr="009A607C" w:rsidRDefault="00DD31B9" w:rsidP="004538C7">
                  <w:pPr>
                    <w:spacing w:line="240" w:lineRule="auto"/>
                    <w:jc w:val="center"/>
                    <w:rPr>
                      <w:rFonts w:ascii="Eras Bold ITC" w:hAnsi="Eras Bold ITC"/>
                      <w:sz w:val="20"/>
                      <w:szCs w:val="20"/>
                    </w:rPr>
                  </w:pPr>
                  <w:r w:rsidRPr="009A607C">
                    <w:rPr>
                      <w:rFonts w:ascii="Eras Bold ITC" w:hAnsi="Eras Bold ITC"/>
                      <w:sz w:val="20"/>
                      <w:szCs w:val="20"/>
                    </w:rPr>
                    <w:t>Estratégicas</w:t>
                  </w:r>
                </w:p>
              </w:txbxContent>
            </v:textbox>
          </v:roundrect>
        </w:pict>
      </w:r>
    </w:p>
    <w:p w:rsidR="004538C7" w:rsidRDefault="004538C7" w:rsidP="004538C7">
      <w:pPr>
        <w:spacing w:line="360" w:lineRule="auto"/>
        <w:jc w:val="both"/>
        <w:rPr>
          <w:rFonts w:ascii="Times New Roman" w:hAnsi="Times New Roman"/>
          <w:sz w:val="24"/>
          <w:szCs w:val="24"/>
        </w:rPr>
      </w:pPr>
    </w:p>
    <w:p w:rsidR="004538C7" w:rsidRDefault="00DB7322" w:rsidP="004538C7">
      <w:pPr>
        <w:spacing w:line="360" w:lineRule="auto"/>
        <w:jc w:val="both"/>
        <w:rPr>
          <w:rFonts w:ascii="Times New Roman" w:hAnsi="Times New Roman"/>
          <w:sz w:val="24"/>
          <w:szCs w:val="24"/>
        </w:rPr>
      </w:pPr>
      <w:r>
        <w:rPr>
          <w:rFonts w:ascii="Times New Roman" w:hAnsi="Times New Roman"/>
          <w:noProof/>
          <w:sz w:val="24"/>
          <w:szCs w:val="24"/>
          <w:lang w:eastAsia="pt-BR"/>
        </w:rPr>
        <w:pict>
          <v:roundrect id="_x0000_s1037" style="position:absolute;left:0;text-align:left;margin-left:285.65pt;margin-top:7.4pt;width:84.4pt;height:48.4pt;z-index:251661312" arcsize="10923f">
            <v:textbox style="mso-next-textbox:#_x0000_s1037">
              <w:txbxContent>
                <w:p w:rsidR="00DD31B9" w:rsidRPr="009A607C" w:rsidRDefault="00DD31B9" w:rsidP="004538C7">
                  <w:pPr>
                    <w:jc w:val="center"/>
                    <w:rPr>
                      <w:rFonts w:ascii="Eras Bold ITC" w:hAnsi="Eras Bold ITC"/>
                      <w:sz w:val="20"/>
                      <w:szCs w:val="20"/>
                    </w:rPr>
                  </w:pPr>
                  <w:r w:rsidRPr="009A607C">
                    <w:rPr>
                      <w:rFonts w:ascii="Eras Bold ITC" w:hAnsi="Eras Bold ITC"/>
                      <w:sz w:val="20"/>
                      <w:szCs w:val="20"/>
                    </w:rPr>
                    <w:t>Visão de Futuro</w:t>
                  </w:r>
                </w:p>
              </w:txbxContent>
            </v:textbox>
          </v:roundrect>
        </w:pict>
      </w:r>
      <w:r>
        <w:rPr>
          <w:rFonts w:ascii="Times New Roman" w:hAnsi="Times New Roman"/>
          <w:noProof/>
          <w:sz w:val="24"/>
          <w:szCs w:val="24"/>
          <w:lang w:eastAsia="pt-BR"/>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5" type="#_x0000_t105" style="position:absolute;left:0;text-align:left;margin-left:161.6pt;margin-top:7.45pt;width:125.15pt;height:17.7pt;z-index:251659264"/>
        </w:pict>
      </w:r>
      <w:r>
        <w:rPr>
          <w:rFonts w:ascii="Times New Roman" w:hAnsi="Times New Roman"/>
          <w:noProof/>
          <w:sz w:val="24"/>
          <w:szCs w:val="24"/>
          <w:lang w:eastAsia="pt-BR"/>
        </w:rPr>
        <w:pict>
          <v:roundrect id="_x0000_s1036" style="position:absolute;left:0;text-align:left;margin-left:62.2pt;margin-top:7.45pt;width:95.1pt;height:48.35pt;z-index:251660288" arcsize="10923f" filled="f">
            <v:textbox style="mso-next-textbox:#_x0000_s1036">
              <w:txbxContent>
                <w:p w:rsidR="00DD31B9" w:rsidRPr="009A607C" w:rsidRDefault="00DD31B9" w:rsidP="004538C7">
                  <w:pPr>
                    <w:jc w:val="center"/>
                    <w:rPr>
                      <w:rFonts w:ascii="Eras Bold ITC" w:hAnsi="Eras Bold ITC"/>
                      <w:sz w:val="20"/>
                      <w:szCs w:val="20"/>
                    </w:rPr>
                  </w:pPr>
                  <w:r w:rsidRPr="009A607C">
                    <w:rPr>
                      <w:rFonts w:ascii="Eras Bold ITC" w:hAnsi="Eras Bold ITC"/>
                      <w:sz w:val="20"/>
                      <w:szCs w:val="20"/>
                    </w:rPr>
                    <w:t>Âmbitos Problemáticos</w:t>
                  </w:r>
                </w:p>
              </w:txbxContent>
            </v:textbox>
          </v:roundrect>
        </w:pict>
      </w:r>
    </w:p>
    <w:p w:rsidR="004538C7" w:rsidRDefault="00DB7322" w:rsidP="004538C7">
      <w:pPr>
        <w:spacing w:line="360" w:lineRule="auto"/>
        <w:jc w:val="both"/>
        <w:rPr>
          <w:rFonts w:ascii="Times New Roman" w:hAnsi="Times New Roman"/>
          <w:sz w:val="24"/>
          <w:szCs w:val="24"/>
        </w:rPr>
      </w:pPr>
      <w:r>
        <w:rPr>
          <w:rFonts w:ascii="Times New Roman" w:hAnsi="Times New Roman"/>
          <w:noProof/>
          <w:sz w:val="24"/>
          <w:szCs w:val="24"/>
          <w:lang w:eastAsia="pt-BR"/>
        </w:rPr>
        <w:pict>
          <v:shapetype id="_x0000_t32" coordsize="21600,21600" o:spt="32" o:oned="t" path="m,l21600,21600e" filled="f">
            <v:path arrowok="t" fillok="f" o:connecttype="none"/>
            <o:lock v:ext="edit" shapetype="t"/>
          </v:shapetype>
          <v:shape id="_x0000_s1038" type="#_x0000_t32" style="position:absolute;left:0;text-align:left;margin-left:259.9pt;margin-top:16.6pt;width:25.75pt;height:16.65pt;flip:y;z-index:251662336" o:connectortype="straight">
            <v:stroke endarrow="block"/>
          </v:shape>
        </w:pict>
      </w:r>
      <w:r>
        <w:rPr>
          <w:rFonts w:ascii="Times New Roman" w:hAnsi="Times New Roman"/>
          <w:noProof/>
          <w:sz w:val="24"/>
          <w:szCs w:val="24"/>
          <w:lang w:eastAsia="pt-BR"/>
        </w:rPr>
        <w:pict>
          <v:shape id="_x0000_s1039" type="#_x0000_t32" style="position:absolute;left:0;text-align:left;margin-left:157.3pt;margin-top:16.05pt;width:24.75pt;height:17.2pt;flip:x y;z-index:251663360" o:connectortype="straight">
            <v:stroke endarrow="block"/>
          </v:shape>
        </w:pict>
      </w:r>
      <w:r>
        <w:rPr>
          <w:rFonts w:ascii="Times New Roman" w:hAnsi="Times New Roman"/>
          <w:noProof/>
          <w:sz w:val="24"/>
          <w:szCs w:val="24"/>
          <w:lang w:eastAsia="pt-BR"/>
        </w:rPr>
        <w:pict>
          <v:roundrect id="_x0000_s1040" style="position:absolute;left:0;text-align:left;margin-left:179.35pt;margin-top:29.35pt;width:85.95pt;height:25.3pt;z-index:251664384" arcsize="10923f">
            <v:textbox style="mso-next-textbox:#_x0000_s1040">
              <w:txbxContent>
                <w:p w:rsidR="00DD31B9" w:rsidRPr="00453CF9" w:rsidRDefault="00DD31B9" w:rsidP="004538C7">
                  <w:pPr>
                    <w:jc w:val="center"/>
                    <w:rPr>
                      <w:rFonts w:ascii="Eras Bold ITC" w:hAnsi="Eras Bold ITC"/>
                      <w:sz w:val="20"/>
                      <w:szCs w:val="20"/>
                    </w:rPr>
                  </w:pPr>
                  <w:r w:rsidRPr="00453CF9">
                    <w:rPr>
                      <w:rFonts w:ascii="Eras Bold ITC" w:hAnsi="Eras Bold ITC"/>
                      <w:sz w:val="20"/>
                      <w:szCs w:val="20"/>
                    </w:rPr>
                    <w:t>Valores</w:t>
                  </w:r>
                </w:p>
              </w:txbxContent>
            </v:textbox>
          </v:roundrect>
        </w:pict>
      </w:r>
    </w:p>
    <w:p w:rsidR="004538C7" w:rsidRDefault="004538C7" w:rsidP="004538C7">
      <w:pPr>
        <w:spacing w:line="360" w:lineRule="auto"/>
        <w:jc w:val="both"/>
        <w:rPr>
          <w:rFonts w:ascii="Times New Roman" w:hAnsi="Times New Roman"/>
          <w:sz w:val="24"/>
          <w:szCs w:val="24"/>
        </w:rPr>
      </w:pPr>
    </w:p>
    <w:p w:rsidR="004538C7" w:rsidRPr="00672A45" w:rsidRDefault="004538C7" w:rsidP="009C3A78">
      <w:pPr>
        <w:spacing w:before="240" w:line="360" w:lineRule="auto"/>
        <w:jc w:val="center"/>
        <w:rPr>
          <w:rFonts w:ascii="Times New Roman" w:hAnsi="Times New Roman"/>
          <w:sz w:val="18"/>
          <w:szCs w:val="18"/>
        </w:rPr>
      </w:pPr>
      <w:r w:rsidRPr="00672A45">
        <w:rPr>
          <w:rFonts w:ascii="Times New Roman" w:hAnsi="Times New Roman"/>
          <w:b/>
          <w:sz w:val="18"/>
          <w:szCs w:val="18"/>
        </w:rPr>
        <w:t xml:space="preserve">Fonte: </w:t>
      </w:r>
      <w:r w:rsidR="00672A45" w:rsidRPr="00672A45">
        <w:rPr>
          <w:rFonts w:ascii="Times New Roman" w:hAnsi="Times New Roman"/>
          <w:sz w:val="18"/>
          <w:szCs w:val="18"/>
        </w:rPr>
        <w:t>SRI. SEDES.</w:t>
      </w:r>
      <w:r w:rsidR="00672A45" w:rsidRPr="00672A45">
        <w:rPr>
          <w:rFonts w:ascii="Times New Roman" w:hAnsi="Times New Roman"/>
          <w:i/>
          <w:sz w:val="18"/>
          <w:szCs w:val="18"/>
        </w:rPr>
        <w:t xml:space="preserve"> Agenda Nacional de Desenvolvimento, </w:t>
      </w:r>
      <w:r w:rsidR="00672A45" w:rsidRPr="00672A45">
        <w:rPr>
          <w:rFonts w:ascii="Times New Roman" w:hAnsi="Times New Roman"/>
          <w:sz w:val="18"/>
          <w:szCs w:val="18"/>
        </w:rPr>
        <w:t>2010a, Op. cit., p. 13</w:t>
      </w:r>
    </w:p>
    <w:p w:rsidR="004538C7" w:rsidRDefault="004538C7" w:rsidP="009C3A78">
      <w:pPr>
        <w:spacing w:before="240" w:line="360" w:lineRule="auto"/>
        <w:ind w:firstLine="708"/>
        <w:jc w:val="both"/>
        <w:rPr>
          <w:rFonts w:ascii="Times New Roman" w:hAnsi="Times New Roman"/>
          <w:sz w:val="24"/>
          <w:szCs w:val="24"/>
        </w:rPr>
      </w:pPr>
      <w:r>
        <w:rPr>
          <w:rFonts w:ascii="Times New Roman" w:hAnsi="Times New Roman"/>
          <w:sz w:val="24"/>
          <w:szCs w:val="24"/>
        </w:rPr>
        <w:t>Os seis âmbitos problemáticos identificados pelos conselheiros e os objetivos traçados para revertê-los estão elencados no quadro abaixo:</w:t>
      </w:r>
    </w:p>
    <w:p w:rsidR="004538C7" w:rsidRPr="00D82FFD" w:rsidRDefault="00DA6866" w:rsidP="004538C7">
      <w:pPr>
        <w:spacing w:line="360" w:lineRule="auto"/>
        <w:jc w:val="center"/>
        <w:rPr>
          <w:rFonts w:ascii="Times New Roman" w:hAnsi="Times New Roman"/>
          <w:b/>
          <w:sz w:val="24"/>
          <w:szCs w:val="24"/>
        </w:rPr>
      </w:pPr>
      <w:r>
        <w:rPr>
          <w:rFonts w:ascii="Times New Roman" w:hAnsi="Times New Roman"/>
          <w:b/>
          <w:sz w:val="24"/>
          <w:szCs w:val="24"/>
        </w:rPr>
        <w:t>Quadro 3.2</w:t>
      </w:r>
      <w:r w:rsidR="004538C7">
        <w:rPr>
          <w:rFonts w:ascii="Times New Roman" w:hAnsi="Times New Roman"/>
          <w:b/>
          <w:sz w:val="24"/>
          <w:szCs w:val="24"/>
        </w:rPr>
        <w:t xml:space="preserve"> – Problemas detectados e objetivos traçados pelos conselheiros na AND</w:t>
      </w:r>
    </w:p>
    <w:tbl>
      <w:tblPr>
        <w:tblW w:w="85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39"/>
        <w:gridCol w:w="256"/>
        <w:gridCol w:w="4139"/>
      </w:tblGrid>
      <w:tr w:rsidR="004538C7" w:rsidRPr="008211FD" w:rsidTr="007D186C">
        <w:trPr>
          <w:trHeight w:val="416"/>
        </w:trPr>
        <w:tc>
          <w:tcPr>
            <w:tcW w:w="4139" w:type="dxa"/>
            <w:tcBorders>
              <w:bottom w:val="threeDEngrave" w:sz="24" w:space="0" w:color="auto"/>
              <w:right w:val="threeDEngrave" w:sz="24" w:space="0" w:color="auto"/>
            </w:tcBorders>
          </w:tcPr>
          <w:p w:rsidR="004538C7" w:rsidRPr="008211FD" w:rsidRDefault="004538C7" w:rsidP="007D186C">
            <w:pPr>
              <w:spacing w:before="240" w:after="0"/>
              <w:rPr>
                <w:rFonts w:ascii="Times New Roman" w:hAnsi="Times New Roman"/>
                <w:sz w:val="19"/>
                <w:szCs w:val="19"/>
              </w:rPr>
            </w:pPr>
            <w:r w:rsidRPr="008211FD">
              <w:rPr>
                <w:rFonts w:ascii="Times New Roman" w:hAnsi="Times New Roman"/>
                <w:sz w:val="19"/>
                <w:szCs w:val="19"/>
              </w:rPr>
              <w:t xml:space="preserve">● </w:t>
            </w:r>
            <w:r w:rsidRPr="008211FD">
              <w:rPr>
                <w:rFonts w:ascii="Times New Roman" w:hAnsi="Times New Roman"/>
                <w:b/>
                <w:sz w:val="20"/>
                <w:szCs w:val="20"/>
              </w:rPr>
              <w:t>Âmbitos problemáticos:</w:t>
            </w:r>
          </w:p>
          <w:p w:rsidR="004538C7" w:rsidRPr="008211FD" w:rsidRDefault="004538C7" w:rsidP="004538C7">
            <w:pPr>
              <w:pStyle w:val="PargrafodaLista"/>
              <w:numPr>
                <w:ilvl w:val="0"/>
                <w:numId w:val="10"/>
              </w:numPr>
              <w:spacing w:before="240" w:after="0"/>
              <w:ind w:left="510" w:right="170" w:hanging="283"/>
              <w:rPr>
                <w:rFonts w:ascii="Times New Roman" w:hAnsi="Times New Roman"/>
                <w:i/>
                <w:sz w:val="18"/>
                <w:szCs w:val="18"/>
              </w:rPr>
            </w:pPr>
            <w:r w:rsidRPr="008211FD">
              <w:rPr>
                <w:rFonts w:ascii="Times New Roman" w:hAnsi="Times New Roman"/>
                <w:i/>
                <w:sz w:val="18"/>
                <w:szCs w:val="18"/>
              </w:rPr>
              <w:t>Extrema desigualdade social, inclusive de gênero e raça, com crescente concentração de renda e riqueza, parcela significativa da população vivendo na pobreza ou miséria, diminuição da mobilidade social;</w:t>
            </w:r>
          </w:p>
          <w:p w:rsidR="004538C7" w:rsidRPr="008211FD" w:rsidRDefault="004538C7" w:rsidP="007D186C">
            <w:pPr>
              <w:pStyle w:val="PargrafodaLista"/>
              <w:spacing w:before="240" w:after="0"/>
              <w:ind w:left="510"/>
              <w:rPr>
                <w:rFonts w:ascii="Times New Roman" w:hAnsi="Times New Roman"/>
                <w:i/>
                <w:sz w:val="18"/>
                <w:szCs w:val="18"/>
              </w:rPr>
            </w:pPr>
          </w:p>
          <w:p w:rsidR="004538C7" w:rsidRPr="008211FD" w:rsidRDefault="004538C7" w:rsidP="004538C7">
            <w:pPr>
              <w:pStyle w:val="PargrafodaLista"/>
              <w:numPr>
                <w:ilvl w:val="0"/>
                <w:numId w:val="10"/>
              </w:numPr>
              <w:spacing w:before="240" w:after="0"/>
              <w:ind w:left="510" w:right="170" w:hanging="283"/>
              <w:rPr>
                <w:rFonts w:ascii="Times New Roman" w:hAnsi="Times New Roman"/>
                <w:i/>
                <w:sz w:val="18"/>
                <w:szCs w:val="18"/>
              </w:rPr>
            </w:pPr>
            <w:r w:rsidRPr="008211FD">
              <w:rPr>
                <w:rFonts w:ascii="Times New Roman" w:hAnsi="Times New Roman"/>
                <w:i/>
                <w:sz w:val="18"/>
                <w:szCs w:val="18"/>
              </w:rPr>
              <w:t>Dinâmica da economia insuficiente para promover a incorporação do mercado interno potencial, suportar concorrência internacional e desenvolver novos produtos e mercados;</w:t>
            </w:r>
          </w:p>
          <w:p w:rsidR="00095250" w:rsidRDefault="00095250" w:rsidP="00095250">
            <w:pPr>
              <w:pStyle w:val="PargrafodaLista"/>
              <w:rPr>
                <w:rFonts w:ascii="Times New Roman" w:hAnsi="Times New Roman"/>
                <w:i/>
                <w:sz w:val="18"/>
                <w:szCs w:val="18"/>
              </w:rPr>
            </w:pPr>
          </w:p>
          <w:p w:rsidR="004538C7" w:rsidRPr="008211FD" w:rsidRDefault="004538C7" w:rsidP="007D186C">
            <w:pPr>
              <w:pStyle w:val="PargrafodaLista"/>
              <w:ind w:left="510" w:right="170"/>
              <w:rPr>
                <w:rFonts w:ascii="Times New Roman" w:hAnsi="Times New Roman"/>
                <w:i/>
                <w:sz w:val="18"/>
                <w:szCs w:val="18"/>
              </w:rPr>
            </w:pPr>
          </w:p>
          <w:p w:rsidR="004538C7" w:rsidRPr="008211FD" w:rsidRDefault="004538C7" w:rsidP="004538C7">
            <w:pPr>
              <w:pStyle w:val="PargrafodaLista"/>
              <w:numPr>
                <w:ilvl w:val="0"/>
                <w:numId w:val="10"/>
              </w:numPr>
              <w:spacing w:before="240" w:after="0"/>
              <w:ind w:left="510" w:right="170" w:hanging="283"/>
              <w:rPr>
                <w:rFonts w:ascii="Times New Roman" w:hAnsi="Times New Roman"/>
                <w:i/>
                <w:sz w:val="18"/>
                <w:szCs w:val="18"/>
              </w:rPr>
            </w:pPr>
            <w:r w:rsidRPr="008211FD">
              <w:rPr>
                <w:rFonts w:ascii="Times New Roman" w:hAnsi="Times New Roman"/>
                <w:i/>
                <w:sz w:val="18"/>
                <w:szCs w:val="18"/>
              </w:rPr>
              <w:t>Infraestrutura logística degradada, não-competitiva, promotora de desiguladades inter-regionais, intersetoriais e sociais;</w:t>
            </w:r>
          </w:p>
          <w:p w:rsidR="00095250" w:rsidRDefault="00095250" w:rsidP="00095250">
            <w:pPr>
              <w:pStyle w:val="PargrafodaLista"/>
              <w:rPr>
                <w:rFonts w:ascii="Times New Roman" w:hAnsi="Times New Roman"/>
                <w:i/>
                <w:sz w:val="18"/>
                <w:szCs w:val="18"/>
              </w:rPr>
            </w:pPr>
          </w:p>
          <w:p w:rsidR="004538C7" w:rsidRPr="008211FD" w:rsidRDefault="004538C7" w:rsidP="007D186C">
            <w:pPr>
              <w:pStyle w:val="PargrafodaLista"/>
              <w:ind w:left="510" w:right="170"/>
              <w:rPr>
                <w:rFonts w:ascii="Times New Roman" w:hAnsi="Times New Roman"/>
                <w:i/>
                <w:sz w:val="18"/>
                <w:szCs w:val="18"/>
              </w:rPr>
            </w:pPr>
          </w:p>
          <w:p w:rsidR="004538C7" w:rsidRPr="008211FD" w:rsidRDefault="004538C7" w:rsidP="004538C7">
            <w:pPr>
              <w:pStyle w:val="PargrafodaLista"/>
              <w:numPr>
                <w:ilvl w:val="0"/>
                <w:numId w:val="10"/>
              </w:numPr>
              <w:spacing w:before="240"/>
              <w:ind w:left="510" w:right="170" w:hanging="283"/>
              <w:rPr>
                <w:rFonts w:ascii="Times New Roman" w:hAnsi="Times New Roman"/>
                <w:i/>
                <w:sz w:val="18"/>
                <w:szCs w:val="18"/>
              </w:rPr>
            </w:pPr>
            <w:r w:rsidRPr="008211FD">
              <w:rPr>
                <w:rFonts w:ascii="Times New Roman" w:hAnsi="Times New Roman"/>
                <w:i/>
                <w:sz w:val="18"/>
                <w:szCs w:val="18"/>
              </w:rPr>
              <w:t>Inexistência de eficaz sistema nacional público/privado de financiamento do investimento, estrutura tributária irracional, regressiva e penalizadora da produção e do trabalho;</w:t>
            </w:r>
          </w:p>
          <w:p w:rsidR="00095250" w:rsidRDefault="00095250" w:rsidP="00095250">
            <w:pPr>
              <w:pStyle w:val="PargrafodaLista"/>
              <w:rPr>
                <w:rFonts w:ascii="Times New Roman" w:hAnsi="Times New Roman"/>
                <w:i/>
                <w:sz w:val="18"/>
                <w:szCs w:val="18"/>
              </w:rPr>
            </w:pPr>
          </w:p>
          <w:p w:rsidR="004538C7" w:rsidRPr="008211FD" w:rsidRDefault="004538C7" w:rsidP="007D186C">
            <w:pPr>
              <w:pStyle w:val="PargrafodaLista"/>
              <w:rPr>
                <w:rFonts w:ascii="Times New Roman" w:hAnsi="Times New Roman"/>
                <w:i/>
                <w:sz w:val="18"/>
                <w:szCs w:val="18"/>
              </w:rPr>
            </w:pPr>
          </w:p>
          <w:p w:rsidR="004538C7" w:rsidRPr="008211FD" w:rsidRDefault="004538C7" w:rsidP="004538C7">
            <w:pPr>
              <w:pStyle w:val="PargrafodaLista"/>
              <w:numPr>
                <w:ilvl w:val="0"/>
                <w:numId w:val="10"/>
              </w:numPr>
              <w:spacing w:before="240" w:after="0"/>
              <w:ind w:left="510" w:right="170" w:hanging="283"/>
              <w:rPr>
                <w:rFonts w:ascii="Times New Roman" w:hAnsi="Times New Roman"/>
                <w:i/>
                <w:sz w:val="18"/>
                <w:szCs w:val="18"/>
              </w:rPr>
            </w:pPr>
            <w:r w:rsidRPr="008211FD">
              <w:rPr>
                <w:rFonts w:ascii="Times New Roman" w:hAnsi="Times New Roman"/>
                <w:i/>
                <w:sz w:val="18"/>
                <w:szCs w:val="18"/>
              </w:rPr>
              <w:t>Insegurança pública e cidadã, justiça pouco democrática, aparato estatal com baixa capacidade regulatória/fiscalizadora;</w:t>
            </w:r>
          </w:p>
          <w:p w:rsidR="00095250" w:rsidRDefault="00095250" w:rsidP="00095250">
            <w:pPr>
              <w:pStyle w:val="PargrafodaLista"/>
              <w:rPr>
                <w:rFonts w:ascii="Times New Roman" w:hAnsi="Times New Roman"/>
                <w:i/>
                <w:sz w:val="18"/>
                <w:szCs w:val="18"/>
              </w:rPr>
            </w:pPr>
          </w:p>
          <w:p w:rsidR="004538C7" w:rsidRPr="008211FD" w:rsidRDefault="004538C7" w:rsidP="007D186C">
            <w:pPr>
              <w:pStyle w:val="PargrafodaLista"/>
              <w:ind w:left="510" w:right="170"/>
              <w:rPr>
                <w:rFonts w:ascii="Times New Roman" w:hAnsi="Times New Roman"/>
                <w:i/>
                <w:sz w:val="18"/>
                <w:szCs w:val="18"/>
              </w:rPr>
            </w:pPr>
          </w:p>
          <w:p w:rsidR="004538C7" w:rsidRPr="008211FD" w:rsidRDefault="004538C7" w:rsidP="004538C7">
            <w:pPr>
              <w:pStyle w:val="PargrafodaLista"/>
              <w:numPr>
                <w:ilvl w:val="0"/>
                <w:numId w:val="10"/>
              </w:numPr>
              <w:spacing w:before="240"/>
              <w:ind w:left="510" w:right="170" w:hanging="283"/>
              <w:rPr>
                <w:rFonts w:ascii="Times New Roman" w:hAnsi="Times New Roman"/>
                <w:sz w:val="24"/>
                <w:szCs w:val="24"/>
              </w:rPr>
            </w:pPr>
            <w:r w:rsidRPr="008211FD">
              <w:rPr>
                <w:rFonts w:ascii="Times New Roman" w:hAnsi="Times New Roman"/>
                <w:i/>
                <w:sz w:val="18"/>
                <w:szCs w:val="18"/>
              </w:rPr>
              <w:t>Baixa capacidade operativa do Estado, dificuldade para gerir contenciosos federativos, desequilíbrios regionais profundos, insustentabilidade da gestão de recursos naturais.</w:t>
            </w:r>
          </w:p>
        </w:tc>
        <w:tc>
          <w:tcPr>
            <w:tcW w:w="256" w:type="dxa"/>
            <w:tcBorders>
              <w:top w:val="nil"/>
              <w:left w:val="threeDEngrave" w:sz="24" w:space="0" w:color="auto"/>
              <w:bottom w:val="nil"/>
            </w:tcBorders>
            <w:shd w:val="clear" w:color="auto" w:fill="auto"/>
          </w:tcPr>
          <w:p w:rsidR="004538C7" w:rsidRPr="008211FD" w:rsidRDefault="004538C7" w:rsidP="007D186C">
            <w:pPr>
              <w:rPr>
                <w:rFonts w:ascii="Times New Roman" w:hAnsi="Times New Roman"/>
                <w:sz w:val="24"/>
                <w:szCs w:val="24"/>
              </w:rPr>
            </w:pPr>
          </w:p>
        </w:tc>
        <w:tc>
          <w:tcPr>
            <w:tcW w:w="4139" w:type="dxa"/>
            <w:tcBorders>
              <w:bottom w:val="threeDEngrave" w:sz="24" w:space="0" w:color="auto"/>
              <w:right w:val="threeDEngrave" w:sz="24" w:space="0" w:color="auto"/>
            </w:tcBorders>
            <w:shd w:val="clear" w:color="auto" w:fill="auto"/>
          </w:tcPr>
          <w:p w:rsidR="004538C7" w:rsidRPr="008211FD" w:rsidRDefault="004538C7" w:rsidP="007D186C">
            <w:pPr>
              <w:spacing w:before="240"/>
              <w:rPr>
                <w:rFonts w:ascii="Times New Roman" w:hAnsi="Times New Roman"/>
                <w:b/>
                <w:sz w:val="20"/>
                <w:szCs w:val="20"/>
              </w:rPr>
            </w:pPr>
            <w:r w:rsidRPr="008211FD">
              <w:rPr>
                <w:rFonts w:ascii="Times New Roman" w:hAnsi="Times New Roman"/>
                <w:sz w:val="19"/>
                <w:szCs w:val="19"/>
              </w:rPr>
              <w:t xml:space="preserve">● </w:t>
            </w:r>
            <w:r w:rsidRPr="008211FD">
              <w:rPr>
                <w:rFonts w:ascii="Times New Roman" w:hAnsi="Times New Roman"/>
                <w:b/>
                <w:sz w:val="20"/>
                <w:szCs w:val="20"/>
              </w:rPr>
              <w:t>Objetivos a alcançar:</w:t>
            </w:r>
          </w:p>
          <w:p w:rsidR="004538C7" w:rsidRPr="008211FD" w:rsidRDefault="004538C7" w:rsidP="004538C7">
            <w:pPr>
              <w:pStyle w:val="PargrafodaLista"/>
              <w:numPr>
                <w:ilvl w:val="0"/>
                <w:numId w:val="11"/>
              </w:numPr>
              <w:spacing w:before="240" w:after="0"/>
              <w:ind w:left="497" w:right="170" w:hanging="284"/>
              <w:rPr>
                <w:rFonts w:ascii="Times New Roman" w:hAnsi="Times New Roman"/>
                <w:i/>
                <w:sz w:val="18"/>
                <w:szCs w:val="18"/>
              </w:rPr>
            </w:pPr>
            <w:r w:rsidRPr="008211FD">
              <w:rPr>
                <w:rFonts w:ascii="Times New Roman" w:hAnsi="Times New Roman"/>
                <w:i/>
                <w:sz w:val="18"/>
                <w:szCs w:val="18"/>
              </w:rPr>
              <w:t>Fazer a sociedade brasileira mais igualitária, sem disparidades de gênero e raça, com a renda e a riqueza bem distribuídas e vigorosa mobilidade social ascendente;</w:t>
            </w:r>
          </w:p>
          <w:p w:rsidR="004538C7" w:rsidRPr="008211FD" w:rsidRDefault="004538C7" w:rsidP="007D186C">
            <w:pPr>
              <w:pStyle w:val="PargrafodaLista"/>
              <w:spacing w:before="240" w:after="0"/>
              <w:ind w:left="510"/>
              <w:rPr>
                <w:rFonts w:ascii="Times New Roman" w:hAnsi="Times New Roman"/>
                <w:i/>
                <w:sz w:val="18"/>
                <w:szCs w:val="18"/>
              </w:rPr>
            </w:pPr>
          </w:p>
          <w:p w:rsidR="004538C7" w:rsidRPr="008211FD" w:rsidRDefault="004538C7" w:rsidP="004538C7">
            <w:pPr>
              <w:pStyle w:val="PargrafodaLista"/>
              <w:numPr>
                <w:ilvl w:val="0"/>
                <w:numId w:val="11"/>
              </w:numPr>
              <w:spacing w:before="240" w:after="0"/>
              <w:ind w:left="510" w:right="170" w:hanging="283"/>
              <w:rPr>
                <w:rFonts w:ascii="Times New Roman" w:hAnsi="Times New Roman"/>
                <w:i/>
                <w:sz w:val="18"/>
                <w:szCs w:val="18"/>
              </w:rPr>
            </w:pPr>
            <w:r w:rsidRPr="008211FD">
              <w:rPr>
                <w:rFonts w:ascii="Times New Roman" w:hAnsi="Times New Roman"/>
                <w:i/>
                <w:sz w:val="18"/>
                <w:szCs w:val="18"/>
              </w:rPr>
              <w:t>Tornar a economia brasileira apta a incorporar todo o mercado interno potencial, com forte dinamismo e capacidade inovadora, desenvolvendo novos produtos e mercados e com participação relevante na economia internacional;</w:t>
            </w:r>
          </w:p>
          <w:p w:rsidR="00095250" w:rsidRDefault="00095250" w:rsidP="00095250">
            <w:pPr>
              <w:pStyle w:val="PargrafodaLista"/>
              <w:rPr>
                <w:rFonts w:ascii="Times New Roman" w:hAnsi="Times New Roman"/>
                <w:i/>
                <w:sz w:val="18"/>
                <w:szCs w:val="18"/>
              </w:rPr>
            </w:pPr>
          </w:p>
          <w:p w:rsidR="004538C7" w:rsidRPr="008211FD" w:rsidRDefault="004538C7" w:rsidP="007D186C">
            <w:pPr>
              <w:pStyle w:val="PargrafodaLista"/>
              <w:ind w:left="510" w:right="170"/>
              <w:rPr>
                <w:rFonts w:ascii="Times New Roman" w:hAnsi="Times New Roman"/>
                <w:i/>
                <w:sz w:val="18"/>
                <w:szCs w:val="18"/>
              </w:rPr>
            </w:pPr>
          </w:p>
          <w:p w:rsidR="004538C7" w:rsidRPr="008211FD" w:rsidRDefault="004538C7" w:rsidP="004538C7">
            <w:pPr>
              <w:pStyle w:val="PargrafodaLista"/>
              <w:numPr>
                <w:ilvl w:val="0"/>
                <w:numId w:val="11"/>
              </w:numPr>
              <w:spacing w:before="240" w:after="0"/>
              <w:ind w:left="510" w:right="170" w:hanging="283"/>
              <w:rPr>
                <w:rFonts w:ascii="Times New Roman" w:hAnsi="Times New Roman"/>
                <w:i/>
                <w:sz w:val="18"/>
                <w:szCs w:val="18"/>
              </w:rPr>
            </w:pPr>
            <w:r w:rsidRPr="008211FD">
              <w:rPr>
                <w:rFonts w:ascii="Times New Roman" w:hAnsi="Times New Roman"/>
                <w:i/>
                <w:sz w:val="18"/>
                <w:szCs w:val="18"/>
              </w:rPr>
              <w:t>Ter uma infraestrutura logística eficiente e competitiva, integradora do território, da economia e da sociedade nacionais;</w:t>
            </w:r>
          </w:p>
          <w:p w:rsidR="00095250" w:rsidRDefault="00095250" w:rsidP="00095250">
            <w:pPr>
              <w:pStyle w:val="PargrafodaLista"/>
              <w:rPr>
                <w:rFonts w:ascii="Times New Roman" w:hAnsi="Times New Roman"/>
                <w:i/>
                <w:sz w:val="18"/>
                <w:szCs w:val="18"/>
              </w:rPr>
            </w:pPr>
          </w:p>
          <w:p w:rsidR="004538C7" w:rsidRPr="008211FD" w:rsidRDefault="004538C7" w:rsidP="007D186C">
            <w:pPr>
              <w:pStyle w:val="PargrafodaLista"/>
              <w:ind w:left="510" w:right="170"/>
              <w:rPr>
                <w:rFonts w:ascii="Times New Roman" w:hAnsi="Times New Roman"/>
                <w:i/>
                <w:sz w:val="18"/>
                <w:szCs w:val="18"/>
              </w:rPr>
            </w:pPr>
          </w:p>
          <w:p w:rsidR="004538C7" w:rsidRPr="008211FD" w:rsidRDefault="004538C7" w:rsidP="004538C7">
            <w:pPr>
              <w:pStyle w:val="PargrafodaLista"/>
              <w:numPr>
                <w:ilvl w:val="0"/>
                <w:numId w:val="11"/>
              </w:numPr>
              <w:spacing w:before="240" w:after="0"/>
              <w:ind w:left="510" w:right="170" w:hanging="283"/>
              <w:rPr>
                <w:rFonts w:ascii="Times New Roman" w:hAnsi="Times New Roman"/>
                <w:i/>
                <w:sz w:val="18"/>
                <w:szCs w:val="18"/>
              </w:rPr>
            </w:pPr>
            <w:r w:rsidRPr="008211FD">
              <w:rPr>
                <w:rFonts w:ascii="Times New Roman" w:hAnsi="Times New Roman"/>
                <w:i/>
                <w:sz w:val="18"/>
                <w:szCs w:val="18"/>
              </w:rPr>
              <w:t>Construir um sistema de financiamento do investimento eficiente e eficaz, uma estrutura tributária simplificada e racional, com tributos de qualidade, progressiva e estimuladora da produção e do emprego;</w:t>
            </w:r>
          </w:p>
          <w:p w:rsidR="00095250" w:rsidRDefault="00095250" w:rsidP="00095250">
            <w:pPr>
              <w:pStyle w:val="PargrafodaLista"/>
              <w:rPr>
                <w:rFonts w:ascii="Times New Roman" w:hAnsi="Times New Roman"/>
                <w:i/>
                <w:sz w:val="18"/>
                <w:szCs w:val="18"/>
              </w:rPr>
            </w:pPr>
          </w:p>
          <w:p w:rsidR="004538C7" w:rsidRPr="008211FD" w:rsidRDefault="004538C7" w:rsidP="007D186C">
            <w:pPr>
              <w:pStyle w:val="PargrafodaLista"/>
              <w:ind w:left="510" w:right="170"/>
              <w:rPr>
                <w:rFonts w:ascii="Times New Roman" w:hAnsi="Times New Roman"/>
                <w:i/>
                <w:sz w:val="18"/>
                <w:szCs w:val="18"/>
              </w:rPr>
            </w:pPr>
          </w:p>
          <w:p w:rsidR="004538C7" w:rsidRPr="008211FD" w:rsidRDefault="004538C7" w:rsidP="004538C7">
            <w:pPr>
              <w:pStyle w:val="PargrafodaLista"/>
              <w:numPr>
                <w:ilvl w:val="0"/>
                <w:numId w:val="11"/>
              </w:numPr>
              <w:spacing w:before="240" w:after="0"/>
              <w:ind w:left="510" w:right="170" w:hanging="283"/>
              <w:rPr>
                <w:rFonts w:ascii="Times New Roman" w:hAnsi="Times New Roman"/>
                <w:i/>
                <w:sz w:val="18"/>
                <w:szCs w:val="18"/>
              </w:rPr>
            </w:pPr>
            <w:r w:rsidRPr="008211FD">
              <w:rPr>
                <w:rFonts w:ascii="Times New Roman" w:hAnsi="Times New Roman"/>
                <w:i/>
                <w:sz w:val="18"/>
                <w:szCs w:val="18"/>
              </w:rPr>
              <w:t>Instaurar a segurança pública e a paz social, um sistema judicial transparente, ágil e democrático e um Estado que regule e fiscalize a contento;</w:t>
            </w:r>
          </w:p>
          <w:p w:rsidR="00095250" w:rsidRDefault="00095250" w:rsidP="00095250">
            <w:pPr>
              <w:pStyle w:val="PargrafodaLista"/>
              <w:rPr>
                <w:rFonts w:ascii="Times New Roman" w:hAnsi="Times New Roman"/>
                <w:i/>
                <w:sz w:val="18"/>
                <w:szCs w:val="18"/>
              </w:rPr>
            </w:pPr>
          </w:p>
          <w:p w:rsidR="004538C7" w:rsidRPr="008211FD" w:rsidRDefault="004538C7" w:rsidP="007D186C">
            <w:pPr>
              <w:pStyle w:val="PargrafodaLista"/>
              <w:rPr>
                <w:rFonts w:ascii="Times New Roman" w:hAnsi="Times New Roman"/>
                <w:i/>
                <w:sz w:val="18"/>
                <w:szCs w:val="18"/>
              </w:rPr>
            </w:pPr>
          </w:p>
          <w:p w:rsidR="004538C7" w:rsidRPr="008211FD" w:rsidRDefault="004538C7" w:rsidP="004538C7">
            <w:pPr>
              <w:pStyle w:val="PargrafodaLista"/>
              <w:numPr>
                <w:ilvl w:val="0"/>
                <w:numId w:val="11"/>
              </w:numPr>
              <w:spacing w:before="240" w:after="0"/>
              <w:ind w:left="510" w:right="170" w:hanging="283"/>
              <w:rPr>
                <w:rFonts w:ascii="Times New Roman" w:hAnsi="Times New Roman"/>
                <w:b/>
                <w:sz w:val="24"/>
                <w:szCs w:val="24"/>
              </w:rPr>
            </w:pPr>
            <w:r w:rsidRPr="008211FD">
              <w:rPr>
                <w:rFonts w:ascii="Times New Roman" w:hAnsi="Times New Roman"/>
                <w:i/>
                <w:sz w:val="18"/>
                <w:szCs w:val="18"/>
              </w:rPr>
              <w:t>Desenvolver um aparato estatal que opere eficiente e eficazmente, um pacto federativo competente para lidar com conflitos, com equilíbrio entre regiões e capacidades de manejar recursos naturais de forma sustentável.</w:t>
            </w:r>
          </w:p>
        </w:tc>
      </w:tr>
    </w:tbl>
    <w:p w:rsidR="004538C7" w:rsidRPr="006640DD" w:rsidRDefault="004538C7" w:rsidP="004538C7">
      <w:pPr>
        <w:spacing w:line="360" w:lineRule="auto"/>
        <w:jc w:val="both"/>
        <w:rPr>
          <w:rFonts w:ascii="Times New Roman" w:hAnsi="Times New Roman"/>
          <w:sz w:val="18"/>
          <w:szCs w:val="18"/>
        </w:rPr>
      </w:pPr>
      <w:r w:rsidRPr="006640DD">
        <w:rPr>
          <w:rFonts w:ascii="Times New Roman" w:hAnsi="Times New Roman"/>
          <w:b/>
          <w:sz w:val="18"/>
          <w:szCs w:val="18"/>
        </w:rPr>
        <w:t>Fonte:</w:t>
      </w:r>
      <w:r w:rsidR="006640DD" w:rsidRPr="006640DD">
        <w:rPr>
          <w:rFonts w:ascii="Times New Roman" w:hAnsi="Times New Roman"/>
          <w:sz w:val="18"/>
          <w:szCs w:val="18"/>
        </w:rPr>
        <w:t>SRI. SEDES.</w:t>
      </w:r>
      <w:r w:rsidR="006640DD" w:rsidRPr="006640DD">
        <w:rPr>
          <w:rFonts w:ascii="Times New Roman" w:hAnsi="Times New Roman"/>
          <w:i/>
          <w:sz w:val="18"/>
          <w:szCs w:val="18"/>
        </w:rPr>
        <w:t xml:space="preserve"> Agenda Nacional de Desenvolvimento, </w:t>
      </w:r>
      <w:r w:rsidR="006640DD" w:rsidRPr="006640DD">
        <w:rPr>
          <w:rFonts w:ascii="Times New Roman" w:hAnsi="Times New Roman"/>
          <w:sz w:val="18"/>
          <w:szCs w:val="18"/>
        </w:rPr>
        <w:t>2010a, Op. cit., p. 1</w:t>
      </w:r>
      <w:r w:rsidRPr="006640DD">
        <w:rPr>
          <w:rFonts w:ascii="Times New Roman" w:hAnsi="Times New Roman"/>
          <w:sz w:val="18"/>
          <w:szCs w:val="18"/>
        </w:rPr>
        <w:t>5.</w:t>
      </w:r>
    </w:p>
    <w:p w:rsidR="004538C7" w:rsidRDefault="004538C7" w:rsidP="004538C7">
      <w:pPr>
        <w:spacing w:after="0" w:line="360" w:lineRule="auto"/>
        <w:jc w:val="both"/>
        <w:rPr>
          <w:rFonts w:ascii="Times New Roman" w:hAnsi="Times New Roman"/>
          <w:sz w:val="24"/>
          <w:szCs w:val="24"/>
        </w:rPr>
      </w:pPr>
      <w:r>
        <w:rPr>
          <w:rFonts w:ascii="Times New Roman" w:hAnsi="Times New Roman"/>
          <w:sz w:val="24"/>
          <w:szCs w:val="24"/>
        </w:rPr>
        <w:tab/>
        <w:t xml:space="preserve">Não há como não perceber, claramente, que três dos seis âmbitos problemáticos (II, III e IV) traduziam </w:t>
      </w:r>
      <w:r w:rsidRPr="003C6B12">
        <w:rPr>
          <w:rFonts w:ascii="Times New Roman" w:hAnsi="Times New Roman"/>
          <w:i/>
          <w:sz w:val="24"/>
          <w:szCs w:val="24"/>
        </w:rPr>
        <w:t>direta</w:t>
      </w:r>
      <w:r>
        <w:rPr>
          <w:rFonts w:ascii="Times New Roman" w:hAnsi="Times New Roman"/>
          <w:i/>
          <w:sz w:val="24"/>
          <w:szCs w:val="24"/>
        </w:rPr>
        <w:t xml:space="preserve"> e inteira</w:t>
      </w:r>
      <w:r w:rsidRPr="003C6B12">
        <w:rPr>
          <w:rFonts w:ascii="Times New Roman" w:hAnsi="Times New Roman"/>
          <w:i/>
          <w:sz w:val="24"/>
          <w:szCs w:val="24"/>
        </w:rPr>
        <w:t>mente</w:t>
      </w:r>
      <w:r>
        <w:rPr>
          <w:rFonts w:ascii="Times New Roman" w:hAnsi="Times New Roman"/>
          <w:sz w:val="24"/>
          <w:szCs w:val="24"/>
        </w:rPr>
        <w:t xml:space="preserve"> expectativas empresariais,</w:t>
      </w:r>
      <w:r>
        <w:rPr>
          <w:rStyle w:val="Refdenotaderodap"/>
          <w:rFonts w:ascii="Times New Roman" w:hAnsi="Times New Roman"/>
          <w:sz w:val="24"/>
          <w:szCs w:val="24"/>
        </w:rPr>
        <w:footnoteReference w:id="476"/>
      </w:r>
      <w:r>
        <w:rPr>
          <w:rFonts w:ascii="Times New Roman" w:hAnsi="Times New Roman"/>
          <w:sz w:val="24"/>
          <w:szCs w:val="24"/>
        </w:rPr>
        <w:t xml:space="preserve"> sendo que nenhuma das demais, evidentemente,</w:t>
      </w:r>
      <w:r w:rsidR="00891EBD">
        <w:rPr>
          <w:rFonts w:ascii="Times New Roman" w:hAnsi="Times New Roman"/>
          <w:sz w:val="24"/>
          <w:szCs w:val="24"/>
        </w:rPr>
        <w:t xml:space="preserve"> se orientava na direção oposta</w:t>
      </w:r>
      <w:r>
        <w:rPr>
          <w:rFonts w:ascii="Times New Roman" w:hAnsi="Times New Roman"/>
          <w:sz w:val="24"/>
          <w:szCs w:val="24"/>
        </w:rPr>
        <w:t xml:space="preserve">. Ao contrário, eram desafios cujas soluções se </w:t>
      </w:r>
      <w:r w:rsidR="00891EBD">
        <w:rPr>
          <w:rFonts w:ascii="Times New Roman" w:hAnsi="Times New Roman"/>
          <w:sz w:val="24"/>
          <w:szCs w:val="24"/>
        </w:rPr>
        <w:t>enquadrava</w:t>
      </w:r>
      <w:r>
        <w:rPr>
          <w:rFonts w:ascii="Times New Roman" w:hAnsi="Times New Roman"/>
          <w:sz w:val="24"/>
          <w:szCs w:val="24"/>
        </w:rPr>
        <w:t xml:space="preserve">m perfeitamente à expansão capitalista no país, isto é, ao escanteamento progressivo e cumulativo das dificuldades e/ou impedimentos jurídico-políticos e administrativos de aprofundamento das relações sociais capitalistas, reclamado pelos agentes e intelectuais orgânicos ou por adesão da classe e frações de classe dominantes presentes no Conselho. </w:t>
      </w:r>
    </w:p>
    <w:p w:rsidR="004538C7" w:rsidRDefault="004538C7" w:rsidP="004538C7">
      <w:pPr>
        <w:spacing w:line="360" w:lineRule="auto"/>
        <w:ind w:firstLine="708"/>
        <w:jc w:val="both"/>
        <w:rPr>
          <w:rFonts w:ascii="Times New Roman" w:hAnsi="Times New Roman"/>
          <w:sz w:val="24"/>
          <w:szCs w:val="24"/>
        </w:rPr>
      </w:pPr>
      <w:r>
        <w:rPr>
          <w:rFonts w:ascii="Times New Roman" w:hAnsi="Times New Roman"/>
          <w:sz w:val="24"/>
          <w:szCs w:val="24"/>
        </w:rPr>
        <w:t xml:space="preserve">Um exemplo notório foi a exposição verbal de Luiz Marinho (presidente da CUT à época) na contextualização do âmbito problemático I, justamente o que se dedicava à questão da desigualdade social. A preocupação central de Marinho foi o estabelecimento de </w:t>
      </w:r>
      <w:r>
        <w:rPr>
          <w:rFonts w:ascii="Times New Roman" w:hAnsi="Times New Roman"/>
          <w:i/>
          <w:sz w:val="24"/>
          <w:szCs w:val="24"/>
        </w:rPr>
        <w:t>metas</w:t>
      </w:r>
      <w:r>
        <w:rPr>
          <w:rFonts w:ascii="Times New Roman" w:hAnsi="Times New Roman"/>
          <w:sz w:val="24"/>
          <w:szCs w:val="24"/>
        </w:rPr>
        <w:t xml:space="preserve"> para as áreas sociais.</w:t>
      </w:r>
    </w:p>
    <w:p w:rsidR="004538C7" w:rsidRPr="006B1BE5" w:rsidRDefault="004538C7" w:rsidP="004538C7">
      <w:pPr>
        <w:spacing w:line="240" w:lineRule="auto"/>
        <w:ind w:left="2268"/>
        <w:jc w:val="both"/>
        <w:rPr>
          <w:rFonts w:ascii="Times New Roman" w:hAnsi="Times New Roman"/>
          <w:sz w:val="20"/>
          <w:szCs w:val="20"/>
        </w:rPr>
      </w:pPr>
      <w:r w:rsidRPr="006B1BE5">
        <w:rPr>
          <w:rFonts w:ascii="Times New Roman" w:hAnsi="Times New Roman"/>
          <w:sz w:val="20"/>
          <w:szCs w:val="20"/>
        </w:rPr>
        <w:t xml:space="preserve">Há uma necessidade premente no Brasil de trabalharmos com metas, não somente de crescimento, mas de distribuição de renda no país. </w:t>
      </w:r>
      <w:r w:rsidRPr="006B1BE5">
        <w:rPr>
          <w:rFonts w:ascii="Times New Roman" w:hAnsi="Times New Roman"/>
          <w:b/>
          <w:sz w:val="20"/>
          <w:szCs w:val="20"/>
        </w:rPr>
        <w:t>Precisamos estabelecer metas para renda, para o salário, para o emprego, metas para a carga tributária, metas para os juros, metas para a educação</w:t>
      </w:r>
      <w:r>
        <w:rPr>
          <w:rFonts w:ascii="Times New Roman" w:hAnsi="Times New Roman"/>
          <w:b/>
          <w:sz w:val="20"/>
          <w:szCs w:val="20"/>
        </w:rPr>
        <w:t xml:space="preserve">. </w:t>
      </w:r>
      <w:r>
        <w:rPr>
          <w:rFonts w:ascii="Times New Roman" w:hAnsi="Times New Roman"/>
          <w:sz w:val="20"/>
          <w:szCs w:val="20"/>
        </w:rPr>
        <w:t>(...) É preciso combinar as metas para inflação e superávit com metas para os juros, a carga tributária, com metas para o salário, com metas para emprego. Essas coisas devem estar combinadas</w:t>
      </w:r>
      <w:r w:rsidRPr="006B1BE5">
        <w:rPr>
          <w:rFonts w:ascii="Times New Roman" w:hAnsi="Times New Roman"/>
          <w:sz w:val="20"/>
          <w:szCs w:val="20"/>
        </w:rPr>
        <w:t>.</w:t>
      </w:r>
      <w:r>
        <w:rPr>
          <w:rStyle w:val="Refdenotaderodap"/>
          <w:rFonts w:ascii="Times New Roman" w:hAnsi="Times New Roman"/>
          <w:sz w:val="20"/>
          <w:szCs w:val="20"/>
        </w:rPr>
        <w:footnoteReference w:id="477"/>
      </w:r>
    </w:p>
    <w:p w:rsidR="004538C7" w:rsidRDefault="004538C7" w:rsidP="004538C7">
      <w:pPr>
        <w:spacing w:after="0" w:line="360" w:lineRule="auto"/>
        <w:jc w:val="both"/>
        <w:rPr>
          <w:rFonts w:ascii="Times New Roman" w:hAnsi="Times New Roman"/>
          <w:sz w:val="24"/>
          <w:szCs w:val="24"/>
        </w:rPr>
      </w:pPr>
      <w:r>
        <w:rPr>
          <w:rFonts w:ascii="Times New Roman" w:hAnsi="Times New Roman"/>
          <w:sz w:val="24"/>
          <w:szCs w:val="24"/>
        </w:rPr>
        <w:tab/>
        <w:t>As metas empresariais equivaliam às de caráter social, ou seja, ambas andariam de mãos dadas: as metas para renda, salário, emprego e educação deveriam ser alcançadas em conjunto com as da carga tributária, da taxa de juros, das PPP’s, do desenvolvimento regional, partilhando do pressuposto de que se as condições gerais para o crescimento do “setor produtivo” fossem atendidas, as condições de melhoria de vida e de trabalho para os trabalhadores também seriam: “precisamos alavancar a capacidade de infraestrutura, a capacidade social e a capacidade de produção do país”</w:t>
      </w:r>
      <w:r>
        <w:rPr>
          <w:rStyle w:val="Refdenotaderodap"/>
          <w:rFonts w:ascii="Times New Roman" w:hAnsi="Times New Roman"/>
          <w:sz w:val="24"/>
          <w:szCs w:val="24"/>
        </w:rPr>
        <w:footnoteReference w:id="478"/>
      </w:r>
      <w:r>
        <w:rPr>
          <w:rFonts w:ascii="Times New Roman" w:hAnsi="Times New Roman"/>
          <w:sz w:val="24"/>
          <w:szCs w:val="24"/>
        </w:rPr>
        <w:t xml:space="preserve">, afirmou Marinho.  </w:t>
      </w:r>
    </w:p>
    <w:p w:rsidR="004538C7" w:rsidRDefault="004538C7" w:rsidP="004538C7">
      <w:pPr>
        <w:spacing w:after="0" w:line="360" w:lineRule="auto"/>
        <w:ind w:firstLine="708"/>
        <w:jc w:val="both"/>
        <w:rPr>
          <w:rFonts w:ascii="Times New Roman" w:hAnsi="Times New Roman"/>
          <w:sz w:val="24"/>
          <w:szCs w:val="24"/>
        </w:rPr>
      </w:pPr>
      <w:r>
        <w:rPr>
          <w:rFonts w:ascii="Times New Roman" w:hAnsi="Times New Roman"/>
          <w:sz w:val="24"/>
          <w:szCs w:val="24"/>
        </w:rPr>
        <w:t>A outra face da mesma proposta feita por Marinho era a de que o Estado deveria exigir contrapartidas sociais a benefício fiscal ou financiamento por parte do Estado como, por exemplo, a formalização do contrato de trabalho no financiamento de empresas da construção civil. Tratava-se de postura política extremamente defensiva que deveria, no mínimo, ser rechaçada no curto prazo por uma proposta de profunda revisão do marco legal trabalhista que revisse os instrumentos de flexibilização dos direitos dos trabalhadores implantados na era FHC. Outra situação aludida por Marinho, na esteira do reformismo fraco e pró-capital, seria a formalização da contratação de trabalhadores do setor de agronegócio, o qual “90% da mão de obra (...) são informais” e apontava “a necessidade de um fórum (...) para buscar resolver essa questão. Porque não basta ajudar no crescimento da economia e na outra ponta ajudar no aumento da desigualdade social”.</w:t>
      </w:r>
      <w:r>
        <w:rPr>
          <w:rStyle w:val="Refdenotaderodap"/>
          <w:rFonts w:ascii="Times New Roman" w:hAnsi="Times New Roman"/>
          <w:sz w:val="24"/>
          <w:szCs w:val="24"/>
        </w:rPr>
        <w:footnoteReference w:id="479"/>
      </w:r>
    </w:p>
    <w:p w:rsidR="004538C7" w:rsidRDefault="004538C7" w:rsidP="004538C7">
      <w:pPr>
        <w:spacing w:after="0" w:line="360" w:lineRule="auto"/>
        <w:ind w:firstLine="708"/>
        <w:jc w:val="both"/>
        <w:rPr>
          <w:rFonts w:ascii="Times New Roman" w:hAnsi="Times New Roman"/>
          <w:sz w:val="24"/>
          <w:szCs w:val="24"/>
        </w:rPr>
      </w:pPr>
      <w:r>
        <w:rPr>
          <w:rFonts w:ascii="Times New Roman" w:hAnsi="Times New Roman"/>
          <w:sz w:val="24"/>
          <w:szCs w:val="24"/>
        </w:rPr>
        <w:t xml:space="preserve">  As propostas trazidas pela intervenção de Marinho alinhavam-se a um duplo movimento, ambos contraditórios em si: i) sustentar que o atendimento das exigências do capital “produtivo” pelas políticas estatais repercutisse favoravelmente às condições de reprodução da classe trabalhadora e que o estabelecimento de metas sociais não estivessem premidas pelo atendimento às demandas das frações de classes do capital (bases político-econômicas do “pacto social”) e ii) tentar evitar que os efeitos perversos da exploração fossem parcialmente revertidos pela ação compensatória do próprio empresariado, por meio da intervenção pontual do Estado.</w:t>
      </w:r>
    </w:p>
    <w:p w:rsidR="004538C7" w:rsidRDefault="004538C7" w:rsidP="004538C7">
      <w:pPr>
        <w:spacing w:after="0" w:line="360" w:lineRule="auto"/>
        <w:ind w:firstLine="708"/>
        <w:jc w:val="both"/>
        <w:rPr>
          <w:rFonts w:ascii="Times New Roman" w:hAnsi="Times New Roman"/>
          <w:sz w:val="24"/>
          <w:szCs w:val="24"/>
        </w:rPr>
      </w:pPr>
      <w:r>
        <w:rPr>
          <w:rFonts w:ascii="Times New Roman" w:hAnsi="Times New Roman"/>
          <w:sz w:val="24"/>
          <w:szCs w:val="24"/>
        </w:rPr>
        <w:t>Era preciso, de certo, boa dose de sujeição política, de transformismo político-ideológico e forte crença no mito de que com ajustes superficiais nas relações capital-trabalho (sem lutas, sem confrontos, apenas com introdução de medidas compensatórias e apaziguadoras “pactuadas”) e o estabelecimento de metas se poderiam combater históricas desigualdades sociais. No essencial, talvez com nuances menos ilusórias em poucos casos, tais premissas eram compartilhadas por todos os membros do CDES e estariam dentre os pontos de partida básicos nas formulações e propostas tidas no Conselho.</w:t>
      </w:r>
    </w:p>
    <w:p w:rsidR="004538C7" w:rsidRDefault="004538C7" w:rsidP="004538C7">
      <w:pPr>
        <w:spacing w:line="360" w:lineRule="auto"/>
        <w:ind w:firstLine="708"/>
        <w:jc w:val="both"/>
        <w:rPr>
          <w:rFonts w:ascii="Times New Roman" w:hAnsi="Times New Roman"/>
          <w:sz w:val="24"/>
          <w:szCs w:val="24"/>
        </w:rPr>
      </w:pPr>
      <w:r>
        <w:rPr>
          <w:rFonts w:ascii="Times New Roman" w:hAnsi="Times New Roman"/>
          <w:sz w:val="24"/>
          <w:szCs w:val="24"/>
        </w:rPr>
        <w:t xml:space="preserve">As 27 diretrizes estratégicas propostas para enfrentar os âmbitos problemáticos e alcançar os objetivos colocados pelos conselheiros foram expostas no quadro abaixo. Deve-se ressaltar que se procurou condensar o máximo possível cada diretriz estratégica, preservando os trechos considerados mais relevantes e descartando os de teor mais “técnico” e específico, em geral resultado de desdobramentos dos enunciados principais.  O quadro abaixo busca sumarizar as diretrizes propostas </w:t>
      </w:r>
      <w:r w:rsidR="00F937E8">
        <w:rPr>
          <w:rFonts w:ascii="Times New Roman" w:hAnsi="Times New Roman"/>
          <w:sz w:val="24"/>
          <w:szCs w:val="24"/>
        </w:rPr>
        <w:t>ante a</w:t>
      </w:r>
      <w:r>
        <w:rPr>
          <w:rFonts w:ascii="Times New Roman" w:hAnsi="Times New Roman"/>
          <w:sz w:val="24"/>
          <w:szCs w:val="24"/>
        </w:rPr>
        <w:t>os objetivos traçados pelos conselheiros:</w:t>
      </w:r>
    </w:p>
    <w:p w:rsidR="004538C7" w:rsidRDefault="004538C7" w:rsidP="00412ADF">
      <w:pPr>
        <w:spacing w:after="0"/>
        <w:jc w:val="center"/>
        <w:rPr>
          <w:rFonts w:ascii="Times New Roman" w:hAnsi="Times New Roman"/>
          <w:b/>
          <w:sz w:val="24"/>
          <w:szCs w:val="24"/>
        </w:rPr>
      </w:pPr>
      <w:r>
        <w:rPr>
          <w:rFonts w:ascii="Times New Roman" w:hAnsi="Times New Roman"/>
          <w:b/>
          <w:sz w:val="24"/>
          <w:szCs w:val="24"/>
        </w:rPr>
        <w:t>Quadro 3.</w:t>
      </w:r>
      <w:r w:rsidR="00DA6866">
        <w:rPr>
          <w:rFonts w:ascii="Times New Roman" w:hAnsi="Times New Roman"/>
          <w:b/>
          <w:sz w:val="24"/>
          <w:szCs w:val="24"/>
        </w:rPr>
        <w:t>3</w:t>
      </w:r>
      <w:r>
        <w:rPr>
          <w:rFonts w:ascii="Times New Roman" w:hAnsi="Times New Roman"/>
          <w:b/>
          <w:sz w:val="24"/>
          <w:szCs w:val="24"/>
        </w:rPr>
        <w:t xml:space="preserve"> – As diretrizes estratégicas da AND </w:t>
      </w:r>
      <w:r w:rsidR="007A48DD">
        <w:rPr>
          <w:rFonts w:ascii="Times New Roman" w:hAnsi="Times New Roman"/>
          <w:b/>
          <w:sz w:val="24"/>
          <w:szCs w:val="24"/>
        </w:rPr>
        <w:t>ante</w:t>
      </w:r>
      <w:r>
        <w:rPr>
          <w:rFonts w:ascii="Times New Roman" w:hAnsi="Times New Roman"/>
          <w:b/>
          <w:sz w:val="24"/>
          <w:szCs w:val="24"/>
        </w:rPr>
        <w:t xml:space="preserve"> aos objetivos a serem alcançados</w:t>
      </w:r>
    </w:p>
    <w:p w:rsidR="004538C7" w:rsidRPr="00B86811" w:rsidRDefault="004538C7" w:rsidP="004538C7">
      <w:pPr>
        <w:spacing w:after="0"/>
        <w:jc w:val="center"/>
        <w:rPr>
          <w:rFonts w:ascii="Times New Roman" w:hAnsi="Times New Roman"/>
          <w:b/>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6237"/>
      </w:tblGrid>
      <w:tr w:rsidR="004538C7" w:rsidRPr="008211FD" w:rsidTr="004640A8">
        <w:tc>
          <w:tcPr>
            <w:tcW w:w="2835" w:type="dxa"/>
          </w:tcPr>
          <w:p w:rsidR="004538C7" w:rsidRPr="008211FD" w:rsidRDefault="004538C7" w:rsidP="008211FD">
            <w:pPr>
              <w:spacing w:after="0" w:line="360" w:lineRule="auto"/>
              <w:jc w:val="both"/>
              <w:rPr>
                <w:rFonts w:ascii="Times New Roman" w:hAnsi="Times New Roman"/>
                <w:b/>
                <w:sz w:val="24"/>
                <w:szCs w:val="24"/>
              </w:rPr>
            </w:pPr>
            <w:r w:rsidRPr="008211FD">
              <w:rPr>
                <w:rFonts w:ascii="Times New Roman" w:hAnsi="Times New Roman"/>
                <w:b/>
                <w:sz w:val="24"/>
                <w:szCs w:val="24"/>
              </w:rPr>
              <w:t>Objetivos</w:t>
            </w:r>
          </w:p>
        </w:tc>
        <w:tc>
          <w:tcPr>
            <w:tcW w:w="6237" w:type="dxa"/>
          </w:tcPr>
          <w:p w:rsidR="004538C7" w:rsidRPr="008211FD" w:rsidRDefault="004538C7" w:rsidP="008211FD">
            <w:pPr>
              <w:spacing w:after="0" w:line="360" w:lineRule="auto"/>
              <w:jc w:val="both"/>
              <w:rPr>
                <w:rFonts w:ascii="Times New Roman" w:hAnsi="Times New Roman"/>
                <w:b/>
                <w:sz w:val="24"/>
                <w:szCs w:val="24"/>
              </w:rPr>
            </w:pPr>
            <w:r w:rsidRPr="008211FD">
              <w:rPr>
                <w:rFonts w:ascii="Times New Roman" w:hAnsi="Times New Roman"/>
                <w:b/>
                <w:sz w:val="24"/>
                <w:szCs w:val="24"/>
              </w:rPr>
              <w:t>Diretrizes estratégicas</w:t>
            </w:r>
          </w:p>
        </w:tc>
      </w:tr>
      <w:tr w:rsidR="004538C7" w:rsidRPr="008211FD" w:rsidTr="004640A8">
        <w:tc>
          <w:tcPr>
            <w:tcW w:w="2835" w:type="dxa"/>
          </w:tcPr>
          <w:p w:rsidR="004538C7" w:rsidRPr="008211FD" w:rsidRDefault="004538C7" w:rsidP="008211FD">
            <w:pPr>
              <w:spacing w:before="240" w:after="0"/>
              <w:rPr>
                <w:rFonts w:ascii="Times New Roman" w:hAnsi="Times New Roman"/>
                <w:b/>
                <w:bCs/>
                <w:i/>
                <w:color w:val="000000"/>
                <w:sz w:val="18"/>
                <w:szCs w:val="18"/>
              </w:rPr>
            </w:pPr>
            <w:r w:rsidRPr="008211FD">
              <w:rPr>
                <w:rFonts w:ascii="Times New Roman" w:hAnsi="Times New Roman"/>
                <w:b/>
                <w:i/>
                <w:sz w:val="18"/>
                <w:szCs w:val="18"/>
              </w:rPr>
              <w:t>I. Fazer a sociedade brasileira mais igualitária, sem disparidades de gênero e raça, com a renda e a riqueza bem distribuídas e vigorosa mobilidade social ascendente.</w:t>
            </w:r>
          </w:p>
        </w:tc>
        <w:tc>
          <w:tcPr>
            <w:tcW w:w="6237" w:type="dxa"/>
          </w:tcPr>
          <w:p w:rsidR="004538C7" w:rsidRPr="008211FD" w:rsidRDefault="004538C7" w:rsidP="008211FD">
            <w:pPr>
              <w:spacing w:before="240" w:after="0" w:line="240" w:lineRule="auto"/>
              <w:rPr>
                <w:rFonts w:ascii="Times New Roman" w:hAnsi="Times New Roman"/>
                <w:sz w:val="18"/>
                <w:szCs w:val="18"/>
              </w:rPr>
            </w:pPr>
            <w:r w:rsidRPr="008211FD">
              <w:rPr>
                <w:rFonts w:ascii="Times New Roman" w:hAnsi="Times New Roman"/>
                <w:sz w:val="18"/>
                <w:szCs w:val="18"/>
              </w:rPr>
              <w:t xml:space="preserve">1. Adotar a </w:t>
            </w:r>
            <w:r w:rsidRPr="008211FD">
              <w:rPr>
                <w:rFonts w:ascii="Times New Roman" w:hAnsi="Times New Roman"/>
                <w:b/>
                <w:sz w:val="18"/>
                <w:szCs w:val="18"/>
              </w:rPr>
              <w:t>equidade</w:t>
            </w:r>
            <w:r w:rsidRPr="008211FD">
              <w:rPr>
                <w:rFonts w:ascii="Times New Roman" w:hAnsi="Times New Roman"/>
                <w:sz w:val="18"/>
                <w:szCs w:val="18"/>
              </w:rPr>
              <w:t xml:space="preserve"> como </w:t>
            </w:r>
            <w:r w:rsidRPr="008211FD">
              <w:rPr>
                <w:rFonts w:ascii="Times New Roman" w:hAnsi="Times New Roman"/>
                <w:b/>
                <w:sz w:val="18"/>
                <w:szCs w:val="18"/>
              </w:rPr>
              <w:t>o critério</w:t>
            </w:r>
            <w:r w:rsidRPr="008211FD">
              <w:rPr>
                <w:rFonts w:ascii="Times New Roman" w:hAnsi="Times New Roman"/>
                <w:sz w:val="18"/>
                <w:szCs w:val="18"/>
              </w:rPr>
              <w:t xml:space="preserve"> a presidir toda e qualquer decisão dos poderes públicos, estabelecendo obrigatoriedade de avaliação prévia às suas ações por este critério, e incentivá-lo na iniciativa privada.</w:t>
            </w:r>
            <w:r w:rsidRPr="008211FD">
              <w:rPr>
                <w:rStyle w:val="Refdenotaderodap"/>
                <w:rFonts w:ascii="Times New Roman" w:hAnsi="Times New Roman"/>
                <w:sz w:val="18"/>
                <w:szCs w:val="18"/>
              </w:rPr>
              <w:footnoteReference w:id="480"/>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 xml:space="preserve">2. Ampliar a </w:t>
            </w:r>
            <w:r w:rsidRPr="008211FD">
              <w:rPr>
                <w:rFonts w:ascii="Times New Roman" w:hAnsi="Times New Roman"/>
                <w:b/>
                <w:sz w:val="18"/>
                <w:szCs w:val="18"/>
              </w:rPr>
              <w:t>escolaridade média da população brasileira</w:t>
            </w:r>
            <w:r w:rsidRPr="008211FD">
              <w:rPr>
                <w:rFonts w:ascii="Times New Roman" w:hAnsi="Times New Roman"/>
                <w:sz w:val="18"/>
                <w:szCs w:val="18"/>
              </w:rPr>
              <w:t>, com ênfase na universalização do acesso e conclusão da educação básica, mediante estabelecimento de metas anuais de qualidade do ensino, submetidas a processo de avaliação e controle da sociedade.</w:t>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3. O pleno emprego</w:t>
            </w:r>
            <w:r w:rsidRPr="008211FD">
              <w:rPr>
                <w:rStyle w:val="Refdenotaderodap"/>
                <w:rFonts w:ascii="Times New Roman" w:hAnsi="Times New Roman"/>
                <w:sz w:val="18"/>
                <w:szCs w:val="18"/>
              </w:rPr>
              <w:footnoteReference w:id="481"/>
            </w:r>
            <w:r w:rsidRPr="008211FD">
              <w:rPr>
                <w:rFonts w:ascii="Times New Roman" w:hAnsi="Times New Roman"/>
                <w:sz w:val="18"/>
                <w:szCs w:val="18"/>
              </w:rPr>
              <w:t xml:space="preserve"> passa a ser um objetivo permanente, contribuindo para a redução das diferenças salariais de gênero e raça, formalização dos contratos de trabalho e salário mínimo compatível ao que determina a CF/88.</w:t>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4. Identificar áreas com maior miséria/pobreza e articular nos três níveis de governo ações para a cidadania. Identificar potenciais produtivos e oportunidades de investimento e promover dinamização da economia local, suportada em acordo social-público-privado.</w:t>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5. Executar a Reforma Agrária, em prazo máximo de cinco anos, com apoio especial e integrado à agricultura familiar.</w:t>
            </w:r>
            <w:r w:rsidRPr="008211FD">
              <w:rPr>
                <w:rStyle w:val="Refdenotaderodap"/>
                <w:rFonts w:ascii="Times New Roman" w:hAnsi="Times New Roman"/>
                <w:sz w:val="18"/>
                <w:szCs w:val="18"/>
              </w:rPr>
              <w:footnoteReference w:id="482"/>
            </w:r>
          </w:p>
        </w:tc>
      </w:tr>
      <w:tr w:rsidR="004538C7" w:rsidRPr="008211FD" w:rsidTr="004640A8">
        <w:tc>
          <w:tcPr>
            <w:tcW w:w="2835" w:type="dxa"/>
          </w:tcPr>
          <w:p w:rsidR="004538C7" w:rsidRPr="008211FD" w:rsidRDefault="004538C7" w:rsidP="008211FD">
            <w:pPr>
              <w:spacing w:before="240" w:after="0"/>
              <w:ind w:right="-5"/>
              <w:rPr>
                <w:rFonts w:ascii="Times New Roman" w:hAnsi="Times New Roman"/>
                <w:b/>
                <w:sz w:val="24"/>
                <w:szCs w:val="24"/>
              </w:rPr>
            </w:pPr>
            <w:r w:rsidRPr="008211FD">
              <w:rPr>
                <w:rFonts w:ascii="Times New Roman" w:hAnsi="Times New Roman"/>
                <w:b/>
                <w:i/>
                <w:sz w:val="18"/>
                <w:szCs w:val="18"/>
              </w:rPr>
              <w:t>II. Tornar a economia brasileira apta a incorporar todo o mercado interno potencial, com forte dinamismo e capacidade inovadora, desenvolvendo novos produtos e mercados e com participação relevante na economia internacional.</w:t>
            </w:r>
          </w:p>
        </w:tc>
        <w:tc>
          <w:tcPr>
            <w:tcW w:w="6237" w:type="dxa"/>
          </w:tcPr>
          <w:p w:rsidR="004538C7" w:rsidRPr="008211FD" w:rsidRDefault="004538C7" w:rsidP="008211FD">
            <w:pPr>
              <w:spacing w:after="0" w:line="240" w:lineRule="auto"/>
              <w:rPr>
                <w:rFonts w:ascii="Times New Roman" w:hAnsi="Times New Roman"/>
                <w:sz w:val="18"/>
                <w:szCs w:val="18"/>
              </w:rPr>
            </w:pP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 xml:space="preserve">1. O governo e representantes de todos os setores empresariais elaborarão proposta de </w:t>
            </w:r>
            <w:r w:rsidRPr="008211FD">
              <w:rPr>
                <w:rFonts w:ascii="Times New Roman" w:hAnsi="Times New Roman"/>
                <w:b/>
                <w:sz w:val="18"/>
                <w:szCs w:val="18"/>
              </w:rPr>
              <w:t>acordo para o investimento e inovação sistêmicos</w:t>
            </w:r>
            <w:r w:rsidRPr="008211FD">
              <w:rPr>
                <w:rFonts w:ascii="Times New Roman" w:hAnsi="Times New Roman"/>
                <w:sz w:val="18"/>
                <w:szCs w:val="18"/>
              </w:rPr>
              <w:t>, base para o aumento da produção, do emprego, da produtividade e da competitividade.</w:t>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2. Será objetivo a ser estimulado a constituição de acordos para a partilha dos ganhos de produtividade, com vistas a assegurar: a) transferência para os preços; b) aumento real de salários, c) sustentação do investimento, como condição para diminuição das desigualdades sociais, incorporação do mercado interno, crescimento das exportações e estabilidade monetária.</w:t>
            </w:r>
          </w:p>
          <w:p w:rsidR="004538C7" w:rsidRPr="008211FD" w:rsidRDefault="004538C7" w:rsidP="008211FD">
            <w:pPr>
              <w:spacing w:after="0" w:line="240" w:lineRule="auto"/>
              <w:rPr>
                <w:rFonts w:ascii="Times New Roman" w:hAnsi="Times New Roman"/>
                <w:color w:val="000000"/>
                <w:sz w:val="18"/>
                <w:szCs w:val="18"/>
              </w:rPr>
            </w:pPr>
            <w:r w:rsidRPr="008211FD">
              <w:rPr>
                <w:rFonts w:ascii="Times New Roman" w:hAnsi="Times New Roman"/>
                <w:sz w:val="18"/>
                <w:szCs w:val="18"/>
              </w:rPr>
              <w:t>3. Os órgãos governamentais, as universidades, as instituições públicas e privadas de pesquisa e desenvolvimento conceberão um programa de parceria Universidades – Instituições de Ciência e Tecnologia – Empresas.</w:t>
            </w:r>
            <w:r w:rsidRPr="008211FD">
              <w:rPr>
                <w:rStyle w:val="Refdenotaderodap"/>
                <w:rFonts w:ascii="Times New Roman" w:hAnsi="Times New Roman"/>
                <w:sz w:val="18"/>
                <w:szCs w:val="18"/>
              </w:rPr>
              <w:footnoteReference w:id="483"/>
            </w:r>
          </w:p>
        </w:tc>
      </w:tr>
      <w:tr w:rsidR="004538C7" w:rsidRPr="008211FD" w:rsidTr="004640A8">
        <w:tc>
          <w:tcPr>
            <w:tcW w:w="2835" w:type="dxa"/>
          </w:tcPr>
          <w:p w:rsidR="004538C7" w:rsidRPr="008211FD" w:rsidRDefault="004538C7" w:rsidP="008211FD">
            <w:pPr>
              <w:spacing w:before="240" w:after="0"/>
              <w:ind w:right="-5"/>
              <w:rPr>
                <w:rFonts w:ascii="Times New Roman" w:hAnsi="Times New Roman"/>
                <w:b/>
                <w:bCs/>
                <w:i/>
                <w:color w:val="000000"/>
                <w:sz w:val="18"/>
                <w:szCs w:val="18"/>
              </w:rPr>
            </w:pPr>
            <w:r w:rsidRPr="008211FD">
              <w:rPr>
                <w:rFonts w:ascii="Times New Roman" w:hAnsi="Times New Roman"/>
                <w:b/>
                <w:i/>
                <w:sz w:val="18"/>
                <w:szCs w:val="18"/>
              </w:rPr>
              <w:t>III. Ter uma infraestrutura logística eficiente e competitiva, integradora do território, da economia e da sociedade nacionais.</w:t>
            </w:r>
          </w:p>
        </w:tc>
        <w:tc>
          <w:tcPr>
            <w:tcW w:w="6237" w:type="dxa"/>
          </w:tcPr>
          <w:p w:rsidR="004538C7" w:rsidRPr="008211FD" w:rsidRDefault="004538C7" w:rsidP="008211FD">
            <w:pPr>
              <w:spacing w:after="0" w:line="240" w:lineRule="auto"/>
              <w:rPr>
                <w:rFonts w:ascii="Times New Roman" w:hAnsi="Times New Roman"/>
                <w:sz w:val="18"/>
                <w:szCs w:val="18"/>
              </w:rPr>
            </w:pP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1. Implantar política nacional integrada de transportes assente na multimodalidade, na integração regional/nacional/sul-americana, conferindo prioridade à criação de corredores hidroviários, ferroviários e cabotagem.</w:t>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2. Recuperação da malha rodoviária federal com os recursos da CIDE.</w:t>
            </w:r>
            <w:r w:rsidRPr="008211FD">
              <w:rPr>
                <w:rStyle w:val="Refdenotaderodap"/>
                <w:rFonts w:ascii="Times New Roman" w:hAnsi="Times New Roman"/>
                <w:sz w:val="18"/>
                <w:szCs w:val="18"/>
              </w:rPr>
              <w:footnoteReference w:id="484"/>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3. Privilegiar fontes renováveis no planejamento energético nacional.</w:t>
            </w:r>
          </w:p>
        </w:tc>
      </w:tr>
      <w:tr w:rsidR="004538C7" w:rsidRPr="008211FD" w:rsidTr="004640A8">
        <w:tc>
          <w:tcPr>
            <w:tcW w:w="2835" w:type="dxa"/>
          </w:tcPr>
          <w:p w:rsidR="004538C7" w:rsidRPr="008211FD" w:rsidRDefault="004538C7" w:rsidP="008211FD">
            <w:pPr>
              <w:spacing w:before="240" w:after="0"/>
              <w:rPr>
                <w:rFonts w:ascii="Times New Roman" w:hAnsi="Times New Roman"/>
                <w:b/>
                <w:sz w:val="24"/>
                <w:szCs w:val="24"/>
              </w:rPr>
            </w:pPr>
            <w:r w:rsidRPr="008211FD">
              <w:rPr>
                <w:rFonts w:ascii="Times New Roman" w:hAnsi="Times New Roman"/>
                <w:b/>
                <w:i/>
                <w:sz w:val="18"/>
                <w:szCs w:val="18"/>
              </w:rPr>
              <w:t>IV. Construir um sistema de financiamento do investimento eficiente e eficaz, uma estrutura tributária simplificada e racional, com tributos de qualidade, progressiva e estimuladora da produção e do emprego.</w:t>
            </w:r>
          </w:p>
        </w:tc>
        <w:tc>
          <w:tcPr>
            <w:tcW w:w="6237" w:type="dxa"/>
          </w:tcPr>
          <w:p w:rsidR="004538C7" w:rsidRPr="008211FD" w:rsidRDefault="004538C7" w:rsidP="008211FD">
            <w:pPr>
              <w:spacing w:after="0" w:line="240" w:lineRule="auto"/>
              <w:rPr>
                <w:rFonts w:ascii="Times New Roman" w:hAnsi="Times New Roman"/>
                <w:sz w:val="18"/>
                <w:szCs w:val="18"/>
              </w:rPr>
            </w:pP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1. Definir e implantar proposta de sistema público-privado de financiamento do investimento e dinamização do mercado de capitais.</w:t>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2. Ampliar composição do CMN. Criar, junto ao Gabinete do Presidente da República, um conselho de assessores econômicos, com a função de auxiliar na formulação e avaliação da execução da política econômica.</w:t>
            </w:r>
          </w:p>
          <w:p w:rsidR="004538C7" w:rsidRPr="008211FD" w:rsidRDefault="004538C7" w:rsidP="008211FD">
            <w:pPr>
              <w:spacing w:after="0" w:line="240" w:lineRule="auto"/>
              <w:rPr>
                <w:rFonts w:ascii="Times New Roman" w:hAnsi="Times New Roman"/>
                <w:color w:val="000000"/>
                <w:sz w:val="18"/>
                <w:szCs w:val="18"/>
              </w:rPr>
            </w:pPr>
            <w:r w:rsidRPr="008211FD">
              <w:rPr>
                <w:rFonts w:ascii="Times New Roman" w:hAnsi="Times New Roman"/>
                <w:sz w:val="18"/>
                <w:szCs w:val="18"/>
              </w:rPr>
              <w:t>3. Promover reforma do Sistema Tributário Nacional, com vistas a: conceber uma estrutura tributária fundada na progressividade, justa partilha federativa, tributos sobre o patrimônio, a riqueza e o consumo; combate à sonegação e à evasão; desonerar folha de salários; regulamentar o imposto sobre grandes fortunas; redução progressiva da carga tributária.</w:t>
            </w:r>
          </w:p>
        </w:tc>
      </w:tr>
      <w:tr w:rsidR="004538C7" w:rsidRPr="008211FD" w:rsidTr="004640A8">
        <w:tc>
          <w:tcPr>
            <w:tcW w:w="2835" w:type="dxa"/>
          </w:tcPr>
          <w:p w:rsidR="004538C7" w:rsidRPr="008211FD" w:rsidRDefault="004538C7" w:rsidP="008211FD">
            <w:pPr>
              <w:spacing w:before="240" w:after="0"/>
              <w:ind w:right="-5"/>
              <w:rPr>
                <w:rFonts w:ascii="Times New Roman" w:hAnsi="Times New Roman"/>
                <w:b/>
                <w:i/>
                <w:sz w:val="18"/>
                <w:szCs w:val="18"/>
              </w:rPr>
            </w:pPr>
            <w:r w:rsidRPr="008211FD">
              <w:rPr>
                <w:rFonts w:ascii="Times New Roman" w:hAnsi="Times New Roman"/>
                <w:b/>
                <w:i/>
                <w:sz w:val="18"/>
                <w:szCs w:val="18"/>
              </w:rPr>
              <w:t>V. Instaurar a segurança pública e a paz social, um sistema judicial transparente, ágil e democrático e um Estado que regule e fiscalize a contento</w:t>
            </w:r>
            <w:r w:rsidRPr="008211FD">
              <w:rPr>
                <w:rFonts w:ascii="Times New Roman" w:hAnsi="Times New Roman"/>
                <w:b/>
                <w:bCs/>
                <w:i/>
                <w:color w:val="000000"/>
                <w:sz w:val="18"/>
                <w:szCs w:val="18"/>
              </w:rPr>
              <w:t>.</w:t>
            </w:r>
          </w:p>
          <w:p w:rsidR="004538C7" w:rsidRPr="008211FD" w:rsidRDefault="004538C7" w:rsidP="008211FD">
            <w:pPr>
              <w:spacing w:after="0" w:line="240" w:lineRule="auto"/>
              <w:rPr>
                <w:rFonts w:ascii="Times New Roman" w:hAnsi="Times New Roman"/>
                <w:b/>
                <w:sz w:val="24"/>
                <w:szCs w:val="24"/>
              </w:rPr>
            </w:pPr>
          </w:p>
        </w:tc>
        <w:tc>
          <w:tcPr>
            <w:tcW w:w="6237" w:type="dxa"/>
          </w:tcPr>
          <w:p w:rsidR="004538C7" w:rsidRPr="008211FD" w:rsidRDefault="004538C7" w:rsidP="008211FD">
            <w:pPr>
              <w:spacing w:after="0" w:line="240" w:lineRule="auto"/>
              <w:rPr>
                <w:rFonts w:ascii="Times New Roman" w:hAnsi="Times New Roman"/>
                <w:sz w:val="18"/>
                <w:szCs w:val="18"/>
              </w:rPr>
            </w:pP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1. Mobilizar o país em prol de uma cultura de paz, de denúncia sistemática dos preconceitos e para a difusão dos valores básicos referentes à vida, à liberdade, à solidariedade, ao respeito pelos outros.</w:t>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2. Muito próximo do item  I.4.</w:t>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3. Acelerar a implantação do Sistema Único de Segurança Pública (SUSP).</w:t>
            </w:r>
            <w:r w:rsidRPr="008211FD">
              <w:rPr>
                <w:rStyle w:val="Refdenotaderodap"/>
                <w:rFonts w:ascii="Times New Roman" w:hAnsi="Times New Roman"/>
                <w:sz w:val="18"/>
                <w:szCs w:val="18"/>
              </w:rPr>
              <w:footnoteReference w:id="485"/>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4. Implantar, de forma acelerada, a Reforma do Sistema Judiciário.</w:t>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 xml:space="preserve">5. Dotar as agências reguladoras e órgãos de fiscalização de pessoal especializado, assegurando condições materiais suficientes e implantando corregedorias ages e eficazes. </w:t>
            </w:r>
          </w:p>
        </w:tc>
      </w:tr>
      <w:tr w:rsidR="004538C7" w:rsidRPr="008211FD" w:rsidTr="004640A8">
        <w:tc>
          <w:tcPr>
            <w:tcW w:w="2835" w:type="dxa"/>
          </w:tcPr>
          <w:p w:rsidR="004538C7" w:rsidRPr="008211FD" w:rsidRDefault="004538C7" w:rsidP="008211FD">
            <w:pPr>
              <w:spacing w:before="240" w:after="0"/>
              <w:rPr>
                <w:rFonts w:ascii="Times New Roman" w:hAnsi="Times New Roman"/>
                <w:b/>
                <w:bCs/>
                <w:i/>
                <w:color w:val="000000"/>
                <w:sz w:val="18"/>
                <w:szCs w:val="18"/>
              </w:rPr>
            </w:pPr>
            <w:r w:rsidRPr="008211FD">
              <w:rPr>
                <w:rFonts w:ascii="Times New Roman" w:hAnsi="Times New Roman"/>
                <w:b/>
                <w:i/>
                <w:sz w:val="18"/>
                <w:szCs w:val="18"/>
              </w:rPr>
              <w:t>VI. Desenvolver um aparato estatal que opere eficiente e eficazmente, um pacto federativo competente para lidar com conflitos, com equilíbrio entre regiões e capacidades de manejar recursos naturais de forma sustentável.</w:t>
            </w:r>
          </w:p>
        </w:tc>
        <w:tc>
          <w:tcPr>
            <w:tcW w:w="6237" w:type="dxa"/>
          </w:tcPr>
          <w:p w:rsidR="004538C7" w:rsidRPr="008211FD" w:rsidRDefault="004538C7" w:rsidP="008211FD">
            <w:pPr>
              <w:spacing w:after="0" w:line="240" w:lineRule="auto"/>
              <w:rPr>
                <w:rFonts w:ascii="Times New Roman" w:hAnsi="Times New Roman"/>
                <w:sz w:val="18"/>
                <w:szCs w:val="18"/>
              </w:rPr>
            </w:pP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1. Formular e implantar um projeto de Estado/Administração Pública coerente com os principais objetivos da AND; consolidar mecanismos que ampliem a participação da sociedade no processo decisório; estabelecer uma burocracia profissionalizada, ética, comprometida com o povo; estimular a gestão orientada para resultados, com avaliação sistemática e sob controle participativo da sociedade.</w:t>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 xml:space="preserve">2. Aprimorar o sistema de planejamento e gestão do Governo Federal. </w:t>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3. Implementar os sistemas nacionais de prestação de serviços públicos e de proteção social e ambiental.</w:t>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4. Implantar sistema de avaliação dos impactos regionais dos gastos públicos.</w:t>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5. Estabelecer a repactuação federativa, buscando arranjo solidário, equitativo, responsável e integrador que contemple o atendimento às demandas sociais e na promoção do desenvolvimento.</w:t>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6. Dotar o aparato público de efetiva capacidade de fiscalizar o manejo, conservação e preservação dos recursos naturais.</w:t>
            </w:r>
          </w:p>
          <w:p w:rsidR="004538C7" w:rsidRPr="008211FD" w:rsidRDefault="004538C7" w:rsidP="008211FD">
            <w:pPr>
              <w:spacing w:after="0" w:line="240" w:lineRule="auto"/>
              <w:rPr>
                <w:rFonts w:ascii="Times New Roman" w:hAnsi="Times New Roman"/>
                <w:sz w:val="18"/>
                <w:szCs w:val="18"/>
              </w:rPr>
            </w:pPr>
            <w:r w:rsidRPr="008211FD">
              <w:rPr>
                <w:rFonts w:ascii="Times New Roman" w:hAnsi="Times New Roman"/>
                <w:sz w:val="18"/>
                <w:szCs w:val="18"/>
              </w:rPr>
              <w:t>7. Os Poderes da República concederão prioridade à elaboração e aprovação da Reforma Política, objetivando fidelidade partidária, cláusula de barreira e financiamento público de campanhas eleitorais.</w:t>
            </w:r>
          </w:p>
          <w:p w:rsidR="004538C7" w:rsidRPr="008211FD" w:rsidRDefault="004538C7" w:rsidP="008211FD">
            <w:pPr>
              <w:spacing w:after="0" w:line="240" w:lineRule="auto"/>
              <w:rPr>
                <w:rFonts w:ascii="Times New Roman" w:hAnsi="Times New Roman"/>
                <w:color w:val="000000"/>
                <w:sz w:val="18"/>
                <w:szCs w:val="18"/>
              </w:rPr>
            </w:pPr>
            <w:r w:rsidRPr="008211FD">
              <w:rPr>
                <w:rFonts w:ascii="Times New Roman" w:hAnsi="Times New Roman"/>
                <w:sz w:val="18"/>
                <w:szCs w:val="18"/>
              </w:rPr>
              <w:t>8. Valorizar e difundir a cultura brasileira, no país e no exterior.</w:t>
            </w:r>
          </w:p>
        </w:tc>
      </w:tr>
    </w:tbl>
    <w:p w:rsidR="004538C7" w:rsidRPr="006640DD" w:rsidRDefault="004538C7" w:rsidP="004538C7">
      <w:pPr>
        <w:spacing w:after="0" w:line="240" w:lineRule="auto"/>
        <w:jc w:val="both"/>
        <w:rPr>
          <w:rFonts w:ascii="Times New Roman" w:hAnsi="Times New Roman"/>
          <w:sz w:val="18"/>
          <w:szCs w:val="18"/>
        </w:rPr>
      </w:pPr>
      <w:r w:rsidRPr="006640DD">
        <w:rPr>
          <w:rFonts w:ascii="Times New Roman" w:hAnsi="Times New Roman"/>
          <w:b/>
          <w:sz w:val="18"/>
          <w:szCs w:val="18"/>
        </w:rPr>
        <w:t>Elaboração própria</w:t>
      </w:r>
      <w:r w:rsidRPr="006640DD">
        <w:rPr>
          <w:rFonts w:ascii="Times New Roman" w:hAnsi="Times New Roman"/>
          <w:sz w:val="18"/>
          <w:szCs w:val="18"/>
        </w:rPr>
        <w:t xml:space="preserve">. </w:t>
      </w:r>
      <w:r w:rsidR="006640DD" w:rsidRPr="006640DD">
        <w:rPr>
          <w:rFonts w:ascii="Times New Roman" w:hAnsi="Times New Roman"/>
          <w:b/>
          <w:sz w:val="18"/>
          <w:szCs w:val="18"/>
        </w:rPr>
        <w:t>Fonte:</w:t>
      </w:r>
      <w:r w:rsidRPr="006640DD">
        <w:rPr>
          <w:rFonts w:ascii="Times New Roman" w:hAnsi="Times New Roman"/>
          <w:sz w:val="18"/>
          <w:szCs w:val="18"/>
        </w:rPr>
        <w:t>As diretrizes estratégicas foram adaptadas da Agenda Nacional de Desenvolvimento (</w:t>
      </w:r>
      <w:r w:rsidR="006640DD" w:rsidRPr="006640DD">
        <w:rPr>
          <w:rFonts w:ascii="Times New Roman" w:hAnsi="Times New Roman"/>
          <w:sz w:val="18"/>
          <w:szCs w:val="18"/>
        </w:rPr>
        <w:t>SRI. SEDES.</w:t>
      </w:r>
      <w:r w:rsidR="006640DD" w:rsidRPr="006640DD">
        <w:rPr>
          <w:rFonts w:ascii="Times New Roman" w:hAnsi="Times New Roman"/>
          <w:i/>
          <w:sz w:val="18"/>
          <w:szCs w:val="18"/>
        </w:rPr>
        <w:t xml:space="preserve"> Agenda Nacional de Desenvolvimento, </w:t>
      </w:r>
      <w:r w:rsidR="006640DD" w:rsidRPr="006640DD">
        <w:rPr>
          <w:rFonts w:ascii="Times New Roman" w:hAnsi="Times New Roman"/>
          <w:sz w:val="18"/>
          <w:szCs w:val="18"/>
        </w:rPr>
        <w:t>2010a, Op. cit., pp. 17-23, grifos no original</w:t>
      </w:r>
      <w:r w:rsidRPr="006640DD">
        <w:rPr>
          <w:rFonts w:ascii="Times New Roman" w:hAnsi="Times New Roman"/>
          <w:sz w:val="18"/>
          <w:szCs w:val="18"/>
        </w:rPr>
        <w:t>).</w:t>
      </w:r>
    </w:p>
    <w:p w:rsidR="004538C7" w:rsidRDefault="004538C7" w:rsidP="004538C7">
      <w:pPr>
        <w:autoSpaceDE w:val="0"/>
        <w:autoSpaceDN w:val="0"/>
        <w:adjustRightInd w:val="0"/>
        <w:spacing w:before="240" w:after="0" w:line="360" w:lineRule="auto"/>
        <w:jc w:val="both"/>
        <w:rPr>
          <w:rFonts w:ascii="Times New Roman" w:hAnsi="Times New Roman"/>
          <w:color w:val="262626"/>
          <w:sz w:val="24"/>
          <w:szCs w:val="24"/>
        </w:rPr>
      </w:pPr>
      <w:r>
        <w:rPr>
          <w:rFonts w:ascii="OceanSansMM_403_475_" w:hAnsi="OceanSansMM_403_475_" w:cs="OceanSansMM_403_475_"/>
          <w:color w:val="262626"/>
          <w:sz w:val="24"/>
          <w:szCs w:val="24"/>
        </w:rPr>
        <w:tab/>
      </w:r>
      <w:r>
        <w:rPr>
          <w:rFonts w:ascii="Times New Roman" w:hAnsi="Times New Roman"/>
          <w:color w:val="262626"/>
          <w:sz w:val="24"/>
          <w:szCs w:val="24"/>
        </w:rPr>
        <w:t>A Agenda Nacional de Desenvolvimento mereceria um exame crítico detalhado de cada diretriz elencada acima.</w:t>
      </w:r>
      <w:r w:rsidR="0037305F">
        <w:rPr>
          <w:rFonts w:ascii="Times New Roman" w:hAnsi="Times New Roman"/>
          <w:color w:val="262626"/>
          <w:sz w:val="24"/>
          <w:szCs w:val="24"/>
        </w:rPr>
        <w:t xml:space="preserve"> Todavia, não nos parece que ess</w:t>
      </w:r>
      <w:r>
        <w:rPr>
          <w:rFonts w:ascii="Times New Roman" w:hAnsi="Times New Roman"/>
          <w:color w:val="262626"/>
          <w:sz w:val="24"/>
          <w:szCs w:val="24"/>
        </w:rPr>
        <w:t xml:space="preserve">e seria o caminho mais profícuo para a configuração da natureza política e econômica desta Agenda, seja porque invadiria objetos peculiares às várias áreas de conhecimento – o que se desdobraria numa outra tese -, seja porque inviabilizaria uma análise mais acurada do papel do CDES diante do pretendido </w:t>
      </w:r>
      <w:r>
        <w:rPr>
          <w:rFonts w:ascii="Times New Roman" w:hAnsi="Times New Roman"/>
          <w:i/>
          <w:color w:val="262626"/>
          <w:sz w:val="24"/>
          <w:szCs w:val="24"/>
        </w:rPr>
        <w:t>aggiornamento</w:t>
      </w:r>
      <w:r>
        <w:rPr>
          <w:rFonts w:ascii="Times New Roman" w:hAnsi="Times New Roman"/>
          <w:color w:val="262626"/>
          <w:sz w:val="24"/>
          <w:szCs w:val="24"/>
        </w:rPr>
        <w:t xml:space="preserve"> do projeto burguês de sociabilidade em revitalização no Brasil em começos do século XXI.</w:t>
      </w:r>
    </w:p>
    <w:p w:rsidR="002316FF" w:rsidRDefault="004538C7" w:rsidP="002316FF">
      <w:pPr>
        <w:autoSpaceDE w:val="0"/>
        <w:autoSpaceDN w:val="0"/>
        <w:adjustRightInd w:val="0"/>
        <w:spacing w:after="0" w:line="360" w:lineRule="auto"/>
        <w:jc w:val="both"/>
        <w:rPr>
          <w:rFonts w:ascii="Times New Roman" w:hAnsi="Times New Roman"/>
          <w:color w:val="262626"/>
          <w:sz w:val="24"/>
          <w:szCs w:val="24"/>
        </w:rPr>
      </w:pPr>
      <w:r>
        <w:rPr>
          <w:rFonts w:ascii="Times New Roman" w:hAnsi="Times New Roman"/>
          <w:color w:val="262626"/>
          <w:sz w:val="24"/>
          <w:szCs w:val="24"/>
        </w:rPr>
        <w:tab/>
        <w:t xml:space="preserve">Todavia, não se pode deixar de notar a evidente </w:t>
      </w:r>
      <w:r w:rsidRPr="001F3779">
        <w:rPr>
          <w:rFonts w:ascii="Times New Roman" w:hAnsi="Times New Roman"/>
          <w:i/>
          <w:color w:val="262626"/>
          <w:sz w:val="24"/>
          <w:szCs w:val="24"/>
        </w:rPr>
        <w:t>preponderância das pautas empresariais</w:t>
      </w:r>
      <w:r>
        <w:rPr>
          <w:rFonts w:ascii="Times New Roman" w:hAnsi="Times New Roman"/>
          <w:color w:val="262626"/>
          <w:sz w:val="24"/>
          <w:szCs w:val="24"/>
        </w:rPr>
        <w:t xml:space="preserve">, conjugadas a um </w:t>
      </w:r>
      <w:r>
        <w:rPr>
          <w:rFonts w:ascii="Times New Roman" w:hAnsi="Times New Roman"/>
          <w:i/>
          <w:color w:val="262626"/>
          <w:sz w:val="24"/>
          <w:szCs w:val="24"/>
        </w:rPr>
        <w:t xml:space="preserve">mix </w:t>
      </w:r>
      <w:r>
        <w:rPr>
          <w:rFonts w:ascii="Times New Roman" w:hAnsi="Times New Roman"/>
          <w:color w:val="262626"/>
          <w:sz w:val="24"/>
          <w:szCs w:val="24"/>
        </w:rPr>
        <w:t xml:space="preserve">de políticas sociais e trabalhistas, que não raras as vezes aparece atrelado subalternamente e/ou derivado do êxito das questões econômicas alinhavadas. </w:t>
      </w:r>
    </w:p>
    <w:p w:rsidR="00A94690" w:rsidRPr="008B0B2A" w:rsidRDefault="00D61EB3" w:rsidP="002316FF">
      <w:pPr>
        <w:autoSpaceDE w:val="0"/>
        <w:autoSpaceDN w:val="0"/>
        <w:adjustRightInd w:val="0"/>
        <w:spacing w:after="0" w:line="360" w:lineRule="auto"/>
        <w:ind w:firstLine="708"/>
        <w:jc w:val="both"/>
        <w:rPr>
          <w:rFonts w:ascii="Times New Roman" w:hAnsi="Times New Roman"/>
          <w:sz w:val="24"/>
          <w:szCs w:val="24"/>
        </w:rPr>
      </w:pPr>
      <w:r w:rsidRPr="008B0B2A">
        <w:rPr>
          <w:rFonts w:ascii="Times New Roman" w:hAnsi="Times New Roman"/>
          <w:sz w:val="24"/>
          <w:szCs w:val="24"/>
        </w:rPr>
        <w:t>Apesar da</w:t>
      </w:r>
      <w:r w:rsidR="001F3779" w:rsidRPr="008B0B2A">
        <w:rPr>
          <w:rFonts w:ascii="Times New Roman" w:hAnsi="Times New Roman"/>
          <w:sz w:val="24"/>
          <w:szCs w:val="24"/>
        </w:rPr>
        <w:t xml:space="preserve">s pautas </w:t>
      </w:r>
      <w:r w:rsidRPr="008B0B2A">
        <w:rPr>
          <w:rFonts w:ascii="Times New Roman" w:hAnsi="Times New Roman"/>
          <w:sz w:val="24"/>
          <w:szCs w:val="24"/>
        </w:rPr>
        <w:t>empresariais serem</w:t>
      </w:r>
      <w:r w:rsidR="001F3779" w:rsidRPr="008B0B2A">
        <w:rPr>
          <w:rFonts w:ascii="Times New Roman" w:hAnsi="Times New Roman"/>
          <w:sz w:val="24"/>
          <w:szCs w:val="24"/>
        </w:rPr>
        <w:t xml:space="preserve"> bastante diversificadas, </w:t>
      </w:r>
      <w:r w:rsidRPr="008B0B2A">
        <w:rPr>
          <w:rFonts w:ascii="Times New Roman" w:hAnsi="Times New Roman"/>
          <w:sz w:val="24"/>
          <w:szCs w:val="24"/>
        </w:rPr>
        <w:t xml:space="preserve">fica bastante evidente a </w:t>
      </w:r>
      <w:r w:rsidRPr="008B0B2A">
        <w:rPr>
          <w:rFonts w:ascii="Times New Roman" w:hAnsi="Times New Roman"/>
          <w:i/>
          <w:sz w:val="24"/>
          <w:szCs w:val="24"/>
        </w:rPr>
        <w:t>preponderância das demandas do grande capital produtor de valor</w:t>
      </w:r>
      <w:r w:rsidRPr="008B0B2A">
        <w:rPr>
          <w:rFonts w:ascii="Times New Roman" w:hAnsi="Times New Roman"/>
          <w:sz w:val="24"/>
          <w:szCs w:val="24"/>
        </w:rPr>
        <w:t xml:space="preserve"> na Agenda</w:t>
      </w:r>
      <w:r w:rsidR="00801E6A" w:rsidRPr="008B0B2A">
        <w:rPr>
          <w:rFonts w:ascii="Times New Roman" w:hAnsi="Times New Roman"/>
          <w:sz w:val="24"/>
          <w:szCs w:val="24"/>
        </w:rPr>
        <w:t xml:space="preserve"> do CDES</w:t>
      </w:r>
      <w:r w:rsidR="00C062B3" w:rsidRPr="008B0B2A">
        <w:rPr>
          <w:rFonts w:ascii="Times New Roman" w:hAnsi="Times New Roman"/>
          <w:sz w:val="24"/>
          <w:szCs w:val="24"/>
        </w:rPr>
        <w:t>. A</w:t>
      </w:r>
      <w:r w:rsidRPr="008B0B2A">
        <w:rPr>
          <w:rFonts w:ascii="Times New Roman" w:hAnsi="Times New Roman"/>
          <w:sz w:val="24"/>
          <w:szCs w:val="24"/>
        </w:rPr>
        <w:t xml:space="preserve"> lista, não exaustiva, deve necessariamente ressaltar: i) a ênfase no sistema de financiamento público-privado (concessões e PPP’s), principalmente à realização de obras de infraestrutura; ii) </w:t>
      </w:r>
      <w:r w:rsidR="00C062B3" w:rsidRPr="008B0B2A">
        <w:rPr>
          <w:rFonts w:ascii="Times New Roman" w:hAnsi="Times New Roman"/>
          <w:sz w:val="24"/>
          <w:szCs w:val="24"/>
        </w:rPr>
        <w:t>d</w:t>
      </w:r>
      <w:r w:rsidR="00801E6A" w:rsidRPr="008B0B2A">
        <w:rPr>
          <w:rFonts w:ascii="Times New Roman" w:hAnsi="Times New Roman"/>
          <w:sz w:val="24"/>
          <w:szCs w:val="24"/>
        </w:rPr>
        <w:t>inamização de mercados de capit</w:t>
      </w:r>
      <w:r w:rsidR="00C062B3" w:rsidRPr="008B0B2A">
        <w:rPr>
          <w:rFonts w:ascii="Times New Roman" w:hAnsi="Times New Roman"/>
          <w:sz w:val="24"/>
          <w:szCs w:val="24"/>
        </w:rPr>
        <w:t>a</w:t>
      </w:r>
      <w:r w:rsidR="00801E6A" w:rsidRPr="008B0B2A">
        <w:rPr>
          <w:rFonts w:ascii="Times New Roman" w:hAnsi="Times New Roman"/>
          <w:sz w:val="24"/>
          <w:szCs w:val="24"/>
        </w:rPr>
        <w:t>i</w:t>
      </w:r>
      <w:r w:rsidR="00C062B3" w:rsidRPr="008B0B2A">
        <w:rPr>
          <w:rFonts w:ascii="Times New Roman" w:hAnsi="Times New Roman"/>
          <w:sz w:val="24"/>
          <w:szCs w:val="24"/>
        </w:rPr>
        <w:t xml:space="preserve">s; iii) </w:t>
      </w:r>
      <w:r w:rsidRPr="008B0B2A">
        <w:rPr>
          <w:rFonts w:ascii="Times New Roman" w:hAnsi="Times New Roman"/>
          <w:sz w:val="24"/>
          <w:szCs w:val="24"/>
        </w:rPr>
        <w:t xml:space="preserve">a implantação de política nacional de transportes multimodal, de infraestrutura logística e de marco regulatório correspondente a fim de assegurar maior competitividade e desenvolvimento regional; </w:t>
      </w:r>
      <w:r w:rsidR="00C062B3" w:rsidRPr="008B0B2A">
        <w:rPr>
          <w:rFonts w:ascii="Times New Roman" w:hAnsi="Times New Roman"/>
          <w:sz w:val="24"/>
          <w:szCs w:val="24"/>
        </w:rPr>
        <w:t>iv</w:t>
      </w:r>
      <w:r w:rsidRPr="008B0B2A">
        <w:rPr>
          <w:rFonts w:ascii="Times New Roman" w:hAnsi="Times New Roman"/>
          <w:sz w:val="24"/>
          <w:szCs w:val="24"/>
        </w:rPr>
        <w:t>) o aumento do investimento do Estado em ciência e tecnologia</w:t>
      </w:r>
      <w:r w:rsidR="002316FF" w:rsidRPr="008B0B2A">
        <w:rPr>
          <w:rFonts w:ascii="Times New Roman" w:hAnsi="Times New Roman"/>
          <w:sz w:val="24"/>
          <w:szCs w:val="24"/>
        </w:rPr>
        <w:t xml:space="preserve"> (2,0% do PIB)</w:t>
      </w:r>
      <w:r w:rsidRPr="008B0B2A">
        <w:rPr>
          <w:rFonts w:ascii="Times New Roman" w:hAnsi="Times New Roman"/>
          <w:sz w:val="24"/>
          <w:szCs w:val="24"/>
        </w:rPr>
        <w:t>, respondendo à questão da produtividade e da agregação de valor na pauta exportadora; v) incentivo e desoneração das exportações; v</w:t>
      </w:r>
      <w:r w:rsidR="00C062B3" w:rsidRPr="008B0B2A">
        <w:rPr>
          <w:rFonts w:ascii="Times New Roman" w:hAnsi="Times New Roman"/>
          <w:sz w:val="24"/>
          <w:szCs w:val="24"/>
        </w:rPr>
        <w:t>i</w:t>
      </w:r>
      <w:r w:rsidRPr="008B0B2A">
        <w:rPr>
          <w:rFonts w:ascii="Times New Roman" w:hAnsi="Times New Roman"/>
          <w:sz w:val="24"/>
          <w:szCs w:val="24"/>
        </w:rPr>
        <w:t>) o aumento do mercado interno; v</w:t>
      </w:r>
      <w:r w:rsidR="00C062B3" w:rsidRPr="008B0B2A">
        <w:rPr>
          <w:rFonts w:ascii="Times New Roman" w:hAnsi="Times New Roman"/>
          <w:sz w:val="24"/>
          <w:szCs w:val="24"/>
        </w:rPr>
        <w:t>i</w:t>
      </w:r>
      <w:r w:rsidRPr="008B0B2A">
        <w:rPr>
          <w:rFonts w:ascii="Times New Roman" w:hAnsi="Times New Roman"/>
          <w:sz w:val="24"/>
          <w:szCs w:val="24"/>
        </w:rPr>
        <w:t xml:space="preserve">i) desoneração da folha de </w:t>
      </w:r>
      <w:r w:rsidR="00A94690" w:rsidRPr="008B0B2A">
        <w:rPr>
          <w:rFonts w:ascii="Times New Roman" w:hAnsi="Times New Roman"/>
          <w:sz w:val="24"/>
          <w:szCs w:val="24"/>
        </w:rPr>
        <w:t>salários, transferindo os encargos previdenciários e trabalhista para o faturamento;</w:t>
      </w:r>
      <w:r w:rsidRPr="008B0B2A">
        <w:rPr>
          <w:rFonts w:ascii="Times New Roman" w:hAnsi="Times New Roman"/>
          <w:sz w:val="24"/>
          <w:szCs w:val="24"/>
        </w:rPr>
        <w:t xml:space="preserve"> vi</w:t>
      </w:r>
      <w:r w:rsidR="00C062B3" w:rsidRPr="008B0B2A">
        <w:rPr>
          <w:rFonts w:ascii="Times New Roman" w:hAnsi="Times New Roman"/>
          <w:sz w:val="24"/>
          <w:szCs w:val="24"/>
        </w:rPr>
        <w:t>i</w:t>
      </w:r>
      <w:r w:rsidRPr="008B0B2A">
        <w:rPr>
          <w:rFonts w:ascii="Times New Roman" w:hAnsi="Times New Roman"/>
          <w:sz w:val="24"/>
          <w:szCs w:val="24"/>
        </w:rPr>
        <w:t xml:space="preserve">i) desoneração, incentivos e subsídios de ordem tributária (reforma tributária); </w:t>
      </w:r>
      <w:r w:rsidR="00C062B3" w:rsidRPr="008B0B2A">
        <w:rPr>
          <w:rFonts w:ascii="Times New Roman" w:hAnsi="Times New Roman"/>
          <w:sz w:val="24"/>
          <w:szCs w:val="24"/>
        </w:rPr>
        <w:t>ix</w:t>
      </w:r>
      <w:r w:rsidRPr="008B0B2A">
        <w:rPr>
          <w:rFonts w:ascii="Times New Roman" w:hAnsi="Times New Roman"/>
          <w:sz w:val="24"/>
          <w:szCs w:val="24"/>
        </w:rPr>
        <w:t>) investimentos nas áreas de bens de consumo semiduráveis e não duráveis; x) reforma do Estado</w:t>
      </w:r>
      <w:r w:rsidR="00A94690" w:rsidRPr="008B0B2A">
        <w:rPr>
          <w:rFonts w:ascii="Times New Roman" w:hAnsi="Times New Roman"/>
          <w:sz w:val="24"/>
          <w:szCs w:val="24"/>
        </w:rPr>
        <w:t xml:space="preserve"> (gestão orientada para resultados)</w:t>
      </w:r>
      <w:r w:rsidRPr="008B0B2A">
        <w:rPr>
          <w:rFonts w:ascii="Times New Roman" w:hAnsi="Times New Roman"/>
          <w:sz w:val="24"/>
          <w:szCs w:val="24"/>
        </w:rPr>
        <w:t>; x</w:t>
      </w:r>
      <w:r w:rsidR="00C062B3" w:rsidRPr="008B0B2A">
        <w:rPr>
          <w:rFonts w:ascii="Times New Roman" w:hAnsi="Times New Roman"/>
          <w:sz w:val="24"/>
          <w:szCs w:val="24"/>
        </w:rPr>
        <w:t>i</w:t>
      </w:r>
      <w:r w:rsidRPr="008B0B2A">
        <w:rPr>
          <w:rFonts w:ascii="Times New Roman" w:hAnsi="Times New Roman"/>
          <w:sz w:val="24"/>
          <w:szCs w:val="24"/>
        </w:rPr>
        <w:t>) estabilidade macroeconômica; x</w:t>
      </w:r>
      <w:r w:rsidR="00C062B3" w:rsidRPr="008B0B2A">
        <w:rPr>
          <w:rFonts w:ascii="Times New Roman" w:hAnsi="Times New Roman"/>
          <w:sz w:val="24"/>
          <w:szCs w:val="24"/>
        </w:rPr>
        <w:t>i</w:t>
      </w:r>
      <w:r w:rsidRPr="008B0B2A">
        <w:rPr>
          <w:rFonts w:ascii="Times New Roman" w:hAnsi="Times New Roman"/>
          <w:sz w:val="24"/>
          <w:szCs w:val="24"/>
        </w:rPr>
        <w:t>i) ênfase na educação técnico-profissional e na articulação universidades-empresas; xi</w:t>
      </w:r>
      <w:r w:rsidR="00C062B3" w:rsidRPr="008B0B2A">
        <w:rPr>
          <w:rFonts w:ascii="Times New Roman" w:hAnsi="Times New Roman"/>
          <w:sz w:val="24"/>
          <w:szCs w:val="24"/>
        </w:rPr>
        <w:t>i</w:t>
      </w:r>
      <w:r w:rsidRPr="008B0B2A">
        <w:rPr>
          <w:rFonts w:ascii="Times New Roman" w:hAnsi="Times New Roman"/>
          <w:sz w:val="24"/>
          <w:szCs w:val="24"/>
        </w:rPr>
        <w:t xml:space="preserve">i) privilegiamento de fontes renováveis de energia; </w:t>
      </w:r>
      <w:r w:rsidR="00C062B3" w:rsidRPr="008B0B2A">
        <w:rPr>
          <w:rFonts w:ascii="Times New Roman" w:hAnsi="Times New Roman"/>
          <w:sz w:val="24"/>
          <w:szCs w:val="24"/>
        </w:rPr>
        <w:t>x</w:t>
      </w:r>
      <w:r w:rsidR="002316FF" w:rsidRPr="008B0B2A">
        <w:rPr>
          <w:rFonts w:ascii="Times New Roman" w:hAnsi="Times New Roman"/>
          <w:sz w:val="24"/>
          <w:szCs w:val="24"/>
        </w:rPr>
        <w:t>i</w:t>
      </w:r>
      <w:r w:rsidR="00C062B3" w:rsidRPr="008B0B2A">
        <w:rPr>
          <w:rFonts w:ascii="Times New Roman" w:hAnsi="Times New Roman"/>
          <w:sz w:val="24"/>
          <w:szCs w:val="24"/>
        </w:rPr>
        <w:t>v) valorização das ag</w:t>
      </w:r>
      <w:r w:rsidR="002316FF" w:rsidRPr="008B0B2A">
        <w:rPr>
          <w:rFonts w:ascii="Times New Roman" w:hAnsi="Times New Roman"/>
          <w:sz w:val="24"/>
          <w:szCs w:val="24"/>
        </w:rPr>
        <w:t xml:space="preserve">ências reguladoras; xv) </w:t>
      </w:r>
      <w:r w:rsidR="000E004A" w:rsidRPr="008B0B2A">
        <w:rPr>
          <w:rFonts w:ascii="Times New Roman" w:hAnsi="Times New Roman"/>
          <w:sz w:val="24"/>
          <w:szCs w:val="24"/>
        </w:rPr>
        <w:t>i</w:t>
      </w:r>
      <w:r w:rsidR="00C062B3" w:rsidRPr="008B0B2A">
        <w:rPr>
          <w:rFonts w:ascii="Times New Roman" w:hAnsi="Times New Roman"/>
          <w:sz w:val="24"/>
          <w:szCs w:val="24"/>
        </w:rPr>
        <w:t>dentificar áreas com maior proporção de miséria/pobreza (...) [para] identificar potenciais produtivos e as oportunidades nessas áreas e promover (...) capacitação e assistência técnica (...) suportada em acordo social-público-privado</w:t>
      </w:r>
      <w:r w:rsidR="002316FF" w:rsidRPr="008B0B2A">
        <w:rPr>
          <w:rFonts w:ascii="Times New Roman" w:hAnsi="Times New Roman"/>
          <w:sz w:val="24"/>
          <w:szCs w:val="24"/>
        </w:rPr>
        <w:t xml:space="preserve">; xvi) </w:t>
      </w:r>
      <w:r w:rsidR="00A94690" w:rsidRPr="008B0B2A">
        <w:rPr>
          <w:rFonts w:ascii="Times New Roman" w:hAnsi="Times New Roman"/>
          <w:sz w:val="24"/>
          <w:szCs w:val="24"/>
        </w:rPr>
        <w:t>Investimento em P</w:t>
      </w:r>
      <w:r w:rsidR="00801E6A" w:rsidRPr="008B0B2A">
        <w:rPr>
          <w:rFonts w:ascii="Times New Roman" w:hAnsi="Times New Roman"/>
          <w:sz w:val="24"/>
          <w:szCs w:val="24"/>
        </w:rPr>
        <w:t xml:space="preserve">&amp;D em todas as regiões do país. </w:t>
      </w:r>
    </w:p>
    <w:p w:rsidR="004538C7" w:rsidRDefault="004538C7" w:rsidP="002316FF">
      <w:pPr>
        <w:autoSpaceDE w:val="0"/>
        <w:autoSpaceDN w:val="0"/>
        <w:adjustRightInd w:val="0"/>
        <w:spacing w:after="0" w:line="360" w:lineRule="auto"/>
        <w:ind w:firstLine="708"/>
        <w:jc w:val="both"/>
        <w:rPr>
          <w:rFonts w:ascii="Times New Roman" w:hAnsi="Times New Roman"/>
          <w:color w:val="262626"/>
          <w:sz w:val="24"/>
          <w:szCs w:val="24"/>
        </w:rPr>
      </w:pPr>
      <w:r>
        <w:rPr>
          <w:rFonts w:ascii="Times New Roman" w:hAnsi="Times New Roman"/>
          <w:color w:val="262626"/>
          <w:sz w:val="24"/>
          <w:szCs w:val="24"/>
        </w:rPr>
        <w:t>A temática estatal também atravessa o documento, ligada indubitavelmente à proposta de reforma da sua gestão, traduzida na incorporação de procedimentos e lugares-comuns discursivos oriundos da administração empresarial, tais como “parceria” com o setor privado (leia-se: privatização), “desburocratização”, “descentralização”, “eficiência”, “gestão voltada para resultados”, coligados a elementos caros às históricas lutas populares, mas esvaziados e depurados de qualquer potencial e sentido organizativo efetivamente contra-hegemônico, isto é, socializante, entretanto bastante em voga em tempos de social-liberalismo, como os suscitados pelo “controle social”, inexoravelmente vinculado à “participação” e à “democratização”.</w:t>
      </w:r>
    </w:p>
    <w:p w:rsidR="004538C7" w:rsidRPr="0075075B" w:rsidRDefault="004538C7" w:rsidP="004538C7">
      <w:pPr>
        <w:autoSpaceDE w:val="0"/>
        <w:autoSpaceDN w:val="0"/>
        <w:adjustRightInd w:val="0"/>
        <w:spacing w:after="0" w:line="360" w:lineRule="auto"/>
        <w:jc w:val="both"/>
        <w:rPr>
          <w:rFonts w:ascii="Times New Roman" w:hAnsi="Times New Roman"/>
          <w:color w:val="262626"/>
          <w:sz w:val="24"/>
          <w:szCs w:val="24"/>
        </w:rPr>
      </w:pPr>
      <w:r>
        <w:rPr>
          <w:rFonts w:ascii="Times New Roman" w:hAnsi="Times New Roman"/>
          <w:color w:val="262626"/>
          <w:sz w:val="24"/>
          <w:szCs w:val="24"/>
        </w:rPr>
        <w:tab/>
        <w:t xml:space="preserve">A manifestação mais explícita e contundente da inserção das aspirações </w:t>
      </w:r>
      <w:r w:rsidR="002316FF">
        <w:rPr>
          <w:rFonts w:ascii="Times New Roman" w:hAnsi="Times New Roman"/>
          <w:color w:val="262626"/>
          <w:sz w:val="24"/>
          <w:szCs w:val="24"/>
        </w:rPr>
        <w:t>do grande empresariado produtor de valor n</w:t>
      </w:r>
      <w:r>
        <w:rPr>
          <w:rFonts w:ascii="Times New Roman" w:hAnsi="Times New Roman"/>
          <w:color w:val="262626"/>
          <w:sz w:val="24"/>
          <w:szCs w:val="24"/>
        </w:rPr>
        <w:t xml:space="preserve">a AND foi, sem dúvida, sua absorção, praticamente absoluta, das propostas contidas no documento apresentado pelo presidente da FIEP, o conselheiro Rodrigo Loures, na 10ª Reunião Plenária, intitulado </w:t>
      </w:r>
      <w:r>
        <w:rPr>
          <w:rFonts w:ascii="Times New Roman" w:hAnsi="Times New Roman"/>
          <w:sz w:val="24"/>
          <w:szCs w:val="24"/>
        </w:rPr>
        <w:t xml:space="preserve">“Contribuições da FIEP para a Política Econômica Brasileira”, a qual teve aderência o IEDI e a </w:t>
      </w:r>
      <w:r w:rsidR="000834BC">
        <w:rPr>
          <w:rFonts w:ascii="Times New Roman" w:hAnsi="Times New Roman"/>
          <w:sz w:val="24"/>
          <w:szCs w:val="24"/>
        </w:rPr>
        <w:t>FIESP</w:t>
      </w:r>
      <w:r>
        <w:rPr>
          <w:rFonts w:ascii="Times New Roman" w:hAnsi="Times New Roman"/>
          <w:sz w:val="24"/>
          <w:szCs w:val="24"/>
        </w:rPr>
        <w:t>. A segunda diretriz traçada para o cumprimento do “Objetivo IV” (c</w:t>
      </w:r>
      <w:r w:rsidRPr="006D3390">
        <w:rPr>
          <w:rFonts w:ascii="Times New Roman" w:hAnsi="Times New Roman"/>
          <w:sz w:val="24"/>
          <w:szCs w:val="24"/>
        </w:rPr>
        <w:t>onstruir um sistema de financiamento do investimento eficiente e eficaz, uma estrutura tributária simplificada e racional, com tributos de qualidade, progressiva e estimuladora da produção e do emprego)</w:t>
      </w:r>
      <w:r>
        <w:rPr>
          <w:rFonts w:ascii="Times New Roman" w:hAnsi="Times New Roman"/>
          <w:sz w:val="24"/>
          <w:szCs w:val="24"/>
        </w:rPr>
        <w:t xml:space="preserve"> trazia, </w:t>
      </w:r>
      <w:r>
        <w:rPr>
          <w:rFonts w:ascii="Times New Roman" w:hAnsi="Times New Roman"/>
          <w:i/>
          <w:sz w:val="24"/>
          <w:szCs w:val="24"/>
        </w:rPr>
        <w:t>ipsis litteris</w:t>
      </w:r>
      <w:r>
        <w:rPr>
          <w:rFonts w:ascii="Times New Roman" w:hAnsi="Times New Roman"/>
          <w:sz w:val="24"/>
          <w:szCs w:val="24"/>
        </w:rPr>
        <w:t xml:space="preserve">, as demandas expostas pelo referido documento da entidade empresarial paranaense. O quadro abaixo coteja, ponto a ponto, as propostas contidas em ambos os documentos: </w:t>
      </w:r>
    </w:p>
    <w:p w:rsidR="004538C7" w:rsidRPr="00581DFB" w:rsidRDefault="004538C7" w:rsidP="004538C7">
      <w:pPr>
        <w:tabs>
          <w:tab w:val="left" w:pos="0"/>
        </w:tabs>
        <w:autoSpaceDE w:val="0"/>
        <w:autoSpaceDN w:val="0"/>
        <w:adjustRightInd w:val="0"/>
        <w:spacing w:before="240" w:line="360" w:lineRule="auto"/>
        <w:jc w:val="center"/>
        <w:rPr>
          <w:rFonts w:ascii="Times New Roman" w:hAnsi="Times New Roman"/>
          <w:b/>
          <w:color w:val="262626"/>
          <w:sz w:val="24"/>
          <w:szCs w:val="24"/>
        </w:rPr>
      </w:pPr>
      <w:r>
        <w:rPr>
          <w:rFonts w:ascii="Times New Roman" w:hAnsi="Times New Roman"/>
          <w:b/>
          <w:color w:val="262626"/>
          <w:sz w:val="24"/>
          <w:szCs w:val="24"/>
        </w:rPr>
        <w:t>Quadro 3.</w:t>
      </w:r>
      <w:r w:rsidR="00DA6866">
        <w:rPr>
          <w:rFonts w:ascii="Times New Roman" w:hAnsi="Times New Roman"/>
          <w:b/>
          <w:color w:val="262626"/>
          <w:sz w:val="24"/>
          <w:szCs w:val="24"/>
        </w:rPr>
        <w:t>4</w:t>
      </w:r>
      <w:r>
        <w:rPr>
          <w:rFonts w:ascii="Times New Roman" w:hAnsi="Times New Roman"/>
          <w:b/>
          <w:color w:val="262626"/>
          <w:sz w:val="24"/>
          <w:szCs w:val="24"/>
        </w:rPr>
        <w:t xml:space="preserve"> – Comparação entre a segunda diretriz do objetivo IV da AND e as propostas do documento da FIEP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4536"/>
      </w:tblGrid>
      <w:tr w:rsidR="004538C7" w:rsidRPr="008211FD" w:rsidTr="006640DD">
        <w:tc>
          <w:tcPr>
            <w:tcW w:w="4536" w:type="dxa"/>
          </w:tcPr>
          <w:p w:rsidR="004538C7" w:rsidRPr="008211FD" w:rsidRDefault="004538C7" w:rsidP="008211FD">
            <w:pPr>
              <w:autoSpaceDE w:val="0"/>
              <w:autoSpaceDN w:val="0"/>
              <w:adjustRightInd w:val="0"/>
              <w:spacing w:after="0" w:line="360" w:lineRule="auto"/>
              <w:jc w:val="both"/>
              <w:rPr>
                <w:rFonts w:ascii="Times New Roman" w:hAnsi="Times New Roman"/>
                <w:b/>
                <w:color w:val="262626"/>
                <w:sz w:val="24"/>
                <w:szCs w:val="24"/>
              </w:rPr>
            </w:pPr>
            <w:r w:rsidRPr="008211FD">
              <w:rPr>
                <w:rFonts w:ascii="Times New Roman" w:hAnsi="Times New Roman"/>
                <w:b/>
                <w:color w:val="262626"/>
                <w:sz w:val="24"/>
                <w:szCs w:val="24"/>
              </w:rPr>
              <w:t>2ª Diretriz do objetivo IV da AND</w:t>
            </w:r>
          </w:p>
        </w:tc>
        <w:tc>
          <w:tcPr>
            <w:tcW w:w="4536" w:type="dxa"/>
          </w:tcPr>
          <w:p w:rsidR="004538C7" w:rsidRPr="008211FD" w:rsidRDefault="004538C7" w:rsidP="008211FD">
            <w:pPr>
              <w:autoSpaceDE w:val="0"/>
              <w:autoSpaceDN w:val="0"/>
              <w:adjustRightInd w:val="0"/>
              <w:spacing w:after="0" w:line="360" w:lineRule="auto"/>
              <w:jc w:val="both"/>
              <w:rPr>
                <w:rFonts w:ascii="Times New Roman" w:hAnsi="Times New Roman"/>
                <w:b/>
                <w:color w:val="262626"/>
                <w:sz w:val="24"/>
                <w:szCs w:val="24"/>
              </w:rPr>
            </w:pPr>
            <w:r w:rsidRPr="008211FD">
              <w:rPr>
                <w:rFonts w:ascii="Times New Roman" w:hAnsi="Times New Roman"/>
                <w:b/>
                <w:color w:val="262626"/>
                <w:sz w:val="24"/>
                <w:szCs w:val="24"/>
              </w:rPr>
              <w:t>Documento da FIEP</w:t>
            </w:r>
          </w:p>
        </w:tc>
      </w:tr>
      <w:tr w:rsidR="004538C7" w:rsidRPr="008211FD" w:rsidTr="006640DD">
        <w:tc>
          <w:tcPr>
            <w:tcW w:w="4536" w:type="dxa"/>
          </w:tcPr>
          <w:p w:rsidR="004538C7" w:rsidRPr="008211FD" w:rsidRDefault="004538C7" w:rsidP="008211FD">
            <w:pPr>
              <w:pStyle w:val="PargrafodaLista"/>
              <w:numPr>
                <w:ilvl w:val="0"/>
                <w:numId w:val="12"/>
              </w:numPr>
              <w:autoSpaceDE w:val="0"/>
              <w:autoSpaceDN w:val="0"/>
              <w:adjustRightInd w:val="0"/>
              <w:spacing w:after="0" w:line="240" w:lineRule="auto"/>
              <w:ind w:left="142" w:hanging="142"/>
              <w:rPr>
                <w:rFonts w:ascii="Times New Roman" w:hAnsi="Times New Roman"/>
                <w:sz w:val="18"/>
                <w:szCs w:val="18"/>
              </w:rPr>
            </w:pPr>
            <w:r w:rsidRPr="008211FD">
              <w:rPr>
                <w:rFonts w:ascii="Times New Roman" w:hAnsi="Times New Roman"/>
                <w:sz w:val="18"/>
                <w:szCs w:val="18"/>
              </w:rPr>
              <w:t xml:space="preserve">Ampliar a composição do Conselho Monetário Nacional para no máximo nove integrantes, passando a incluir membros da sociedade, assegurada maioria aos representantes do Governo. </w:t>
            </w:r>
          </w:p>
          <w:p w:rsidR="004538C7" w:rsidRPr="008211FD" w:rsidRDefault="004538C7" w:rsidP="008211FD">
            <w:pPr>
              <w:pStyle w:val="PargrafodaLista"/>
              <w:autoSpaceDE w:val="0"/>
              <w:autoSpaceDN w:val="0"/>
              <w:adjustRightInd w:val="0"/>
              <w:spacing w:after="0" w:line="240" w:lineRule="auto"/>
              <w:ind w:left="142" w:hanging="142"/>
              <w:rPr>
                <w:rFonts w:ascii="Times New Roman" w:hAnsi="Times New Roman"/>
                <w:sz w:val="18"/>
                <w:szCs w:val="18"/>
              </w:rPr>
            </w:pPr>
          </w:p>
          <w:p w:rsidR="004538C7" w:rsidRPr="008211FD" w:rsidRDefault="004538C7" w:rsidP="008211FD">
            <w:pPr>
              <w:pStyle w:val="PargrafodaLista"/>
              <w:autoSpaceDE w:val="0"/>
              <w:autoSpaceDN w:val="0"/>
              <w:adjustRightInd w:val="0"/>
              <w:spacing w:after="0" w:line="240" w:lineRule="auto"/>
              <w:ind w:left="142" w:hanging="142"/>
              <w:rPr>
                <w:rFonts w:ascii="Times New Roman" w:hAnsi="Times New Roman"/>
                <w:sz w:val="18"/>
                <w:szCs w:val="18"/>
              </w:rPr>
            </w:pPr>
          </w:p>
          <w:p w:rsidR="004538C7" w:rsidRPr="008211FD" w:rsidRDefault="004538C7" w:rsidP="008211FD">
            <w:pPr>
              <w:pStyle w:val="PargrafodaLista"/>
              <w:numPr>
                <w:ilvl w:val="0"/>
                <w:numId w:val="12"/>
              </w:numPr>
              <w:autoSpaceDE w:val="0"/>
              <w:autoSpaceDN w:val="0"/>
              <w:adjustRightInd w:val="0"/>
              <w:spacing w:after="0" w:line="240" w:lineRule="auto"/>
              <w:ind w:left="142" w:hanging="142"/>
              <w:rPr>
                <w:rFonts w:ascii="Times New Roman" w:hAnsi="Times New Roman"/>
                <w:sz w:val="18"/>
                <w:szCs w:val="18"/>
              </w:rPr>
            </w:pPr>
            <w:r w:rsidRPr="008211FD">
              <w:rPr>
                <w:rFonts w:ascii="Times New Roman" w:hAnsi="Times New Roman"/>
                <w:sz w:val="18"/>
                <w:szCs w:val="18"/>
              </w:rPr>
              <w:t xml:space="preserve">Criar, junto ao Gabinete do Presidente da República, um conselho de assessores econômicos, integrado por renomados especialistas, com a função de auxiliar na formulação e avaliação da execução da política econômica. </w:t>
            </w:r>
          </w:p>
          <w:p w:rsidR="004538C7" w:rsidRPr="008211FD" w:rsidRDefault="004538C7" w:rsidP="008211FD">
            <w:pPr>
              <w:pStyle w:val="PargrafodaLista"/>
              <w:numPr>
                <w:ilvl w:val="0"/>
                <w:numId w:val="12"/>
              </w:numPr>
              <w:autoSpaceDE w:val="0"/>
              <w:autoSpaceDN w:val="0"/>
              <w:adjustRightInd w:val="0"/>
              <w:spacing w:after="0" w:line="240" w:lineRule="auto"/>
              <w:ind w:left="142" w:hanging="142"/>
              <w:rPr>
                <w:rFonts w:ascii="Times New Roman" w:hAnsi="Times New Roman"/>
                <w:sz w:val="18"/>
                <w:szCs w:val="18"/>
              </w:rPr>
            </w:pPr>
            <w:r w:rsidRPr="008211FD">
              <w:rPr>
                <w:rFonts w:ascii="Times New Roman" w:hAnsi="Times New Roman"/>
                <w:sz w:val="18"/>
                <w:szCs w:val="18"/>
              </w:rPr>
              <w:t xml:space="preserve">Sintonizar a política macroeconômica (monetária, cambial, tributário-fiscal), com os objetivos maiores do governo e os estabelecidos nessa Agenda Nacional de Desenvolvimento, mediante: 1) a redução progressiva dos depósitos compulsórios; 2) a conclusão do processo de desindexação da economia (abrir negociações para eliminar cláusulas de indexação automática dos contratos de concessão de serviços públicos) e 3) a aceleração dos estudos para definir um novo padrão de indicadores de preços, com vistas a implantar a metodologia de “núcleo de inflação”. </w:t>
            </w:r>
          </w:p>
          <w:p w:rsidR="004538C7" w:rsidRPr="008211FD" w:rsidRDefault="004538C7" w:rsidP="008211FD">
            <w:pPr>
              <w:pStyle w:val="PargrafodaLista"/>
              <w:numPr>
                <w:ilvl w:val="0"/>
                <w:numId w:val="12"/>
              </w:numPr>
              <w:autoSpaceDE w:val="0"/>
              <w:autoSpaceDN w:val="0"/>
              <w:adjustRightInd w:val="0"/>
              <w:spacing w:after="0" w:line="240" w:lineRule="auto"/>
              <w:ind w:left="142" w:hanging="142"/>
              <w:rPr>
                <w:rFonts w:ascii="Times New Roman" w:hAnsi="Times New Roman"/>
                <w:color w:val="262626"/>
                <w:sz w:val="18"/>
                <w:szCs w:val="18"/>
              </w:rPr>
            </w:pPr>
            <w:r w:rsidRPr="008211FD">
              <w:rPr>
                <w:rFonts w:ascii="Times New Roman" w:hAnsi="Times New Roman"/>
                <w:sz w:val="18"/>
                <w:szCs w:val="18"/>
              </w:rPr>
              <w:t>Conceber e implementar os mecanismos legais que possibilitem a repatriação de capitais de brasileiros transferidos para o exterior.</w:t>
            </w:r>
          </w:p>
        </w:tc>
        <w:tc>
          <w:tcPr>
            <w:tcW w:w="4536" w:type="dxa"/>
          </w:tcPr>
          <w:p w:rsidR="004538C7" w:rsidRPr="008211FD" w:rsidRDefault="004538C7" w:rsidP="008211FD">
            <w:pPr>
              <w:pStyle w:val="PargrafodaLista"/>
              <w:numPr>
                <w:ilvl w:val="0"/>
                <w:numId w:val="12"/>
              </w:numPr>
              <w:autoSpaceDE w:val="0"/>
              <w:autoSpaceDN w:val="0"/>
              <w:adjustRightInd w:val="0"/>
              <w:spacing w:after="0" w:line="240" w:lineRule="auto"/>
              <w:ind w:left="73" w:hanging="142"/>
              <w:rPr>
                <w:rFonts w:ascii="Times New Roman" w:hAnsi="Times New Roman"/>
                <w:color w:val="262626"/>
                <w:sz w:val="18"/>
                <w:szCs w:val="18"/>
              </w:rPr>
            </w:pPr>
            <w:r w:rsidRPr="008211FD">
              <w:rPr>
                <w:rFonts w:ascii="Times New Roman" w:hAnsi="Times New Roman"/>
                <w:color w:val="262626"/>
                <w:sz w:val="18"/>
                <w:szCs w:val="18"/>
              </w:rPr>
              <w:t>Ampliar o número de membros do CMN. Além dos três membros atuais, integrariam o CMN: o Ministro do MDIC, o Ministro da C &amp; T, o Presidente do BNDES e três representantes da sociedade, indicados pelas confederações empresariais, centrais sindicais e pela Associação de Pós-Graduação em Economia.</w:t>
            </w:r>
            <w:r w:rsidRPr="008211FD">
              <w:rPr>
                <w:rStyle w:val="Refdenotaderodap"/>
                <w:rFonts w:ascii="Times New Roman" w:hAnsi="Times New Roman"/>
                <w:color w:val="262626"/>
                <w:sz w:val="18"/>
                <w:szCs w:val="18"/>
              </w:rPr>
              <w:footnoteReference w:id="486"/>
            </w:r>
          </w:p>
          <w:p w:rsidR="004538C7" w:rsidRPr="008211FD" w:rsidRDefault="004538C7" w:rsidP="008211FD">
            <w:pPr>
              <w:pStyle w:val="PargrafodaLista"/>
              <w:numPr>
                <w:ilvl w:val="0"/>
                <w:numId w:val="12"/>
              </w:numPr>
              <w:autoSpaceDE w:val="0"/>
              <w:autoSpaceDN w:val="0"/>
              <w:adjustRightInd w:val="0"/>
              <w:spacing w:after="0" w:line="240" w:lineRule="auto"/>
              <w:ind w:left="73" w:hanging="142"/>
              <w:rPr>
                <w:rFonts w:ascii="Times New Roman" w:hAnsi="Times New Roman"/>
                <w:color w:val="262626"/>
                <w:sz w:val="18"/>
                <w:szCs w:val="18"/>
              </w:rPr>
            </w:pPr>
            <w:r w:rsidRPr="008211FD">
              <w:rPr>
                <w:rFonts w:ascii="Times New Roman" w:hAnsi="Times New Roman"/>
                <w:color w:val="262626"/>
                <w:sz w:val="18"/>
                <w:szCs w:val="18"/>
              </w:rPr>
              <w:t>Criar o Conselho Econômico da Presidência. Um grupo de cinco a sete profissionais com notório conhecimento em Economia, sem funções no Executivo, comporia um corpo auxiliar de aconselhamento, agregando outros profissionais para discussão de pontos específicos.</w:t>
            </w:r>
          </w:p>
          <w:p w:rsidR="004538C7" w:rsidRPr="008211FD" w:rsidRDefault="004538C7" w:rsidP="008211FD">
            <w:pPr>
              <w:pStyle w:val="PargrafodaLista"/>
              <w:numPr>
                <w:ilvl w:val="0"/>
                <w:numId w:val="12"/>
              </w:numPr>
              <w:autoSpaceDE w:val="0"/>
              <w:autoSpaceDN w:val="0"/>
              <w:adjustRightInd w:val="0"/>
              <w:spacing w:after="0" w:line="240" w:lineRule="auto"/>
              <w:ind w:left="73" w:hanging="142"/>
              <w:rPr>
                <w:rFonts w:ascii="Times New Roman" w:hAnsi="Times New Roman"/>
                <w:color w:val="262626"/>
                <w:sz w:val="18"/>
                <w:szCs w:val="18"/>
              </w:rPr>
            </w:pPr>
            <w:r w:rsidRPr="008211FD">
              <w:rPr>
                <w:rFonts w:ascii="Times New Roman" w:hAnsi="Times New Roman"/>
                <w:color w:val="262626"/>
                <w:sz w:val="18"/>
                <w:szCs w:val="18"/>
              </w:rPr>
              <w:t>Sintonizar a política monetária com a política econômica geral. O sistema de metas de inflação deve ter como objetivo a estabilidade da inflação em longo prazo e a redução da volatilidade da produção no curto prazo.</w:t>
            </w:r>
          </w:p>
          <w:p w:rsidR="004538C7" w:rsidRPr="008211FD" w:rsidRDefault="004538C7" w:rsidP="008211FD">
            <w:pPr>
              <w:pStyle w:val="PargrafodaLista"/>
              <w:numPr>
                <w:ilvl w:val="0"/>
                <w:numId w:val="12"/>
              </w:numPr>
              <w:autoSpaceDE w:val="0"/>
              <w:autoSpaceDN w:val="0"/>
              <w:adjustRightInd w:val="0"/>
              <w:spacing w:after="0" w:line="240" w:lineRule="auto"/>
              <w:ind w:left="73" w:hanging="142"/>
              <w:rPr>
                <w:rFonts w:ascii="Times New Roman" w:hAnsi="Times New Roman"/>
                <w:color w:val="262626"/>
                <w:sz w:val="18"/>
                <w:szCs w:val="18"/>
              </w:rPr>
            </w:pPr>
            <w:r w:rsidRPr="008211FD">
              <w:rPr>
                <w:rFonts w:ascii="Times New Roman" w:hAnsi="Times New Roman"/>
                <w:color w:val="262626"/>
                <w:sz w:val="18"/>
                <w:szCs w:val="18"/>
              </w:rPr>
              <w:t>Implementar sistema baseado no “núcleo da inflação”.</w:t>
            </w:r>
          </w:p>
          <w:p w:rsidR="004538C7" w:rsidRPr="008211FD" w:rsidRDefault="004538C7" w:rsidP="008211FD">
            <w:pPr>
              <w:autoSpaceDE w:val="0"/>
              <w:autoSpaceDN w:val="0"/>
              <w:adjustRightInd w:val="0"/>
              <w:spacing w:after="0" w:line="240" w:lineRule="auto"/>
              <w:ind w:left="-69"/>
              <w:rPr>
                <w:rFonts w:ascii="Times New Roman" w:hAnsi="Times New Roman"/>
                <w:color w:val="262626"/>
                <w:sz w:val="18"/>
                <w:szCs w:val="18"/>
              </w:rPr>
            </w:pPr>
            <w:r w:rsidRPr="008211FD">
              <w:rPr>
                <w:rFonts w:ascii="Times New Roman" w:hAnsi="Times New Roman"/>
                <w:i/>
                <w:color w:val="262626"/>
                <w:sz w:val="18"/>
                <w:szCs w:val="18"/>
              </w:rPr>
              <w:t>Proposições Adicionais</w:t>
            </w:r>
            <w:r w:rsidRPr="008211FD">
              <w:rPr>
                <w:rFonts w:ascii="Times New Roman" w:hAnsi="Times New Roman"/>
                <w:color w:val="262626"/>
                <w:sz w:val="18"/>
                <w:szCs w:val="18"/>
              </w:rPr>
              <w:t>:</w:t>
            </w:r>
          </w:p>
          <w:p w:rsidR="004538C7" w:rsidRPr="008211FD" w:rsidRDefault="004538C7" w:rsidP="008211FD">
            <w:pPr>
              <w:pStyle w:val="PargrafodaLista"/>
              <w:numPr>
                <w:ilvl w:val="0"/>
                <w:numId w:val="13"/>
              </w:numPr>
              <w:autoSpaceDE w:val="0"/>
              <w:autoSpaceDN w:val="0"/>
              <w:adjustRightInd w:val="0"/>
              <w:spacing w:after="0" w:line="240" w:lineRule="auto"/>
              <w:ind w:left="73" w:hanging="142"/>
              <w:rPr>
                <w:rFonts w:ascii="Times New Roman" w:hAnsi="Times New Roman"/>
                <w:color w:val="262626"/>
                <w:sz w:val="18"/>
                <w:szCs w:val="18"/>
              </w:rPr>
            </w:pPr>
            <w:r w:rsidRPr="008211FD">
              <w:rPr>
                <w:rFonts w:ascii="Times New Roman" w:hAnsi="Times New Roman"/>
                <w:color w:val="262626"/>
                <w:sz w:val="18"/>
                <w:szCs w:val="18"/>
              </w:rPr>
              <w:t>Redução do spread bancário.</w:t>
            </w:r>
          </w:p>
          <w:p w:rsidR="004538C7" w:rsidRPr="008211FD" w:rsidRDefault="004538C7" w:rsidP="008211FD">
            <w:pPr>
              <w:pStyle w:val="PargrafodaLista"/>
              <w:numPr>
                <w:ilvl w:val="0"/>
                <w:numId w:val="13"/>
              </w:numPr>
              <w:autoSpaceDE w:val="0"/>
              <w:autoSpaceDN w:val="0"/>
              <w:adjustRightInd w:val="0"/>
              <w:spacing w:after="0" w:line="240" w:lineRule="auto"/>
              <w:ind w:left="73" w:hanging="142"/>
              <w:rPr>
                <w:rFonts w:ascii="Times New Roman" w:hAnsi="Times New Roman"/>
                <w:color w:val="262626"/>
                <w:sz w:val="18"/>
                <w:szCs w:val="18"/>
              </w:rPr>
            </w:pPr>
            <w:r w:rsidRPr="008211FD">
              <w:rPr>
                <w:rFonts w:ascii="Times New Roman" w:hAnsi="Times New Roman"/>
                <w:color w:val="262626"/>
                <w:sz w:val="18"/>
                <w:szCs w:val="18"/>
              </w:rPr>
              <w:t>Completar o processo total de desindexação da economia.</w:t>
            </w:r>
          </w:p>
          <w:p w:rsidR="004538C7" w:rsidRPr="008211FD" w:rsidRDefault="004538C7" w:rsidP="008211FD">
            <w:pPr>
              <w:pStyle w:val="PargrafodaLista"/>
              <w:numPr>
                <w:ilvl w:val="0"/>
                <w:numId w:val="13"/>
              </w:numPr>
              <w:autoSpaceDE w:val="0"/>
              <w:autoSpaceDN w:val="0"/>
              <w:adjustRightInd w:val="0"/>
              <w:spacing w:after="0" w:line="240" w:lineRule="auto"/>
              <w:ind w:left="73" w:hanging="142"/>
              <w:rPr>
                <w:rFonts w:ascii="Times New Roman" w:hAnsi="Times New Roman"/>
                <w:color w:val="262626"/>
                <w:sz w:val="18"/>
                <w:szCs w:val="18"/>
              </w:rPr>
            </w:pPr>
            <w:r w:rsidRPr="008211FD">
              <w:rPr>
                <w:rFonts w:ascii="Times New Roman" w:hAnsi="Times New Roman"/>
                <w:color w:val="262626"/>
                <w:sz w:val="18"/>
                <w:szCs w:val="18"/>
              </w:rPr>
              <w:t>Redução da vulnerabilidade externa da economia brasileira.</w:t>
            </w:r>
          </w:p>
          <w:p w:rsidR="004538C7" w:rsidRPr="008211FD" w:rsidRDefault="004538C7" w:rsidP="008211FD">
            <w:pPr>
              <w:pStyle w:val="PargrafodaLista"/>
              <w:numPr>
                <w:ilvl w:val="0"/>
                <w:numId w:val="13"/>
              </w:numPr>
              <w:autoSpaceDE w:val="0"/>
              <w:autoSpaceDN w:val="0"/>
              <w:adjustRightInd w:val="0"/>
              <w:spacing w:after="0" w:line="240" w:lineRule="auto"/>
              <w:ind w:left="73" w:hanging="142"/>
              <w:rPr>
                <w:rFonts w:ascii="Times New Roman" w:hAnsi="Times New Roman"/>
                <w:color w:val="262626"/>
                <w:sz w:val="18"/>
                <w:szCs w:val="18"/>
              </w:rPr>
            </w:pPr>
            <w:r w:rsidRPr="008211FD">
              <w:rPr>
                <w:rFonts w:ascii="Times New Roman" w:hAnsi="Times New Roman"/>
                <w:color w:val="262626"/>
                <w:sz w:val="18"/>
                <w:szCs w:val="18"/>
              </w:rPr>
              <w:t>Incentivo fiscal à repatriação de capitais.</w:t>
            </w:r>
            <w:r w:rsidRPr="008211FD">
              <w:rPr>
                <w:rStyle w:val="Refdenotaderodap"/>
                <w:rFonts w:ascii="Times New Roman" w:hAnsi="Times New Roman"/>
                <w:color w:val="262626"/>
                <w:sz w:val="18"/>
                <w:szCs w:val="18"/>
              </w:rPr>
              <w:footnoteReference w:id="487"/>
            </w:r>
          </w:p>
        </w:tc>
      </w:tr>
    </w:tbl>
    <w:p w:rsidR="004538C7" w:rsidRPr="002A2953" w:rsidRDefault="004538C7" w:rsidP="006640DD">
      <w:pPr>
        <w:autoSpaceDE w:val="0"/>
        <w:autoSpaceDN w:val="0"/>
        <w:adjustRightInd w:val="0"/>
        <w:spacing w:line="240" w:lineRule="auto"/>
        <w:jc w:val="both"/>
        <w:rPr>
          <w:rFonts w:ascii="Times New Roman" w:hAnsi="Times New Roman"/>
          <w:color w:val="262626"/>
          <w:sz w:val="18"/>
          <w:szCs w:val="18"/>
        </w:rPr>
      </w:pPr>
      <w:r w:rsidRPr="006640DD">
        <w:rPr>
          <w:rFonts w:ascii="Times New Roman" w:hAnsi="Times New Roman"/>
          <w:b/>
          <w:color w:val="262626"/>
          <w:sz w:val="18"/>
          <w:szCs w:val="18"/>
        </w:rPr>
        <w:t>Elaboração própria</w:t>
      </w:r>
      <w:r>
        <w:rPr>
          <w:rFonts w:ascii="Times New Roman" w:hAnsi="Times New Roman"/>
          <w:color w:val="262626"/>
          <w:sz w:val="18"/>
          <w:szCs w:val="18"/>
        </w:rPr>
        <w:t>.</w:t>
      </w:r>
      <w:r w:rsidR="006640DD" w:rsidRPr="006640DD">
        <w:rPr>
          <w:rFonts w:ascii="Times New Roman" w:hAnsi="Times New Roman"/>
          <w:b/>
          <w:color w:val="262626"/>
          <w:sz w:val="18"/>
          <w:szCs w:val="18"/>
        </w:rPr>
        <w:t xml:space="preserve">Fonte: </w:t>
      </w:r>
      <w:r w:rsidR="006640DD" w:rsidRPr="006640DD">
        <w:rPr>
          <w:rFonts w:ascii="Times New Roman" w:hAnsi="Times New Roman"/>
          <w:sz w:val="18"/>
          <w:szCs w:val="18"/>
        </w:rPr>
        <w:t>SRI. SEDES.</w:t>
      </w:r>
      <w:r w:rsidR="006640DD" w:rsidRPr="006640DD">
        <w:rPr>
          <w:rFonts w:ascii="Times New Roman" w:hAnsi="Times New Roman"/>
          <w:i/>
          <w:sz w:val="18"/>
          <w:szCs w:val="18"/>
        </w:rPr>
        <w:t xml:space="preserve"> Agenda Nacional de Desenvolvimento, </w:t>
      </w:r>
      <w:r w:rsidR="006640DD" w:rsidRPr="006640DD">
        <w:rPr>
          <w:rFonts w:ascii="Times New Roman" w:hAnsi="Times New Roman"/>
          <w:sz w:val="18"/>
          <w:szCs w:val="18"/>
        </w:rPr>
        <w:t>2010a, Op. cit., p</w:t>
      </w:r>
      <w:r w:rsidR="006640DD">
        <w:rPr>
          <w:rFonts w:ascii="Times New Roman" w:hAnsi="Times New Roman"/>
          <w:sz w:val="18"/>
          <w:szCs w:val="18"/>
        </w:rPr>
        <w:t>. 20</w:t>
      </w:r>
    </w:p>
    <w:p w:rsidR="005742E2" w:rsidRPr="008B0B2A" w:rsidRDefault="00E47591" w:rsidP="00E47591">
      <w:pPr>
        <w:autoSpaceDE w:val="0"/>
        <w:autoSpaceDN w:val="0"/>
        <w:adjustRightInd w:val="0"/>
        <w:spacing w:after="0" w:line="360" w:lineRule="auto"/>
        <w:ind w:firstLine="708"/>
        <w:jc w:val="both"/>
        <w:rPr>
          <w:rFonts w:ascii="Times New Roman" w:hAnsi="Times New Roman"/>
          <w:sz w:val="24"/>
          <w:szCs w:val="24"/>
        </w:rPr>
      </w:pPr>
      <w:r w:rsidRPr="00E47591">
        <w:rPr>
          <w:rFonts w:ascii="Times New Roman" w:hAnsi="Times New Roman"/>
          <w:sz w:val="24"/>
          <w:szCs w:val="24"/>
        </w:rPr>
        <w:t>A</w:t>
      </w:r>
      <w:r w:rsidR="004538C7" w:rsidRPr="00E47591">
        <w:rPr>
          <w:rFonts w:ascii="Times New Roman" w:hAnsi="Times New Roman"/>
          <w:sz w:val="24"/>
          <w:szCs w:val="24"/>
        </w:rPr>
        <w:t>s similitudes entre os dois documentos são evidentes. Não há nenhuma diferença de fundo entre eles. A AND traz adaptações superficiais em alguns pontos e sistematiza com maior profundidade outros, fruto do processo de discussão e adaptação ocorrido na elaboração do documento.</w:t>
      </w:r>
      <w:r w:rsidR="009727AC" w:rsidRPr="008B0B2A">
        <w:rPr>
          <w:rFonts w:ascii="Times New Roman" w:hAnsi="Times New Roman"/>
          <w:sz w:val="24"/>
          <w:szCs w:val="24"/>
        </w:rPr>
        <w:t>A rigor</w:t>
      </w:r>
      <w:r w:rsidR="005742E2" w:rsidRPr="008B0B2A">
        <w:rPr>
          <w:rFonts w:ascii="Times New Roman" w:hAnsi="Times New Roman"/>
          <w:sz w:val="24"/>
          <w:szCs w:val="24"/>
        </w:rPr>
        <w:t>,todas as</w:t>
      </w:r>
      <w:r w:rsidR="009727AC" w:rsidRPr="008B0B2A">
        <w:rPr>
          <w:rFonts w:ascii="Times New Roman" w:hAnsi="Times New Roman"/>
          <w:sz w:val="24"/>
          <w:szCs w:val="24"/>
        </w:rPr>
        <w:t xml:space="preserve"> demandas </w:t>
      </w:r>
      <w:r w:rsidR="005742E2" w:rsidRPr="008B0B2A">
        <w:rPr>
          <w:rFonts w:ascii="Times New Roman" w:hAnsi="Times New Roman"/>
          <w:sz w:val="24"/>
          <w:szCs w:val="24"/>
        </w:rPr>
        <w:t xml:space="preserve">empresariais acima </w:t>
      </w:r>
      <w:r w:rsidR="009727AC" w:rsidRPr="008B0B2A">
        <w:rPr>
          <w:rFonts w:ascii="Times New Roman" w:hAnsi="Times New Roman"/>
          <w:sz w:val="24"/>
          <w:szCs w:val="24"/>
        </w:rPr>
        <w:t xml:space="preserve">expressavam a cristalização dos debates ocorridos nas reuniões plenárias e nos Grupos Temáticos, publicados </w:t>
      </w:r>
      <w:r w:rsidR="005742E2" w:rsidRPr="008B0B2A">
        <w:rPr>
          <w:rFonts w:ascii="Times New Roman" w:hAnsi="Times New Roman"/>
          <w:sz w:val="24"/>
          <w:szCs w:val="24"/>
        </w:rPr>
        <w:t>em documentos internos do CDES, tais como a ampliação da composição do CMN, redução dos depósitos compulsórios, redução da vulnerabilidade externa,</w:t>
      </w:r>
      <w:r w:rsidR="000E004A" w:rsidRPr="008B0B2A">
        <w:rPr>
          <w:rFonts w:ascii="Times New Roman" w:hAnsi="Times New Roman"/>
          <w:sz w:val="24"/>
          <w:szCs w:val="24"/>
        </w:rPr>
        <w:t xml:space="preserve"> desoneração da folha,</w:t>
      </w:r>
      <w:r w:rsidR="005742E2" w:rsidRPr="008B0B2A">
        <w:rPr>
          <w:rFonts w:ascii="Times New Roman" w:hAnsi="Times New Roman"/>
          <w:sz w:val="24"/>
          <w:szCs w:val="24"/>
        </w:rPr>
        <w:t xml:space="preserve"> etc.</w:t>
      </w:r>
    </w:p>
    <w:p w:rsidR="00E47591" w:rsidRPr="008B0B2A" w:rsidRDefault="009727AC" w:rsidP="00E47591">
      <w:pPr>
        <w:autoSpaceDE w:val="0"/>
        <w:autoSpaceDN w:val="0"/>
        <w:adjustRightInd w:val="0"/>
        <w:spacing w:after="0" w:line="360" w:lineRule="auto"/>
        <w:ind w:firstLine="708"/>
        <w:jc w:val="both"/>
        <w:rPr>
          <w:rFonts w:ascii="Times New Roman" w:hAnsi="Times New Roman"/>
          <w:sz w:val="24"/>
          <w:szCs w:val="24"/>
        </w:rPr>
      </w:pPr>
      <w:r w:rsidRPr="008B0B2A">
        <w:rPr>
          <w:rFonts w:ascii="Times New Roman" w:hAnsi="Times New Roman"/>
          <w:sz w:val="24"/>
          <w:szCs w:val="24"/>
        </w:rPr>
        <w:t>Um ponto relevante</w:t>
      </w:r>
      <w:r w:rsidR="00E47591" w:rsidRPr="008B0B2A">
        <w:rPr>
          <w:rFonts w:ascii="Times New Roman" w:hAnsi="Times New Roman"/>
          <w:sz w:val="24"/>
          <w:szCs w:val="24"/>
        </w:rPr>
        <w:t xml:space="preserve">, e que </w:t>
      </w:r>
      <w:r w:rsidR="005742E2" w:rsidRPr="008B0B2A">
        <w:rPr>
          <w:rFonts w:ascii="Times New Roman" w:hAnsi="Times New Roman"/>
          <w:sz w:val="24"/>
          <w:szCs w:val="24"/>
        </w:rPr>
        <w:t>nunca</w:t>
      </w:r>
      <w:r w:rsidR="00E47591" w:rsidRPr="008B0B2A">
        <w:rPr>
          <w:rFonts w:ascii="Times New Roman" w:hAnsi="Times New Roman"/>
          <w:sz w:val="24"/>
          <w:szCs w:val="24"/>
        </w:rPr>
        <w:t xml:space="preserve"> foi objeto de discussão </w:t>
      </w:r>
      <w:r w:rsidR="005742E2" w:rsidRPr="008B0B2A">
        <w:rPr>
          <w:rFonts w:ascii="Times New Roman" w:hAnsi="Times New Roman"/>
          <w:sz w:val="24"/>
          <w:szCs w:val="24"/>
        </w:rPr>
        <w:t>n</w:t>
      </w:r>
      <w:r w:rsidR="00E47591" w:rsidRPr="008B0B2A">
        <w:rPr>
          <w:rFonts w:ascii="Times New Roman" w:hAnsi="Times New Roman"/>
          <w:sz w:val="24"/>
          <w:szCs w:val="24"/>
        </w:rPr>
        <w:t>as plenárias, trata da demanda pela constituição, junto ao Gabinete da República, de “um conselho de assessores econômicos, integrado por renomados especialistas, com a função de auxiliar na formulação e avaliação da execução da política econômica”</w:t>
      </w:r>
      <w:r w:rsidR="005742E2" w:rsidRPr="008B0B2A">
        <w:rPr>
          <w:rFonts w:ascii="Times New Roman" w:hAnsi="Times New Roman"/>
          <w:sz w:val="24"/>
          <w:szCs w:val="24"/>
        </w:rPr>
        <w:t>, presente na AND. A nosso ver, possivelmente a demanda seria uma tentativa de abertur</w:t>
      </w:r>
      <w:r w:rsidR="000E004A" w:rsidRPr="008B0B2A">
        <w:rPr>
          <w:rFonts w:ascii="Times New Roman" w:hAnsi="Times New Roman"/>
          <w:sz w:val="24"/>
          <w:szCs w:val="24"/>
        </w:rPr>
        <w:t xml:space="preserve">a de um caminho mais abreviado e de </w:t>
      </w:r>
      <w:r w:rsidR="000E004A" w:rsidRPr="008B0B2A">
        <w:rPr>
          <w:rFonts w:ascii="Times New Roman" w:hAnsi="Times New Roman"/>
          <w:i/>
          <w:sz w:val="24"/>
          <w:szCs w:val="24"/>
        </w:rPr>
        <w:t>acesso particular ao grande capital</w:t>
      </w:r>
      <w:r w:rsidR="005742E2" w:rsidRPr="008B0B2A">
        <w:rPr>
          <w:rFonts w:ascii="Times New Roman" w:hAnsi="Times New Roman"/>
          <w:sz w:val="24"/>
          <w:szCs w:val="24"/>
        </w:rPr>
        <w:t xml:space="preserve">de proposições </w:t>
      </w:r>
      <w:r w:rsidR="000E004A" w:rsidRPr="008B0B2A">
        <w:rPr>
          <w:rFonts w:ascii="Times New Roman" w:hAnsi="Times New Roman"/>
          <w:sz w:val="24"/>
          <w:szCs w:val="24"/>
        </w:rPr>
        <w:t>econômicas junto ao Executivo, e também como alternativa à demanda pela ampliação do CMN, recorrente nas plenárias mesmo no segundo governo Lula, mas que não foi atendida.</w:t>
      </w:r>
    </w:p>
    <w:p w:rsidR="005A5124" w:rsidRPr="008B0B2A" w:rsidRDefault="008B2F47" w:rsidP="005A5124">
      <w:pPr>
        <w:autoSpaceDE w:val="0"/>
        <w:autoSpaceDN w:val="0"/>
        <w:adjustRightInd w:val="0"/>
        <w:spacing w:after="0" w:line="360" w:lineRule="auto"/>
        <w:ind w:firstLine="708"/>
        <w:jc w:val="both"/>
        <w:rPr>
          <w:rFonts w:ascii="Times New Roman" w:hAnsi="Times New Roman"/>
          <w:sz w:val="24"/>
          <w:szCs w:val="24"/>
        </w:rPr>
      </w:pPr>
      <w:r w:rsidRPr="008B0B2A">
        <w:rPr>
          <w:rFonts w:ascii="Times New Roman" w:hAnsi="Times New Roman"/>
          <w:sz w:val="24"/>
          <w:szCs w:val="24"/>
        </w:rPr>
        <w:t>Impressiona como na AND apenas as diretrizes estratégicas plasmadas no Objetivo I se ad</w:t>
      </w:r>
      <w:r w:rsidR="00151CB4" w:rsidRPr="008B0B2A">
        <w:rPr>
          <w:rFonts w:ascii="Times New Roman" w:hAnsi="Times New Roman"/>
          <w:sz w:val="24"/>
          <w:szCs w:val="24"/>
        </w:rPr>
        <w:t>e</w:t>
      </w:r>
      <w:r w:rsidRPr="008B0B2A">
        <w:rPr>
          <w:rFonts w:ascii="Times New Roman" w:hAnsi="Times New Roman"/>
          <w:sz w:val="24"/>
          <w:szCs w:val="24"/>
        </w:rPr>
        <w:t>qua</w:t>
      </w:r>
      <w:r w:rsidR="00151CB4" w:rsidRPr="008B0B2A">
        <w:rPr>
          <w:rFonts w:ascii="Times New Roman" w:hAnsi="Times New Roman"/>
          <w:sz w:val="24"/>
          <w:szCs w:val="24"/>
        </w:rPr>
        <w:t>va</w:t>
      </w:r>
      <w:r w:rsidRPr="008B0B2A">
        <w:rPr>
          <w:rFonts w:ascii="Times New Roman" w:hAnsi="Times New Roman"/>
          <w:sz w:val="24"/>
          <w:szCs w:val="24"/>
        </w:rPr>
        <w:t xml:space="preserve">m, com maior proximidade, às reivindicações de setores populares (ampliar escolarização média da população, pleno emprego, redução das diferenças salariais, formalização dos contratos, salário mínimo de acordo com a CF/88, reforma agrária) e mesmo assim houve algumas inserções de cunho empresariais. Outras </w:t>
      </w:r>
      <w:r w:rsidR="00027F03" w:rsidRPr="008B0B2A">
        <w:rPr>
          <w:rFonts w:ascii="Times New Roman" w:hAnsi="Times New Roman"/>
          <w:sz w:val="24"/>
          <w:szCs w:val="24"/>
        </w:rPr>
        <w:t>reivindicações</w:t>
      </w:r>
      <w:r w:rsidRPr="008B0B2A">
        <w:rPr>
          <w:rFonts w:ascii="Times New Roman" w:hAnsi="Times New Roman"/>
          <w:sz w:val="24"/>
          <w:szCs w:val="24"/>
        </w:rPr>
        <w:t xml:space="preserve"> aparec</w:t>
      </w:r>
      <w:r w:rsidR="00151CB4" w:rsidRPr="008B0B2A">
        <w:rPr>
          <w:rFonts w:ascii="Times New Roman" w:hAnsi="Times New Roman"/>
          <w:sz w:val="24"/>
          <w:szCs w:val="24"/>
        </w:rPr>
        <w:t>ia</w:t>
      </w:r>
      <w:r w:rsidRPr="008B0B2A">
        <w:rPr>
          <w:rFonts w:ascii="Times New Roman" w:hAnsi="Times New Roman"/>
          <w:sz w:val="24"/>
          <w:szCs w:val="24"/>
        </w:rPr>
        <w:t xml:space="preserve">m </w:t>
      </w:r>
      <w:r w:rsidR="005A5124" w:rsidRPr="008B0B2A">
        <w:rPr>
          <w:rFonts w:ascii="Times New Roman" w:hAnsi="Times New Roman"/>
          <w:sz w:val="24"/>
          <w:szCs w:val="24"/>
        </w:rPr>
        <w:t>mescladas com as empresariais, sem precisar suas finalidades e mecanismos de aplicação (ampliar composição do CMN, redução da carga tributária, tributos sobre o patrimônio, regulamentar imposto sobre grandes fortunas, dentre outros).</w:t>
      </w:r>
    </w:p>
    <w:p w:rsidR="00D36B19" w:rsidRPr="008B0B2A" w:rsidRDefault="00027F03" w:rsidP="005A5124">
      <w:pPr>
        <w:autoSpaceDE w:val="0"/>
        <w:autoSpaceDN w:val="0"/>
        <w:adjustRightInd w:val="0"/>
        <w:spacing w:after="0" w:line="360" w:lineRule="auto"/>
        <w:ind w:firstLine="708"/>
        <w:jc w:val="both"/>
        <w:rPr>
          <w:rFonts w:ascii="Times New Roman" w:hAnsi="Times New Roman"/>
          <w:sz w:val="24"/>
          <w:szCs w:val="24"/>
        </w:rPr>
      </w:pPr>
      <w:r w:rsidRPr="008B0B2A">
        <w:rPr>
          <w:rFonts w:ascii="Times New Roman" w:hAnsi="Times New Roman"/>
          <w:sz w:val="24"/>
          <w:szCs w:val="24"/>
        </w:rPr>
        <w:t xml:space="preserve">Grosso modo, a AND condensou o esforço do grande empresariado em reunir suas pautas e aspirações num </w:t>
      </w:r>
      <w:r w:rsidRPr="008B0B2A">
        <w:rPr>
          <w:rFonts w:ascii="Times New Roman" w:hAnsi="Times New Roman"/>
          <w:i/>
          <w:sz w:val="24"/>
          <w:szCs w:val="24"/>
        </w:rPr>
        <w:t>projeto econômico de crescimentosubstantivo</w:t>
      </w:r>
      <w:r w:rsidRPr="008B0B2A">
        <w:rPr>
          <w:rFonts w:ascii="Times New Roman" w:hAnsi="Times New Roman"/>
          <w:sz w:val="24"/>
          <w:szCs w:val="24"/>
        </w:rPr>
        <w:t xml:space="preserve">, </w:t>
      </w:r>
      <w:r w:rsidR="00D36B19" w:rsidRPr="008B0B2A">
        <w:rPr>
          <w:rFonts w:ascii="Times New Roman" w:hAnsi="Times New Roman"/>
          <w:sz w:val="24"/>
          <w:szCs w:val="24"/>
        </w:rPr>
        <w:t>isto é, o fio vermelho que atravessa e conduz as diretrizes estratégicas traçadas no documento da AND atendia aos requisitos caros ao grande capital produtor de valor</w:t>
      </w:r>
      <w:r w:rsidR="003B6CD1" w:rsidRPr="008B0B2A">
        <w:rPr>
          <w:rFonts w:ascii="Times New Roman" w:hAnsi="Times New Roman"/>
          <w:sz w:val="24"/>
          <w:szCs w:val="24"/>
        </w:rPr>
        <w:t>.</w:t>
      </w:r>
      <w:r w:rsidR="00D36B19" w:rsidRPr="008B0B2A">
        <w:rPr>
          <w:rFonts w:ascii="Times New Roman" w:hAnsi="Times New Roman"/>
          <w:sz w:val="24"/>
          <w:szCs w:val="24"/>
        </w:rPr>
        <w:t xml:space="preserve"> “</w:t>
      </w:r>
      <w:r w:rsidR="003B6CD1" w:rsidRPr="008B0B2A">
        <w:rPr>
          <w:rFonts w:ascii="Times New Roman" w:hAnsi="Times New Roman"/>
          <w:sz w:val="24"/>
          <w:szCs w:val="24"/>
        </w:rPr>
        <w:t>D</w:t>
      </w:r>
      <w:r w:rsidR="00D36B19" w:rsidRPr="008B0B2A">
        <w:rPr>
          <w:rFonts w:ascii="Times New Roman" w:hAnsi="Times New Roman"/>
          <w:sz w:val="24"/>
          <w:szCs w:val="24"/>
        </w:rPr>
        <w:t xml:space="preserve">esenvolvimento com equidade” reduzia-se a uma concepção de </w:t>
      </w:r>
      <w:r w:rsidR="00D36B19" w:rsidRPr="008B0B2A">
        <w:rPr>
          <w:rFonts w:ascii="Times New Roman" w:hAnsi="Times New Roman"/>
          <w:i/>
          <w:sz w:val="24"/>
          <w:szCs w:val="24"/>
        </w:rPr>
        <w:t xml:space="preserve">crescimento econômico tout court </w:t>
      </w:r>
      <w:r w:rsidR="00D36B19" w:rsidRPr="008B0B2A">
        <w:rPr>
          <w:rFonts w:ascii="Times New Roman" w:hAnsi="Times New Roman"/>
          <w:sz w:val="24"/>
          <w:szCs w:val="24"/>
        </w:rPr>
        <w:t xml:space="preserve">azeitada ou temperada por uma esquerda para o capital que pulverizava algumas reivindicações de </w:t>
      </w:r>
      <w:r w:rsidR="003B6CD1" w:rsidRPr="008B0B2A">
        <w:rPr>
          <w:rFonts w:ascii="Times New Roman" w:hAnsi="Times New Roman"/>
          <w:sz w:val="24"/>
          <w:szCs w:val="24"/>
        </w:rPr>
        <w:t>origem</w:t>
      </w:r>
      <w:r w:rsidR="00D36B19" w:rsidRPr="008B0B2A">
        <w:rPr>
          <w:rFonts w:ascii="Times New Roman" w:hAnsi="Times New Roman"/>
          <w:sz w:val="24"/>
          <w:szCs w:val="24"/>
        </w:rPr>
        <w:t xml:space="preserve"> popular na Agenda</w:t>
      </w:r>
      <w:r w:rsidR="00F56679" w:rsidRPr="008B0B2A">
        <w:rPr>
          <w:rFonts w:ascii="Times New Roman" w:hAnsi="Times New Roman"/>
          <w:sz w:val="24"/>
          <w:szCs w:val="24"/>
        </w:rPr>
        <w:t xml:space="preserve"> (reforma agrária, por exemplo, que não foi discutida com atenção nas plenárias e sobre a qual não se detalha</w:t>
      </w:r>
      <w:r w:rsidR="001730DC" w:rsidRPr="008B0B2A">
        <w:rPr>
          <w:rFonts w:ascii="Times New Roman" w:hAnsi="Times New Roman"/>
          <w:sz w:val="24"/>
          <w:szCs w:val="24"/>
        </w:rPr>
        <w:t>va</w:t>
      </w:r>
      <w:r w:rsidR="00F56679" w:rsidRPr="008B0B2A">
        <w:rPr>
          <w:rFonts w:ascii="Times New Roman" w:hAnsi="Times New Roman"/>
          <w:sz w:val="24"/>
          <w:szCs w:val="24"/>
        </w:rPr>
        <w:t xml:space="preserve"> no documento)</w:t>
      </w:r>
      <w:r w:rsidR="00D36B19" w:rsidRPr="008B0B2A">
        <w:rPr>
          <w:rFonts w:ascii="Times New Roman" w:hAnsi="Times New Roman"/>
          <w:sz w:val="24"/>
          <w:szCs w:val="24"/>
        </w:rPr>
        <w:t xml:space="preserve">, necessárias para que o projeto </w:t>
      </w:r>
      <w:r w:rsidR="00F56679" w:rsidRPr="008B0B2A">
        <w:rPr>
          <w:rFonts w:ascii="Times New Roman" w:hAnsi="Times New Roman"/>
          <w:i/>
          <w:sz w:val="24"/>
          <w:szCs w:val="24"/>
        </w:rPr>
        <w:t>aparecesse</w:t>
      </w:r>
      <w:r w:rsidR="00F56679" w:rsidRPr="008B0B2A">
        <w:rPr>
          <w:rFonts w:ascii="Times New Roman" w:hAnsi="Times New Roman"/>
          <w:sz w:val="24"/>
          <w:szCs w:val="24"/>
        </w:rPr>
        <w:t xml:space="preserve"> com uma “marca social” branda e inorgânica, mas capaz de </w:t>
      </w:r>
      <w:r w:rsidR="00D36B19" w:rsidRPr="008B0B2A">
        <w:rPr>
          <w:rFonts w:ascii="Times New Roman" w:hAnsi="Times New Roman"/>
          <w:sz w:val="24"/>
          <w:szCs w:val="24"/>
        </w:rPr>
        <w:t>suscita</w:t>
      </w:r>
      <w:r w:rsidR="00F56679" w:rsidRPr="008B0B2A">
        <w:rPr>
          <w:rFonts w:ascii="Times New Roman" w:hAnsi="Times New Roman"/>
          <w:sz w:val="24"/>
          <w:szCs w:val="24"/>
        </w:rPr>
        <w:t>r</w:t>
      </w:r>
      <w:r w:rsidR="00D36B19" w:rsidRPr="008B0B2A">
        <w:rPr>
          <w:rFonts w:ascii="Times New Roman" w:hAnsi="Times New Roman"/>
          <w:sz w:val="24"/>
          <w:szCs w:val="24"/>
        </w:rPr>
        <w:t xml:space="preserve"> ades</w:t>
      </w:r>
      <w:r w:rsidR="00F56679" w:rsidRPr="008B0B2A">
        <w:rPr>
          <w:rFonts w:ascii="Times New Roman" w:hAnsi="Times New Roman"/>
          <w:sz w:val="24"/>
          <w:szCs w:val="24"/>
        </w:rPr>
        <w:t>ão dos setores subalternos</w:t>
      </w:r>
      <w:r w:rsidR="003B6CD1" w:rsidRPr="008B0B2A">
        <w:rPr>
          <w:rFonts w:ascii="Times New Roman" w:hAnsi="Times New Roman"/>
          <w:sz w:val="24"/>
          <w:szCs w:val="24"/>
        </w:rPr>
        <w:t xml:space="preserve"> e</w:t>
      </w:r>
      <w:r w:rsidR="00F56679" w:rsidRPr="008B0B2A">
        <w:rPr>
          <w:rFonts w:ascii="Times New Roman" w:hAnsi="Times New Roman"/>
          <w:sz w:val="24"/>
          <w:szCs w:val="24"/>
        </w:rPr>
        <w:t xml:space="preserve"> que pudesse </w:t>
      </w:r>
      <w:r w:rsidR="00F56679" w:rsidRPr="008B0B2A">
        <w:rPr>
          <w:rFonts w:ascii="Times New Roman" w:hAnsi="Times New Roman"/>
          <w:i/>
          <w:sz w:val="24"/>
          <w:szCs w:val="24"/>
        </w:rPr>
        <w:t>adesivá-lo</w:t>
      </w:r>
      <w:r w:rsidR="00F56679" w:rsidRPr="008B0B2A">
        <w:rPr>
          <w:rFonts w:ascii="Times New Roman" w:hAnsi="Times New Roman"/>
          <w:sz w:val="24"/>
          <w:szCs w:val="24"/>
        </w:rPr>
        <w:t xml:space="preserve"> como “com equidade” ou “com inclusão social”</w:t>
      </w:r>
      <w:r w:rsidR="003B6CD1" w:rsidRPr="008B0B2A">
        <w:rPr>
          <w:rFonts w:ascii="Times New Roman" w:hAnsi="Times New Roman"/>
          <w:sz w:val="24"/>
          <w:szCs w:val="24"/>
        </w:rPr>
        <w:t xml:space="preserve"> e</w:t>
      </w:r>
      <w:r w:rsidR="00B117FF" w:rsidRPr="008B0B2A">
        <w:rPr>
          <w:rFonts w:ascii="Times New Roman" w:hAnsi="Times New Roman"/>
          <w:sz w:val="24"/>
          <w:szCs w:val="24"/>
        </w:rPr>
        <w:t xml:space="preserve"> também</w:t>
      </w:r>
      <w:r w:rsidR="003B6CD1" w:rsidRPr="008B0B2A">
        <w:rPr>
          <w:rFonts w:ascii="Times New Roman" w:hAnsi="Times New Roman"/>
          <w:sz w:val="24"/>
          <w:szCs w:val="24"/>
        </w:rPr>
        <w:t xml:space="preserve"> “democrático”</w:t>
      </w:r>
      <w:r w:rsidR="00B117FF" w:rsidRPr="008B0B2A">
        <w:rPr>
          <w:rFonts w:ascii="Times New Roman" w:hAnsi="Times New Roman"/>
          <w:sz w:val="24"/>
          <w:szCs w:val="24"/>
        </w:rPr>
        <w:t>,</w:t>
      </w:r>
      <w:r w:rsidR="003B6CD1" w:rsidRPr="008B0B2A">
        <w:rPr>
          <w:rFonts w:ascii="Times New Roman" w:hAnsi="Times New Roman"/>
          <w:sz w:val="24"/>
          <w:szCs w:val="24"/>
        </w:rPr>
        <w:t xml:space="preserve"> tendo em vista resultante de um “amplo processo de concertação”</w:t>
      </w:r>
      <w:r w:rsidR="001730DC" w:rsidRPr="008B0B2A">
        <w:rPr>
          <w:rFonts w:ascii="Times New Roman" w:hAnsi="Times New Roman"/>
          <w:sz w:val="24"/>
          <w:szCs w:val="24"/>
        </w:rPr>
        <w:t xml:space="preserve"> entre “setores plurais”</w:t>
      </w:r>
      <w:r w:rsidR="003B6CD1" w:rsidRPr="008B0B2A">
        <w:rPr>
          <w:rFonts w:ascii="Times New Roman" w:hAnsi="Times New Roman"/>
          <w:sz w:val="24"/>
          <w:szCs w:val="24"/>
        </w:rPr>
        <w:t>.</w:t>
      </w:r>
      <w:r w:rsidR="00B117FF" w:rsidRPr="008B0B2A">
        <w:rPr>
          <w:rFonts w:ascii="Times New Roman" w:hAnsi="Times New Roman"/>
          <w:sz w:val="24"/>
          <w:szCs w:val="24"/>
        </w:rPr>
        <w:t xml:space="preserve"> A AND foi mais um momento ou oportunidade de reedição </w:t>
      </w:r>
      <w:r w:rsidR="001730DC" w:rsidRPr="008B0B2A">
        <w:rPr>
          <w:rFonts w:ascii="Times New Roman" w:hAnsi="Times New Roman"/>
          <w:sz w:val="24"/>
          <w:szCs w:val="24"/>
        </w:rPr>
        <w:t xml:space="preserve">e reafirmação </w:t>
      </w:r>
      <w:r w:rsidR="00B117FF" w:rsidRPr="008B0B2A">
        <w:rPr>
          <w:rFonts w:ascii="Times New Roman" w:hAnsi="Times New Roman"/>
          <w:sz w:val="24"/>
          <w:szCs w:val="24"/>
        </w:rPr>
        <w:t>do exercício de operacionalização da hegemonia do grande capita</w:t>
      </w:r>
      <w:r w:rsidR="00BF51E7" w:rsidRPr="008B0B2A">
        <w:rPr>
          <w:rFonts w:ascii="Times New Roman" w:hAnsi="Times New Roman"/>
          <w:sz w:val="24"/>
          <w:szCs w:val="24"/>
        </w:rPr>
        <w:t xml:space="preserve">l produtor de </w:t>
      </w:r>
      <w:r w:rsidR="001730DC" w:rsidRPr="008B0B2A">
        <w:rPr>
          <w:rFonts w:ascii="Times New Roman" w:hAnsi="Times New Roman"/>
          <w:sz w:val="24"/>
          <w:szCs w:val="24"/>
        </w:rPr>
        <w:t>valor</w:t>
      </w:r>
      <w:r w:rsidR="00BF51E7" w:rsidRPr="008B0B2A">
        <w:rPr>
          <w:rFonts w:ascii="Times New Roman" w:hAnsi="Times New Roman"/>
          <w:sz w:val="24"/>
          <w:szCs w:val="24"/>
        </w:rPr>
        <w:t xml:space="preserve"> no Conselho, local de </w:t>
      </w:r>
      <w:r w:rsidR="00BF51E7" w:rsidRPr="008B0B2A">
        <w:rPr>
          <w:rFonts w:ascii="Times New Roman" w:hAnsi="Times New Roman"/>
          <w:i/>
          <w:sz w:val="24"/>
          <w:szCs w:val="24"/>
        </w:rPr>
        <w:t>empresariamento da gestão participativa no interior do aparato estatal</w:t>
      </w:r>
      <w:r w:rsidR="00BF51E7" w:rsidRPr="008B0B2A">
        <w:rPr>
          <w:rFonts w:ascii="Times New Roman" w:hAnsi="Times New Roman"/>
          <w:sz w:val="24"/>
          <w:szCs w:val="24"/>
        </w:rPr>
        <w:t>.</w:t>
      </w:r>
    </w:p>
    <w:p w:rsidR="008B2F47" w:rsidRDefault="008B2F47" w:rsidP="00E47591">
      <w:pPr>
        <w:autoSpaceDE w:val="0"/>
        <w:autoSpaceDN w:val="0"/>
        <w:adjustRightInd w:val="0"/>
        <w:spacing w:after="0" w:line="360" w:lineRule="auto"/>
        <w:ind w:firstLine="708"/>
        <w:jc w:val="both"/>
        <w:rPr>
          <w:rFonts w:ascii="Times New Roman" w:hAnsi="Times New Roman"/>
          <w:sz w:val="24"/>
          <w:szCs w:val="24"/>
        </w:rPr>
      </w:pPr>
    </w:p>
    <w:p w:rsidR="0009772B" w:rsidRDefault="0009772B" w:rsidP="00752C15">
      <w:pPr>
        <w:autoSpaceDE w:val="0"/>
        <w:autoSpaceDN w:val="0"/>
        <w:adjustRightInd w:val="0"/>
        <w:jc w:val="both"/>
        <w:rPr>
          <w:rFonts w:ascii="Times New Roman" w:hAnsi="Times New Roman"/>
          <w:b/>
          <w:color w:val="262626"/>
          <w:sz w:val="24"/>
          <w:szCs w:val="24"/>
        </w:rPr>
      </w:pPr>
      <w:r>
        <w:rPr>
          <w:rFonts w:ascii="Times New Roman" w:hAnsi="Times New Roman"/>
          <w:b/>
          <w:color w:val="262626"/>
          <w:sz w:val="24"/>
          <w:szCs w:val="24"/>
        </w:rPr>
        <w:t>3.6</w:t>
      </w:r>
      <w:r w:rsidRPr="00247388">
        <w:rPr>
          <w:rFonts w:ascii="Times New Roman" w:hAnsi="Times New Roman"/>
          <w:b/>
          <w:color w:val="262626"/>
          <w:sz w:val="24"/>
          <w:szCs w:val="24"/>
        </w:rPr>
        <w:t xml:space="preserve"> – Os Enunciados Estratégicos para o Desenvolvimento (EED)</w:t>
      </w:r>
      <w:r>
        <w:rPr>
          <w:rFonts w:ascii="Times New Roman" w:hAnsi="Times New Roman"/>
          <w:b/>
          <w:color w:val="262626"/>
          <w:sz w:val="24"/>
          <w:szCs w:val="24"/>
        </w:rPr>
        <w:t xml:space="preserve"> e o debate dos conselheiros com a FGV-RJ</w:t>
      </w:r>
    </w:p>
    <w:p w:rsidR="00A91C53" w:rsidRPr="00752C15" w:rsidRDefault="00A91C53" w:rsidP="0009772B">
      <w:pPr>
        <w:autoSpaceDE w:val="0"/>
        <w:autoSpaceDN w:val="0"/>
        <w:adjustRightInd w:val="0"/>
        <w:spacing w:line="360" w:lineRule="auto"/>
        <w:jc w:val="both"/>
        <w:rPr>
          <w:rFonts w:ascii="Times New Roman" w:hAnsi="Times New Roman"/>
          <w:b/>
          <w:sz w:val="24"/>
          <w:szCs w:val="24"/>
        </w:rPr>
      </w:pPr>
      <w:r>
        <w:rPr>
          <w:rFonts w:ascii="Times New Roman" w:hAnsi="Times New Roman"/>
          <w:b/>
          <w:color w:val="262626"/>
          <w:sz w:val="24"/>
          <w:szCs w:val="24"/>
        </w:rPr>
        <w:tab/>
      </w:r>
      <w:r w:rsidRPr="00752C15">
        <w:rPr>
          <w:rFonts w:ascii="Times New Roman" w:hAnsi="Times New Roman"/>
          <w:b/>
          <w:sz w:val="24"/>
          <w:szCs w:val="24"/>
        </w:rPr>
        <w:t>3.6.1 – O debate dos conselheiros com a FGV-RJ</w:t>
      </w:r>
    </w:p>
    <w:p w:rsidR="0009772B" w:rsidRPr="00247388" w:rsidRDefault="0009772B" w:rsidP="0009772B">
      <w:pPr>
        <w:autoSpaceDE w:val="0"/>
        <w:autoSpaceDN w:val="0"/>
        <w:adjustRightInd w:val="0"/>
        <w:spacing w:after="0" w:line="360" w:lineRule="auto"/>
        <w:ind w:firstLine="708"/>
        <w:jc w:val="both"/>
        <w:rPr>
          <w:rFonts w:ascii="Times New Roman" w:hAnsi="Times New Roman"/>
          <w:b/>
          <w:color w:val="262626"/>
          <w:sz w:val="24"/>
          <w:szCs w:val="24"/>
        </w:rPr>
      </w:pPr>
      <w:r>
        <w:rPr>
          <w:rFonts w:ascii="Times New Roman" w:hAnsi="Times New Roman"/>
          <w:sz w:val="24"/>
          <w:szCs w:val="24"/>
        </w:rPr>
        <w:t xml:space="preserve">Os </w:t>
      </w:r>
      <w:r w:rsidRPr="003E488C">
        <w:rPr>
          <w:rFonts w:ascii="Times New Roman" w:hAnsi="Times New Roman"/>
          <w:sz w:val="24"/>
          <w:szCs w:val="24"/>
        </w:rPr>
        <w:t>Enunciados Estratégicos para o Desenvolvimento</w:t>
      </w:r>
      <w:r>
        <w:rPr>
          <w:rFonts w:ascii="Times New Roman" w:hAnsi="Times New Roman"/>
          <w:sz w:val="24"/>
          <w:szCs w:val="24"/>
        </w:rPr>
        <w:t>foi um documento produzido pelos conselheiros e pela Fundação Getúlio Vargas do Rio de Janeiro (FGV-RJ) após a elaboração da AND. Eles se consubstanciaram na produção de 24 enunciados, aprovados em 2006, que objetivaram elencar diretrizes operacionais com metas sociais, econômicas e financeiras tangíveis, tendo como horizonte de longo prazo o ano de 2022. De abril a agosto de 2006, além de três reuniões plenárias, a produção dos Enunciados envolveu cinco reuniões regionais.</w:t>
      </w:r>
      <w:r>
        <w:rPr>
          <w:rStyle w:val="Refdenotaderodap"/>
          <w:rFonts w:ascii="Times New Roman" w:hAnsi="Times New Roman"/>
          <w:sz w:val="24"/>
          <w:szCs w:val="24"/>
        </w:rPr>
        <w:footnoteReference w:id="488"/>
      </w:r>
      <w:r>
        <w:rPr>
          <w:rFonts w:ascii="Times New Roman" w:hAnsi="Times New Roman"/>
          <w:sz w:val="24"/>
          <w:szCs w:val="24"/>
        </w:rPr>
        <w:t xml:space="preserve"> Percebe-se, desta maneira, o curto período de tempo envolvido no processo de elaboração dos Enunciados, devido, principalmente, ao papel protagonista desempenhado pela FGV-RJ nesta empreitada</w:t>
      </w:r>
      <w:r w:rsidR="00BF51E7">
        <w:rPr>
          <w:rFonts w:ascii="Times New Roman" w:hAnsi="Times New Roman"/>
          <w:sz w:val="24"/>
          <w:szCs w:val="24"/>
        </w:rPr>
        <w:t>, através de um trabalho “voluntário” junto a SEDES, ou, tecnicamente, sem percepção de recursos monetários.</w:t>
      </w:r>
    </w:p>
    <w:p w:rsidR="0009772B" w:rsidRDefault="0009772B" w:rsidP="0009772B">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As condições conjunturais para a proposição de produção dos Enunciados se deram com o retorno de Tarso Genro à secretaria-executiva do Conselho, em abril de 2006. Sua retomada à frente do Conselho coincidiu com o término dos principais trabalhos aos quais os conselheiros </w:t>
      </w:r>
      <w:r w:rsidR="00BF51E7">
        <w:rPr>
          <w:rFonts w:ascii="Times New Roman" w:hAnsi="Times New Roman"/>
          <w:sz w:val="24"/>
          <w:szCs w:val="24"/>
        </w:rPr>
        <w:t>se dedicaram</w:t>
      </w:r>
      <w:r>
        <w:rPr>
          <w:rFonts w:ascii="Times New Roman" w:hAnsi="Times New Roman"/>
          <w:sz w:val="24"/>
          <w:szCs w:val="24"/>
        </w:rPr>
        <w:t xml:space="preserve"> desde 2004: a AND e a construção do Observatório da Equidade. Naquele ano, a conjuntura político-eleitoral e o encerramento dos mandatos de conselheiros tornaram convenientes que as atividades do Conselho se voltassem para a formulação de um documento que refletisse o acúmulo dos debates e propostas ocorridos para </w:t>
      </w:r>
      <w:r w:rsidR="00BF51E7">
        <w:rPr>
          <w:rFonts w:ascii="Times New Roman" w:hAnsi="Times New Roman"/>
          <w:sz w:val="24"/>
          <w:szCs w:val="24"/>
        </w:rPr>
        <w:t xml:space="preserve">o </w:t>
      </w:r>
      <w:r>
        <w:rPr>
          <w:rFonts w:ascii="Times New Roman" w:hAnsi="Times New Roman"/>
          <w:sz w:val="24"/>
          <w:szCs w:val="24"/>
        </w:rPr>
        <w:t xml:space="preserve">ciclo político que se aproximava “independentemente de qual seja a frente política ou o partido político que vai dirigir o país no próximo período”, de acordo com Tarso Genro. </w:t>
      </w:r>
    </w:p>
    <w:p w:rsidR="0009772B" w:rsidRDefault="0009772B" w:rsidP="0009772B">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Na 17ª Reunião Plenária</w:t>
      </w:r>
      <w:r w:rsidR="00552363">
        <w:rPr>
          <w:rFonts w:ascii="Times New Roman" w:hAnsi="Times New Roman"/>
          <w:sz w:val="24"/>
          <w:szCs w:val="24"/>
        </w:rPr>
        <w:t xml:space="preserve">, em </w:t>
      </w:r>
      <w:r>
        <w:rPr>
          <w:rFonts w:ascii="Times New Roman" w:hAnsi="Times New Roman"/>
          <w:sz w:val="24"/>
          <w:szCs w:val="24"/>
        </w:rPr>
        <w:t>maio de 2006</w:t>
      </w:r>
      <w:r w:rsidR="00552363">
        <w:rPr>
          <w:rFonts w:ascii="Times New Roman" w:hAnsi="Times New Roman"/>
          <w:sz w:val="24"/>
          <w:szCs w:val="24"/>
        </w:rPr>
        <w:t>,</w:t>
      </w:r>
      <w:r>
        <w:rPr>
          <w:rFonts w:ascii="Times New Roman" w:hAnsi="Times New Roman"/>
          <w:sz w:val="24"/>
          <w:szCs w:val="24"/>
        </w:rPr>
        <w:t xml:space="preserve"> o secretário </w:t>
      </w:r>
      <w:r w:rsidR="00BF51E7">
        <w:rPr>
          <w:rFonts w:ascii="Times New Roman" w:hAnsi="Times New Roman"/>
          <w:sz w:val="24"/>
          <w:szCs w:val="24"/>
        </w:rPr>
        <w:t>trouxe</w:t>
      </w:r>
      <w:r>
        <w:rPr>
          <w:rFonts w:ascii="Times New Roman" w:hAnsi="Times New Roman"/>
          <w:sz w:val="24"/>
          <w:szCs w:val="24"/>
        </w:rPr>
        <w:t xml:space="preserve"> ao pleno a proposta de se “chegar a alguns pontos comuns onde se diga 20, 30, 40 pontos que podem ser sustentadas, por exemplo, num apoio da Fundação Getúlio Vargas, que já nos deu apoio em outras circunstâncias,</w:t>
      </w:r>
      <w:r>
        <w:rPr>
          <w:rStyle w:val="Refdenotaderodap"/>
          <w:rFonts w:ascii="Times New Roman" w:hAnsi="Times New Roman"/>
          <w:sz w:val="24"/>
          <w:szCs w:val="24"/>
        </w:rPr>
        <w:footnoteReference w:id="489"/>
      </w:r>
      <w:r>
        <w:rPr>
          <w:rFonts w:ascii="Times New Roman" w:hAnsi="Times New Roman"/>
          <w:sz w:val="24"/>
          <w:szCs w:val="24"/>
        </w:rPr>
        <w:t xml:space="preserve"> e nós chegarmos a determinadas constatações (...) plenamente majoritárias”. Na 18ª Reunião Plenária, </w:t>
      </w:r>
      <w:r w:rsidR="00552363">
        <w:rPr>
          <w:rFonts w:ascii="Times New Roman" w:hAnsi="Times New Roman"/>
          <w:sz w:val="24"/>
          <w:szCs w:val="24"/>
        </w:rPr>
        <w:t xml:space="preserve">ocorrida em junho, </w:t>
      </w:r>
      <w:r>
        <w:rPr>
          <w:rFonts w:ascii="Times New Roman" w:hAnsi="Times New Roman"/>
          <w:sz w:val="24"/>
          <w:szCs w:val="24"/>
        </w:rPr>
        <w:t>Tarso Genro explicitou de maneira detalhada a estratégia adotada:</w:t>
      </w:r>
    </w:p>
    <w:p w:rsidR="0009772B" w:rsidRPr="005F5F06" w:rsidRDefault="0009772B" w:rsidP="0009772B">
      <w:pPr>
        <w:autoSpaceDE w:val="0"/>
        <w:autoSpaceDN w:val="0"/>
        <w:adjustRightInd w:val="0"/>
        <w:spacing w:line="240" w:lineRule="auto"/>
        <w:ind w:left="2268"/>
        <w:jc w:val="both"/>
        <w:rPr>
          <w:rFonts w:ascii="Times New Roman" w:hAnsi="Times New Roman"/>
          <w:sz w:val="20"/>
          <w:szCs w:val="20"/>
        </w:rPr>
      </w:pPr>
      <w:r w:rsidRPr="005F5F06">
        <w:rPr>
          <w:rFonts w:ascii="Times New Roman" w:hAnsi="Times New Roman"/>
          <w:sz w:val="20"/>
          <w:szCs w:val="20"/>
        </w:rPr>
        <w:t xml:space="preserve">Nós estamos em um momento de fechamento da nossa experiência de Conselho esse ano e a nossa discussão agora será balizada com esse trabalho, com essa parceria magnífica que nós estamos fazendo com a Fundação Getúlio Vargas, que apresentará hoje os elementos iniciais desta composição que está realizando a partir das Cartas de Concertação e a partir da AND. </w:t>
      </w:r>
      <w:r w:rsidRPr="00552363">
        <w:rPr>
          <w:rFonts w:ascii="Times New Roman" w:hAnsi="Times New Roman"/>
          <w:b/>
          <w:sz w:val="20"/>
          <w:szCs w:val="20"/>
        </w:rPr>
        <w:t>E esse documento introdutório que será apresentado pelo professor Carlos Simonsen Leal, presidente da FGV, vai ser objeto depois de uma interação através da internet (...) e também culminará com uma ou mais reuniões do Conselho (...), produzindo alguns enunciados, que constituiriam um legado do Conselho para um próximo período</w:t>
      </w:r>
      <w:r w:rsidRPr="005F5F06">
        <w:rPr>
          <w:rFonts w:ascii="Times New Roman" w:hAnsi="Times New Roman"/>
          <w:sz w:val="20"/>
          <w:szCs w:val="20"/>
        </w:rPr>
        <w:t>, seja quem for o presidente da República, seja qual for o governo e a coalizão política que vai dirigir o país no próximo período</w:t>
      </w:r>
      <w:r>
        <w:rPr>
          <w:rFonts w:ascii="Times New Roman" w:hAnsi="Times New Roman"/>
          <w:sz w:val="20"/>
          <w:szCs w:val="20"/>
        </w:rPr>
        <w:t xml:space="preserve"> (ATA, 18ª Reunião Plenária, 29/06/2006, p. 01).</w:t>
      </w:r>
    </w:p>
    <w:p w:rsidR="000B7C36" w:rsidRDefault="00552363" w:rsidP="000B7C36">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O aludido documento apresentado pelo presidente da FGV-RJ nessa plenária do CDES intitula-se </w:t>
      </w:r>
      <w:r w:rsidR="0009772B" w:rsidRPr="00D471DC">
        <w:rPr>
          <w:rFonts w:ascii="Times New Roman" w:hAnsi="Times New Roman"/>
          <w:sz w:val="24"/>
          <w:szCs w:val="24"/>
        </w:rPr>
        <w:t>“Temas para o Desenvolvimento com Equidade”</w:t>
      </w:r>
      <w:r>
        <w:rPr>
          <w:rFonts w:ascii="Times New Roman" w:hAnsi="Times New Roman"/>
          <w:sz w:val="24"/>
          <w:szCs w:val="24"/>
        </w:rPr>
        <w:t>,</w:t>
      </w:r>
      <w:r w:rsidR="0009772B" w:rsidRPr="00D471DC">
        <w:rPr>
          <w:rFonts w:ascii="Times New Roman" w:hAnsi="Times New Roman"/>
          <w:sz w:val="24"/>
          <w:szCs w:val="24"/>
        </w:rPr>
        <w:t xml:space="preserve"> produzido </w:t>
      </w:r>
      <w:r>
        <w:rPr>
          <w:rFonts w:ascii="Times New Roman" w:hAnsi="Times New Roman"/>
          <w:sz w:val="24"/>
          <w:szCs w:val="24"/>
        </w:rPr>
        <w:t>pela própria instituição a p</w:t>
      </w:r>
      <w:r w:rsidR="0009772B" w:rsidRPr="00D471DC">
        <w:rPr>
          <w:rFonts w:ascii="Times New Roman" w:hAnsi="Times New Roman"/>
          <w:sz w:val="24"/>
          <w:szCs w:val="24"/>
        </w:rPr>
        <w:t>edido da Secretaria de Relações Institucionais (SRI/PR) a fim de servir como “assessoramento técnico” ao CDES na formulação dos Enunciados</w:t>
      </w:r>
      <w:r w:rsidR="000B7C36">
        <w:rPr>
          <w:rFonts w:ascii="Times New Roman" w:hAnsi="Times New Roman"/>
          <w:sz w:val="24"/>
          <w:szCs w:val="24"/>
        </w:rPr>
        <w:t xml:space="preserve"> Estratégicos para o Desenvolvimento</w:t>
      </w:r>
      <w:r w:rsidR="0009772B" w:rsidRPr="00D471DC">
        <w:rPr>
          <w:rFonts w:ascii="Times New Roman" w:hAnsi="Times New Roman"/>
          <w:sz w:val="24"/>
          <w:szCs w:val="24"/>
        </w:rPr>
        <w:t xml:space="preserve">. </w:t>
      </w:r>
      <w:r w:rsidR="000B7C36">
        <w:rPr>
          <w:rFonts w:ascii="Times New Roman" w:hAnsi="Times New Roman"/>
          <w:sz w:val="24"/>
          <w:szCs w:val="24"/>
        </w:rPr>
        <w:t xml:space="preserve">Segundo o documento da FGV-RJ, os Enunciados Estratégicos para o Desenvolvimento tiveram como base de elaboração o exame, </w:t>
      </w:r>
      <w:r w:rsidR="00D73A28">
        <w:rPr>
          <w:rFonts w:ascii="Times New Roman" w:hAnsi="Times New Roman"/>
          <w:sz w:val="24"/>
          <w:szCs w:val="24"/>
        </w:rPr>
        <w:t>das</w:t>
      </w:r>
      <w:r w:rsidR="000B7C36">
        <w:rPr>
          <w:rFonts w:ascii="Times New Roman" w:hAnsi="Times New Roman"/>
          <w:sz w:val="24"/>
          <w:szCs w:val="24"/>
        </w:rPr>
        <w:t xml:space="preserve"> atas das reuniões plenárias, das Cartas de Concertação, da Agenda Nacional de Desenvolvimento e “demais documentos originados do CDES”.</w:t>
      </w:r>
      <w:r w:rsidR="000B7C36">
        <w:rPr>
          <w:rStyle w:val="Refdenotaderodap"/>
          <w:rFonts w:ascii="Times New Roman" w:hAnsi="Times New Roman"/>
          <w:sz w:val="24"/>
          <w:szCs w:val="24"/>
        </w:rPr>
        <w:footnoteReference w:id="490"/>
      </w:r>
      <w:r w:rsidR="000B7C36">
        <w:rPr>
          <w:rFonts w:ascii="Times New Roman" w:hAnsi="Times New Roman"/>
          <w:sz w:val="24"/>
          <w:szCs w:val="24"/>
        </w:rPr>
        <w:t xml:space="preserve"> A partir da seleção das informações contidas nesta documentação, a equipe da FGV-RJ, ainda conforme seu documento, realça que “fez um trabalho de análise técnica dos elementos estratégicos debatidos pelo conselho”. Interessante observar a preocupação do documento da FGV-RJ em adiantar suposta “neutralidade” ou “isenção” na produção dos Enunciados, procurando “abordar de forma isenta e crítica o conjunto de propostas oriundas do CDES. Fudamentou-se, portanto, em uma perspectiva republicana e apartidária”.</w:t>
      </w:r>
      <w:r w:rsidR="000B7C36">
        <w:rPr>
          <w:rStyle w:val="Refdenotaderodap"/>
          <w:rFonts w:ascii="Times New Roman" w:hAnsi="Times New Roman"/>
          <w:sz w:val="24"/>
          <w:szCs w:val="24"/>
        </w:rPr>
        <w:footnoteReference w:id="491"/>
      </w:r>
    </w:p>
    <w:p w:rsidR="00552363" w:rsidRDefault="00542E7C" w:rsidP="00BA0F77">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Consta no documento, ainda, que a FGV-RJ</w:t>
      </w:r>
      <w:r w:rsidR="0009772B" w:rsidRPr="00D471DC">
        <w:rPr>
          <w:rFonts w:ascii="Times New Roman" w:hAnsi="Times New Roman"/>
          <w:sz w:val="24"/>
          <w:szCs w:val="24"/>
        </w:rPr>
        <w:t xml:space="preserve"> elaborou “uma análise de alguns dos principais problemas que o Brasil precisa equacionar para voltar a se desenvolver (...) dentro de uma ótica de adição de valor”</w:t>
      </w:r>
      <w:r w:rsidR="0009772B">
        <w:rPr>
          <w:rFonts w:ascii="Times New Roman" w:hAnsi="Times New Roman"/>
          <w:sz w:val="24"/>
          <w:szCs w:val="24"/>
        </w:rPr>
        <w:t>.</w:t>
      </w:r>
      <w:r w:rsidR="0009772B">
        <w:rPr>
          <w:rStyle w:val="Refdenotaderodap"/>
          <w:rFonts w:ascii="Times New Roman" w:hAnsi="Times New Roman"/>
          <w:sz w:val="24"/>
          <w:szCs w:val="24"/>
        </w:rPr>
        <w:footnoteReference w:id="492"/>
      </w:r>
      <w:r w:rsidR="0009772B">
        <w:rPr>
          <w:rFonts w:ascii="Times New Roman" w:hAnsi="Times New Roman"/>
          <w:sz w:val="24"/>
          <w:szCs w:val="24"/>
        </w:rPr>
        <w:t xml:space="preserve"> Esta ótica tinha como intuito</w:t>
      </w:r>
      <w:r w:rsidR="0009772B" w:rsidRPr="00D471DC">
        <w:rPr>
          <w:rFonts w:ascii="Times New Roman" w:hAnsi="Times New Roman"/>
          <w:sz w:val="24"/>
          <w:szCs w:val="24"/>
        </w:rPr>
        <w:t xml:space="preserve"> “levar em conta a estrutura de informações extraídas do CDES (...)”, buscando “a articulação dessas informações em tipologias mais refinadas possibilita[ndo], dessa maneira, que o potencial institucional do CDES seja ampliado, o que permitiria uma maior adição de valor à sua ação”.</w:t>
      </w:r>
      <w:r w:rsidR="0009772B">
        <w:rPr>
          <w:rStyle w:val="Refdenotaderodap"/>
          <w:rFonts w:ascii="Times New Roman" w:hAnsi="Times New Roman"/>
          <w:sz w:val="24"/>
          <w:szCs w:val="24"/>
        </w:rPr>
        <w:footnoteReference w:id="493"/>
      </w:r>
    </w:p>
    <w:p w:rsidR="00F346DF" w:rsidRDefault="00552363" w:rsidP="00BA0F77">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Na apresentação que fez sobre o documento da FGV-RJ na 18ª plenária do CDES, Leal argumentou que p</w:t>
      </w:r>
      <w:r w:rsidR="00BA0F77">
        <w:rPr>
          <w:rFonts w:ascii="Times New Roman" w:hAnsi="Times New Roman"/>
          <w:sz w:val="24"/>
          <w:szCs w:val="24"/>
        </w:rPr>
        <w:t>ermitir “maior adição de valor à ação do CDES” seriapossibilitar o atendimento da “responsabilidade maior do CDES para com a República”, exercendo “com eficiência sua capacidade em coletar informações e impressões dos mais distintos grupos sociais e organizá-las de forma a gerar valor à ação do Estado”</w:t>
      </w:r>
      <w:r w:rsidR="00F346DF">
        <w:rPr>
          <w:rFonts w:ascii="Times New Roman" w:hAnsi="Times New Roman"/>
          <w:sz w:val="24"/>
          <w:szCs w:val="24"/>
        </w:rPr>
        <w:t>, ou seja, “diminuindo a escassez de informação dos Poderes”</w:t>
      </w:r>
      <w:r w:rsidR="00BA0F77">
        <w:rPr>
          <w:rFonts w:ascii="Times New Roman" w:hAnsi="Times New Roman"/>
          <w:sz w:val="24"/>
          <w:szCs w:val="24"/>
        </w:rPr>
        <w:t>.</w:t>
      </w:r>
      <w:r w:rsidR="00BA0F77">
        <w:rPr>
          <w:rStyle w:val="Refdenotaderodap"/>
          <w:rFonts w:ascii="Times New Roman" w:hAnsi="Times New Roman"/>
          <w:sz w:val="24"/>
          <w:szCs w:val="24"/>
        </w:rPr>
        <w:footnoteReference w:id="494"/>
      </w:r>
      <w:r w:rsidR="00BA0F77">
        <w:rPr>
          <w:rFonts w:ascii="Times New Roman" w:hAnsi="Times New Roman"/>
          <w:sz w:val="24"/>
          <w:szCs w:val="24"/>
        </w:rPr>
        <w:t xml:space="preserve"> Ou seja, </w:t>
      </w:r>
      <w:r w:rsidR="00F346DF">
        <w:rPr>
          <w:rFonts w:ascii="Times New Roman" w:hAnsi="Times New Roman"/>
          <w:sz w:val="24"/>
          <w:szCs w:val="24"/>
        </w:rPr>
        <w:t>segundo</w:t>
      </w:r>
      <w:r w:rsidR="00BA0F77">
        <w:rPr>
          <w:rFonts w:ascii="Times New Roman" w:hAnsi="Times New Roman"/>
          <w:sz w:val="24"/>
          <w:szCs w:val="24"/>
        </w:rPr>
        <w:t xml:space="preserve"> o raciocínio de Leal, o procedimento que a FGV-RJ adotou com o CDES (adicionar valor às discussões dos conselheiros e reordená-las segundo seus critérios) </w:t>
      </w:r>
      <w:r w:rsidR="00D73A28">
        <w:rPr>
          <w:rFonts w:ascii="Times New Roman" w:hAnsi="Times New Roman"/>
          <w:sz w:val="24"/>
          <w:szCs w:val="24"/>
        </w:rPr>
        <w:t xml:space="preserve">este </w:t>
      </w:r>
      <w:r w:rsidR="00BA0F77">
        <w:rPr>
          <w:rFonts w:ascii="Times New Roman" w:hAnsi="Times New Roman"/>
          <w:sz w:val="24"/>
          <w:szCs w:val="24"/>
        </w:rPr>
        <w:t xml:space="preserve">deveria adotar em relação aos demais órgãos do Estado. Ou seja, </w:t>
      </w:r>
      <w:r w:rsidR="00F346DF">
        <w:rPr>
          <w:rFonts w:ascii="Times New Roman" w:hAnsi="Times New Roman"/>
          <w:sz w:val="24"/>
          <w:szCs w:val="24"/>
        </w:rPr>
        <w:t xml:space="preserve">ao CDES caberia assumir a função de </w:t>
      </w:r>
      <w:r w:rsidR="00BA0F77">
        <w:rPr>
          <w:rFonts w:ascii="Times New Roman" w:hAnsi="Times New Roman"/>
          <w:sz w:val="24"/>
          <w:szCs w:val="24"/>
        </w:rPr>
        <w:t xml:space="preserve">uma espécie de núcleo de estudos e de consultoriade assessoramento de políticas públicas ímpar no Estado brasileiro, devido </w:t>
      </w:r>
      <w:r w:rsidR="00F346DF">
        <w:rPr>
          <w:rFonts w:ascii="Times New Roman" w:hAnsi="Times New Roman"/>
          <w:sz w:val="24"/>
          <w:szCs w:val="24"/>
        </w:rPr>
        <w:t>à</w:t>
      </w:r>
      <w:r w:rsidR="00BA0F77">
        <w:rPr>
          <w:rFonts w:ascii="Times New Roman" w:hAnsi="Times New Roman"/>
          <w:sz w:val="24"/>
          <w:szCs w:val="24"/>
        </w:rPr>
        <w:t xml:space="preserve"> representação híbrida dos setores ali presentes.</w:t>
      </w:r>
    </w:p>
    <w:p w:rsidR="00552363" w:rsidRDefault="00F346DF" w:rsidP="0009772B">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O</w:t>
      </w:r>
      <w:r w:rsidR="0009772B">
        <w:rPr>
          <w:rFonts w:ascii="Times New Roman" w:hAnsi="Times New Roman"/>
          <w:sz w:val="24"/>
          <w:szCs w:val="24"/>
        </w:rPr>
        <w:t xml:space="preserve"> documento </w:t>
      </w:r>
      <w:r>
        <w:rPr>
          <w:rFonts w:ascii="Times New Roman" w:hAnsi="Times New Roman"/>
          <w:sz w:val="24"/>
          <w:szCs w:val="24"/>
        </w:rPr>
        <w:t xml:space="preserve">produzido pela FGV-RJ </w:t>
      </w:r>
      <w:r w:rsidR="0009772B">
        <w:rPr>
          <w:rFonts w:ascii="Times New Roman" w:hAnsi="Times New Roman"/>
          <w:sz w:val="24"/>
          <w:szCs w:val="24"/>
        </w:rPr>
        <w:t>trouxe produção de estudos de base sobre macroeconomia, ciência e tecnologia, redes sociais, saúde, educação, eficácia do Estado, segurança pública, sistema judiciário, reforma política e reforma do processo orçamentário.</w:t>
      </w:r>
      <w:r w:rsidR="0009772B">
        <w:rPr>
          <w:rStyle w:val="Refdenotaderodap"/>
          <w:rFonts w:ascii="Times New Roman" w:hAnsi="Times New Roman"/>
          <w:sz w:val="24"/>
          <w:szCs w:val="24"/>
        </w:rPr>
        <w:footnoteReference w:id="495"/>
      </w:r>
      <w:r>
        <w:rPr>
          <w:rFonts w:ascii="Times New Roman" w:hAnsi="Times New Roman"/>
          <w:sz w:val="24"/>
          <w:szCs w:val="24"/>
        </w:rPr>
        <w:t xml:space="preserve">Ela </w:t>
      </w:r>
      <w:r w:rsidR="0009772B">
        <w:rPr>
          <w:rFonts w:ascii="Times New Roman" w:hAnsi="Times New Roman"/>
          <w:sz w:val="24"/>
          <w:szCs w:val="24"/>
        </w:rPr>
        <w:t xml:space="preserve">havia produzido não somente um esboço de como poderia ser organizada a discussão sobre o “desenvolvimento com equidade”, oferecendo uma síntese acadêmica das principais questões e preocupações dos conselheiros à luz de uma metodologia empresarial e das concepções teóricas social-liberais que a compõe, mas também um elenco inicial de enunciados. </w:t>
      </w:r>
    </w:p>
    <w:p w:rsidR="0009772B" w:rsidRDefault="0009772B" w:rsidP="0009772B">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Segundo Tápia, “a opção por delegar à FGV a transformação da agenda num plano de governo de longo prazo causou grande insatisfação entre os conselheiros, embora isso não tenha vindo a público”</w:t>
      </w:r>
      <w:r w:rsidR="00941EF9">
        <w:rPr>
          <w:rFonts w:ascii="Times New Roman" w:hAnsi="Times New Roman"/>
          <w:sz w:val="24"/>
          <w:szCs w:val="24"/>
        </w:rPr>
        <w:t>,</w:t>
      </w:r>
      <w:r>
        <w:rPr>
          <w:rStyle w:val="Refdenotaderodap"/>
          <w:rFonts w:ascii="Times New Roman" w:hAnsi="Times New Roman"/>
          <w:sz w:val="24"/>
          <w:szCs w:val="24"/>
        </w:rPr>
        <w:footnoteReference w:id="496"/>
      </w:r>
      <w:r w:rsidR="00941EF9">
        <w:rPr>
          <w:rFonts w:ascii="Times New Roman" w:hAnsi="Times New Roman"/>
          <w:sz w:val="24"/>
          <w:szCs w:val="24"/>
        </w:rPr>
        <w:t xml:space="preserve">afinal foram os próprios conselheiros que se envolveram na elaboração da AND e a gestão de Tarso Genro apontava para a mudança desse </w:t>
      </w:r>
      <w:r w:rsidR="00941EF9">
        <w:rPr>
          <w:rFonts w:ascii="Times New Roman" w:hAnsi="Times New Roman"/>
          <w:i/>
          <w:sz w:val="24"/>
          <w:szCs w:val="24"/>
        </w:rPr>
        <w:t>modus operandi</w:t>
      </w:r>
      <w:r w:rsidR="00941EF9">
        <w:rPr>
          <w:rFonts w:ascii="Times New Roman" w:hAnsi="Times New Roman"/>
          <w:sz w:val="24"/>
          <w:szCs w:val="24"/>
        </w:rPr>
        <w:t>.</w:t>
      </w:r>
      <w:r>
        <w:rPr>
          <w:rFonts w:ascii="Times New Roman" w:hAnsi="Times New Roman"/>
          <w:sz w:val="24"/>
          <w:szCs w:val="24"/>
        </w:rPr>
        <w:t xml:space="preserve">Ainda de acordo com o autor, Tarso Genro, “reconhecendo necessidade de responder positivamente às críticas (...) fez um pedido para que os conselheiros apresentassem sugestões de enunciados, que seriam examinados pela FGV e pela </w:t>
      </w:r>
      <w:r w:rsidR="00F928B3">
        <w:rPr>
          <w:rFonts w:ascii="Times New Roman" w:hAnsi="Times New Roman"/>
          <w:sz w:val="24"/>
          <w:szCs w:val="24"/>
        </w:rPr>
        <w:t>SEDES</w:t>
      </w:r>
      <w:r>
        <w:rPr>
          <w:rFonts w:ascii="Times New Roman" w:hAnsi="Times New Roman"/>
          <w:sz w:val="24"/>
          <w:szCs w:val="24"/>
        </w:rPr>
        <w:t>”.</w:t>
      </w:r>
      <w:r>
        <w:rPr>
          <w:rStyle w:val="Refdenotaderodap"/>
          <w:rFonts w:ascii="Times New Roman" w:hAnsi="Times New Roman"/>
          <w:sz w:val="24"/>
          <w:szCs w:val="24"/>
        </w:rPr>
        <w:footnoteReference w:id="497"/>
      </w:r>
      <w:r>
        <w:rPr>
          <w:rFonts w:ascii="Times New Roman" w:hAnsi="Times New Roman"/>
          <w:sz w:val="24"/>
          <w:szCs w:val="24"/>
        </w:rPr>
        <w:t xml:space="preserve"> De fato, no final da 18ª reunião plenária, Tarso Genro asseverou que</w:t>
      </w:r>
    </w:p>
    <w:p w:rsidR="0009772B" w:rsidRPr="006C5E4B" w:rsidRDefault="0009772B" w:rsidP="0009772B">
      <w:pPr>
        <w:autoSpaceDE w:val="0"/>
        <w:autoSpaceDN w:val="0"/>
        <w:adjustRightInd w:val="0"/>
        <w:spacing w:line="240" w:lineRule="auto"/>
        <w:ind w:left="2268"/>
        <w:jc w:val="both"/>
        <w:rPr>
          <w:rFonts w:ascii="Times New Roman" w:hAnsi="Times New Roman"/>
          <w:sz w:val="20"/>
          <w:szCs w:val="20"/>
        </w:rPr>
      </w:pPr>
      <w:r w:rsidRPr="006C5E4B">
        <w:rPr>
          <w:rFonts w:ascii="Times New Roman" w:hAnsi="Times New Roman"/>
          <w:sz w:val="20"/>
          <w:szCs w:val="20"/>
        </w:rPr>
        <w:t xml:space="preserve">Eu acho que é importante a partir de agora os conselheiros e conselheiras comecem a remeter enunciados, podemos dizer assim enunciados lapidários, aquilo que julgam já estar pronto para ser proposto como elemento de uma agenda e para que a gente comece a condensar isso e trabalhar </w:t>
      </w:r>
      <w:r>
        <w:rPr>
          <w:rFonts w:ascii="Times New Roman" w:hAnsi="Times New Roman"/>
          <w:sz w:val="20"/>
          <w:szCs w:val="20"/>
        </w:rPr>
        <w:t>c</w:t>
      </w:r>
      <w:r w:rsidRPr="006C5E4B">
        <w:rPr>
          <w:rFonts w:ascii="Times New Roman" w:hAnsi="Times New Roman"/>
          <w:sz w:val="20"/>
          <w:szCs w:val="20"/>
        </w:rPr>
        <w:t xml:space="preserve">om a Fundação e interagir com o Conselho para que a gente, em uma próxima reunião tenha um trabalho a ser avaliado. </w:t>
      </w:r>
      <w:r w:rsidRPr="00F346DF">
        <w:rPr>
          <w:rFonts w:ascii="Times New Roman" w:hAnsi="Times New Roman"/>
          <w:b/>
          <w:sz w:val="20"/>
          <w:szCs w:val="20"/>
        </w:rPr>
        <w:t>Alguns exemplos de enunciados já foram dados aqui pela FGV</w:t>
      </w:r>
      <w:r w:rsidRPr="006C5E4B">
        <w:rPr>
          <w:rFonts w:ascii="Times New Roman" w:hAnsi="Times New Roman"/>
          <w:sz w:val="20"/>
          <w:szCs w:val="20"/>
        </w:rPr>
        <w:t xml:space="preserve">, mas nós precisamos que os conselheiros interajam para que a gente tenha a capacidade de selecionar aqueles enunciados que são mais passíveis de acordo, de consenso, aqueles que </w:t>
      </w:r>
      <w:r>
        <w:rPr>
          <w:rFonts w:ascii="Times New Roman" w:hAnsi="Times New Roman"/>
          <w:sz w:val="20"/>
          <w:szCs w:val="20"/>
        </w:rPr>
        <w:t>são menos passíveis de consenso (ATA, 18ª Reunião Plenária, p. 25</w:t>
      </w:r>
      <w:r w:rsidR="00F346DF">
        <w:rPr>
          <w:rFonts w:ascii="Times New Roman" w:hAnsi="Times New Roman"/>
          <w:sz w:val="20"/>
          <w:szCs w:val="20"/>
        </w:rPr>
        <w:t>, grifos meus</w:t>
      </w:r>
      <w:r>
        <w:rPr>
          <w:rFonts w:ascii="Times New Roman" w:hAnsi="Times New Roman"/>
          <w:sz w:val="20"/>
          <w:szCs w:val="20"/>
        </w:rPr>
        <w:t>).</w:t>
      </w:r>
    </w:p>
    <w:p w:rsidR="009A7824" w:rsidRDefault="009A7824" w:rsidP="00833C3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Para Tápia, converter a AND em metas de planejamento exequíveis</w:t>
      </w:r>
      <w:r w:rsidR="00833C3C">
        <w:rPr>
          <w:rFonts w:ascii="Times New Roman" w:hAnsi="Times New Roman"/>
          <w:sz w:val="24"/>
          <w:szCs w:val="24"/>
        </w:rPr>
        <w:t xml:space="preserve"> e prioritárias significaria considerar que o CDES firmava um sólido consenso sobre o tema do desenvolvimento, mas, segundo o autor, o</w:t>
      </w:r>
      <w:r>
        <w:rPr>
          <w:rFonts w:ascii="Times New Roman" w:hAnsi="Times New Roman"/>
          <w:sz w:val="24"/>
          <w:szCs w:val="24"/>
        </w:rPr>
        <w:t xml:space="preserve">s debates travados no plenário prejudicaram essa hipótese porque </w:t>
      </w:r>
      <w:r>
        <w:rPr>
          <w:rFonts w:ascii="Times New Roman" w:hAnsi="Times New Roman"/>
          <w:i/>
          <w:sz w:val="24"/>
          <w:szCs w:val="24"/>
        </w:rPr>
        <w:t>houve manifestações de conselheiros problematizando justamente a tese de uma visão consensual sólida entre os membros do CDES</w:t>
      </w:r>
      <w:r>
        <w:rPr>
          <w:rFonts w:ascii="Times New Roman" w:hAnsi="Times New Roman"/>
          <w:sz w:val="24"/>
          <w:szCs w:val="24"/>
        </w:rPr>
        <w:t>”.</w:t>
      </w:r>
      <w:r>
        <w:rPr>
          <w:rStyle w:val="Refdenotaderodap"/>
          <w:rFonts w:ascii="Times New Roman" w:hAnsi="Times New Roman"/>
          <w:sz w:val="24"/>
          <w:szCs w:val="24"/>
        </w:rPr>
        <w:footnoteReference w:id="498"/>
      </w:r>
    </w:p>
    <w:p w:rsidR="009A7824" w:rsidRDefault="009A7824" w:rsidP="009A7824">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O principal argumento acionado pelo autor para mostrar a defendida “insatisfação” dos conselheiros foi a intervenção do conselheiro e economista José Carlos Braga, na 18ª reunião plenária.</w:t>
      </w:r>
      <w:r w:rsidR="00D60F67">
        <w:rPr>
          <w:rStyle w:val="Refdenotaderodap"/>
          <w:rFonts w:ascii="Times New Roman" w:hAnsi="Times New Roman"/>
          <w:sz w:val="24"/>
          <w:szCs w:val="24"/>
        </w:rPr>
        <w:footnoteReference w:id="499"/>
      </w:r>
      <w:r>
        <w:rPr>
          <w:rFonts w:ascii="Times New Roman" w:hAnsi="Times New Roman"/>
          <w:sz w:val="24"/>
          <w:szCs w:val="24"/>
        </w:rPr>
        <w:t xml:space="preserve"> Nela, o professor da Unicamp </w:t>
      </w:r>
      <w:r w:rsidR="00941EF9">
        <w:rPr>
          <w:rFonts w:ascii="Times New Roman" w:hAnsi="Times New Roman"/>
          <w:sz w:val="24"/>
          <w:szCs w:val="24"/>
        </w:rPr>
        <w:t xml:space="preserve">alertava para a necessidade </w:t>
      </w:r>
      <w:r w:rsidR="00195E2B">
        <w:rPr>
          <w:rFonts w:ascii="Times New Roman" w:hAnsi="Times New Roman"/>
          <w:sz w:val="24"/>
          <w:szCs w:val="24"/>
        </w:rPr>
        <w:t>de qualificar o debate acerca do padrão de</w:t>
      </w:r>
      <w:r w:rsidR="00941EF9">
        <w:rPr>
          <w:rFonts w:ascii="Times New Roman" w:hAnsi="Times New Roman"/>
          <w:sz w:val="24"/>
          <w:szCs w:val="24"/>
        </w:rPr>
        <w:t xml:space="preserve"> desenvolvimento </w:t>
      </w:r>
      <w:r w:rsidR="00195E2B">
        <w:rPr>
          <w:rFonts w:ascii="Times New Roman" w:hAnsi="Times New Roman"/>
          <w:sz w:val="24"/>
          <w:szCs w:val="24"/>
        </w:rPr>
        <w:t xml:space="preserve">do país desde os anos 90. Não é que não havia um padrão de crescimento econômico, mas a questão se era aquele o desejável: </w:t>
      </w:r>
    </w:p>
    <w:p w:rsidR="009A7824" w:rsidRPr="0002762E" w:rsidRDefault="009A7824" w:rsidP="009A7824">
      <w:pPr>
        <w:autoSpaceDE w:val="0"/>
        <w:autoSpaceDN w:val="0"/>
        <w:adjustRightInd w:val="0"/>
        <w:spacing w:line="240" w:lineRule="auto"/>
        <w:ind w:left="2268"/>
        <w:jc w:val="both"/>
        <w:rPr>
          <w:rFonts w:ascii="Times New Roman" w:hAnsi="Times New Roman"/>
          <w:sz w:val="20"/>
          <w:szCs w:val="20"/>
        </w:rPr>
      </w:pPr>
      <w:r w:rsidRPr="0002762E">
        <w:rPr>
          <w:rFonts w:ascii="Times New Roman" w:hAnsi="Times New Roman"/>
          <w:sz w:val="20"/>
          <w:szCs w:val="20"/>
        </w:rPr>
        <w:t>A tendência no Brasil é a seguinte: cresçamos. Falando nisso, na verdade, ao contrário da tese vigente, existe sim um padrão de crescimento no Brasil de 94 para cá. Não é verdade que não existe este padrão. A meu juízo ele já existe, sim. Tomemos as grandes empresas. (...) as grandes empresas brasileiras, nacionais e multinacionais, de médio e de grande porte estão muito bem, obrigado. Os bancos estão muito bem, obrigado. A inflação está baixa no Brasil, a balança comercial vai muito bem, obrigado. O governo Lula crescendo pouco está até distribuindo renda, não se falou isso aqui. Há três semanas saiu um dado importantíssimo que o governo Lula está distribuindo renda, está crescendo pouco, faz superávit fiscal. Isso não é um padrão de crescimento capitalista, é? Não é o desenvolvimento que nós queremos, não? Que o Celso Furtado queria? Que o Presidente Lula deseja? Que a sociedade brasileira deseja? Mas é um padrão de desenvolvimento capitalista, sim senhor, com inflação baixa. As empresas brasileiras nacionais e multinacionais vão muito bem. Basta olhar o balanço delas. Então há um certo erro no debate que precisa ser corrigido. Então cresçamos. Qual o crescimento, Ministro? (...) Há divergência e é preciso explicitá-la. Porque se não parece que vamos crescer para onde, para qual lado, com que perfil?</w:t>
      </w:r>
      <w:r>
        <w:rPr>
          <w:rFonts w:ascii="Times New Roman" w:hAnsi="Times New Roman"/>
          <w:sz w:val="20"/>
          <w:szCs w:val="20"/>
        </w:rPr>
        <w:t xml:space="preserve"> Porque se não daqui a vinte anos estaremos de novo: crescemos sim, mas continuaremos miseráveis (...) E esse não é o crescimento que o Brasil quer em sua maioria, e esta questão precisa ser aprofundada, ministro, no Conselho, antes que ele acabe (ATA 18ª Reunião Plenária, 29/06/2006, p. 21).</w:t>
      </w:r>
    </w:p>
    <w:p w:rsidR="00195E2B" w:rsidRPr="00696A38" w:rsidRDefault="003963FE" w:rsidP="0009772B">
      <w:pPr>
        <w:autoSpaceDE w:val="0"/>
        <w:autoSpaceDN w:val="0"/>
        <w:adjustRightInd w:val="0"/>
        <w:spacing w:after="0" w:line="360" w:lineRule="auto"/>
        <w:ind w:firstLine="708"/>
        <w:jc w:val="both"/>
        <w:rPr>
          <w:rFonts w:ascii="Times New Roman" w:hAnsi="Times New Roman"/>
          <w:sz w:val="24"/>
          <w:szCs w:val="24"/>
        </w:rPr>
      </w:pPr>
      <w:r w:rsidRPr="00696A38">
        <w:rPr>
          <w:rFonts w:ascii="Times New Roman" w:hAnsi="Times New Roman"/>
          <w:sz w:val="24"/>
          <w:szCs w:val="24"/>
        </w:rPr>
        <w:t xml:space="preserve">Braga </w:t>
      </w:r>
      <w:r w:rsidR="0001130C" w:rsidRPr="00696A38">
        <w:rPr>
          <w:rFonts w:ascii="Times New Roman" w:hAnsi="Times New Roman"/>
          <w:sz w:val="24"/>
          <w:szCs w:val="24"/>
        </w:rPr>
        <w:t>responde</w:t>
      </w:r>
      <w:r w:rsidR="00C41FFA" w:rsidRPr="00696A38">
        <w:rPr>
          <w:rFonts w:ascii="Times New Roman" w:hAnsi="Times New Roman"/>
          <w:sz w:val="24"/>
          <w:szCs w:val="24"/>
        </w:rPr>
        <w:t>a</w:t>
      </w:r>
      <w:r w:rsidRPr="00696A38">
        <w:rPr>
          <w:rFonts w:ascii="Times New Roman" w:hAnsi="Times New Roman"/>
          <w:sz w:val="24"/>
          <w:szCs w:val="24"/>
        </w:rPr>
        <w:t xml:space="preserve"> algumas passagens de Leal </w:t>
      </w:r>
      <w:r w:rsidR="00D73A28">
        <w:rPr>
          <w:rFonts w:ascii="Times New Roman" w:hAnsi="Times New Roman"/>
          <w:sz w:val="24"/>
          <w:szCs w:val="24"/>
        </w:rPr>
        <w:t>quando est</w:t>
      </w:r>
      <w:r w:rsidR="0001130C" w:rsidRPr="00696A38">
        <w:rPr>
          <w:rFonts w:ascii="Times New Roman" w:hAnsi="Times New Roman"/>
          <w:sz w:val="24"/>
          <w:szCs w:val="24"/>
        </w:rPr>
        <w:t xml:space="preserve">e aborda </w:t>
      </w:r>
      <w:r w:rsidRPr="00696A38">
        <w:rPr>
          <w:rFonts w:ascii="Times New Roman" w:hAnsi="Times New Roman"/>
          <w:sz w:val="24"/>
          <w:szCs w:val="24"/>
        </w:rPr>
        <w:t xml:space="preserve">o tema do desenvolvimento, </w:t>
      </w:r>
      <w:r w:rsidR="00195E2B" w:rsidRPr="00696A38">
        <w:rPr>
          <w:rFonts w:ascii="Times New Roman" w:hAnsi="Times New Roman"/>
          <w:sz w:val="24"/>
          <w:szCs w:val="24"/>
        </w:rPr>
        <w:t>na mesma reunião plen</w:t>
      </w:r>
      <w:r w:rsidRPr="00696A38">
        <w:rPr>
          <w:rFonts w:ascii="Times New Roman" w:hAnsi="Times New Roman"/>
          <w:sz w:val="24"/>
          <w:szCs w:val="24"/>
        </w:rPr>
        <w:t xml:space="preserve">ária, mencionando </w:t>
      </w:r>
      <w:r w:rsidR="00195E2B" w:rsidRPr="00696A38">
        <w:rPr>
          <w:rFonts w:ascii="Times New Roman" w:hAnsi="Times New Roman"/>
          <w:sz w:val="24"/>
          <w:szCs w:val="24"/>
        </w:rPr>
        <w:t xml:space="preserve">que </w:t>
      </w:r>
    </w:p>
    <w:p w:rsidR="003963FE" w:rsidRPr="00696A38" w:rsidRDefault="00195E2B" w:rsidP="00195E2B">
      <w:pPr>
        <w:autoSpaceDE w:val="0"/>
        <w:autoSpaceDN w:val="0"/>
        <w:adjustRightInd w:val="0"/>
        <w:spacing w:after="0" w:line="240" w:lineRule="auto"/>
        <w:ind w:left="2268"/>
        <w:jc w:val="both"/>
        <w:rPr>
          <w:rFonts w:ascii="Times New Roman" w:hAnsi="Times New Roman"/>
          <w:sz w:val="20"/>
          <w:szCs w:val="20"/>
        </w:rPr>
      </w:pPr>
      <w:r w:rsidRPr="00696A38">
        <w:rPr>
          <w:rFonts w:ascii="Times New Roman" w:hAnsi="Times New Roman"/>
          <w:sz w:val="20"/>
          <w:szCs w:val="20"/>
        </w:rPr>
        <w:t>“</w:t>
      </w:r>
      <w:r w:rsidR="00F9035C" w:rsidRPr="00696A38">
        <w:rPr>
          <w:rFonts w:ascii="Times New Roman" w:hAnsi="Times New Roman"/>
          <w:sz w:val="20"/>
          <w:szCs w:val="20"/>
        </w:rPr>
        <w:t xml:space="preserve">(...) </w:t>
      </w:r>
      <w:r w:rsidRPr="00696A38">
        <w:rPr>
          <w:rFonts w:ascii="Times New Roman" w:hAnsi="Times New Roman"/>
          <w:sz w:val="20"/>
          <w:szCs w:val="20"/>
        </w:rPr>
        <w:t xml:space="preserve">na busca de um desenvolvimento com equidade é necessário resgatar essa visão de desenvolvimento nacional como uma coisa boa”. </w:t>
      </w:r>
    </w:p>
    <w:p w:rsidR="003963FE" w:rsidRPr="00696A38" w:rsidRDefault="00195E2B" w:rsidP="00195E2B">
      <w:pPr>
        <w:autoSpaceDE w:val="0"/>
        <w:autoSpaceDN w:val="0"/>
        <w:adjustRightInd w:val="0"/>
        <w:spacing w:after="0" w:line="240" w:lineRule="auto"/>
        <w:ind w:left="2268"/>
        <w:jc w:val="both"/>
        <w:rPr>
          <w:rFonts w:ascii="Times New Roman" w:hAnsi="Times New Roman"/>
          <w:sz w:val="20"/>
          <w:szCs w:val="20"/>
        </w:rPr>
      </w:pPr>
      <w:r w:rsidRPr="00696A38">
        <w:rPr>
          <w:rFonts w:ascii="Times New Roman" w:hAnsi="Times New Roman"/>
          <w:sz w:val="20"/>
          <w:szCs w:val="20"/>
        </w:rPr>
        <w:t xml:space="preserve">“Nós precisamos retomar o caminho do desenvolvimento, esse desenvolvimento tem que ser com equidade, mas também não vai haver equidade sem desenvolvimento”. </w:t>
      </w:r>
    </w:p>
    <w:p w:rsidR="003963FE" w:rsidRPr="00696A38" w:rsidRDefault="00195E2B" w:rsidP="00195E2B">
      <w:pPr>
        <w:autoSpaceDE w:val="0"/>
        <w:autoSpaceDN w:val="0"/>
        <w:adjustRightInd w:val="0"/>
        <w:spacing w:after="0" w:line="240" w:lineRule="auto"/>
        <w:ind w:left="2268"/>
        <w:jc w:val="both"/>
        <w:rPr>
          <w:rFonts w:ascii="Times New Roman" w:hAnsi="Times New Roman"/>
          <w:sz w:val="20"/>
          <w:szCs w:val="20"/>
        </w:rPr>
      </w:pPr>
      <w:r w:rsidRPr="00696A38">
        <w:rPr>
          <w:rFonts w:ascii="Times New Roman" w:hAnsi="Times New Roman"/>
          <w:sz w:val="20"/>
          <w:szCs w:val="20"/>
        </w:rPr>
        <w:t>“</w:t>
      </w:r>
      <w:r w:rsidR="003963FE" w:rsidRPr="00696A38">
        <w:rPr>
          <w:rFonts w:ascii="Times New Roman" w:hAnsi="Times New Roman"/>
          <w:sz w:val="20"/>
          <w:szCs w:val="20"/>
        </w:rPr>
        <w:t xml:space="preserve">(...) </w:t>
      </w:r>
      <w:r w:rsidRPr="00696A38">
        <w:rPr>
          <w:rFonts w:ascii="Times New Roman" w:hAnsi="Times New Roman"/>
          <w:sz w:val="20"/>
          <w:szCs w:val="20"/>
        </w:rPr>
        <w:t>ou você retoma o desenvolvimento (...) ou vamos continuar enxugando gelo(...)</w:t>
      </w:r>
      <w:r w:rsidR="00F9035C" w:rsidRPr="00696A38">
        <w:rPr>
          <w:rFonts w:ascii="Times New Roman" w:hAnsi="Times New Roman"/>
          <w:sz w:val="20"/>
          <w:szCs w:val="20"/>
        </w:rPr>
        <w:t>”</w:t>
      </w:r>
      <w:r w:rsidRPr="00696A38">
        <w:rPr>
          <w:rFonts w:ascii="Times New Roman" w:hAnsi="Times New Roman"/>
          <w:sz w:val="20"/>
          <w:szCs w:val="20"/>
        </w:rPr>
        <w:t xml:space="preserve">. </w:t>
      </w:r>
    </w:p>
    <w:p w:rsidR="00F346DF" w:rsidRPr="00696A38" w:rsidRDefault="00195E2B" w:rsidP="00195E2B">
      <w:pPr>
        <w:autoSpaceDE w:val="0"/>
        <w:autoSpaceDN w:val="0"/>
        <w:adjustRightInd w:val="0"/>
        <w:spacing w:after="0" w:line="240" w:lineRule="auto"/>
        <w:ind w:left="2268"/>
        <w:jc w:val="both"/>
        <w:rPr>
          <w:rFonts w:ascii="Times New Roman" w:hAnsi="Times New Roman"/>
          <w:sz w:val="20"/>
          <w:szCs w:val="20"/>
        </w:rPr>
      </w:pPr>
      <w:r w:rsidRPr="00696A38">
        <w:rPr>
          <w:rFonts w:ascii="Times New Roman" w:hAnsi="Times New Roman"/>
          <w:sz w:val="20"/>
          <w:szCs w:val="20"/>
        </w:rPr>
        <w:t xml:space="preserve"> “</w:t>
      </w:r>
      <w:r w:rsidR="003963FE" w:rsidRPr="00696A38">
        <w:rPr>
          <w:rFonts w:ascii="Times New Roman" w:hAnsi="Times New Roman"/>
          <w:sz w:val="20"/>
          <w:szCs w:val="20"/>
        </w:rPr>
        <w:t xml:space="preserve">(...) </w:t>
      </w:r>
      <w:r w:rsidRPr="00696A38">
        <w:rPr>
          <w:rFonts w:ascii="Times New Roman" w:hAnsi="Times New Roman"/>
          <w:sz w:val="20"/>
          <w:szCs w:val="20"/>
        </w:rPr>
        <w:t>se não houver esse concerto não vai haver reforma, não vai haver nada andando par</w:t>
      </w:r>
      <w:r w:rsidR="00D73A28">
        <w:rPr>
          <w:rFonts w:ascii="Times New Roman" w:hAnsi="Times New Roman"/>
          <w:sz w:val="20"/>
          <w:szCs w:val="20"/>
        </w:rPr>
        <w:t>a</w:t>
      </w:r>
      <w:r w:rsidRPr="00696A38">
        <w:rPr>
          <w:rFonts w:ascii="Times New Roman" w:hAnsi="Times New Roman"/>
          <w:sz w:val="20"/>
          <w:szCs w:val="20"/>
        </w:rPr>
        <w:t xml:space="preserve"> frente e aí nos vamos ficar onde estamos”</w:t>
      </w:r>
      <w:r w:rsidR="00C41FFA" w:rsidRPr="00696A38">
        <w:rPr>
          <w:rFonts w:ascii="Times New Roman" w:hAnsi="Times New Roman"/>
          <w:sz w:val="20"/>
          <w:szCs w:val="20"/>
        </w:rPr>
        <w:t>. (idem, p. 4-6)</w:t>
      </w:r>
    </w:p>
    <w:p w:rsidR="00195E2B" w:rsidRPr="00696A38" w:rsidRDefault="00195E2B" w:rsidP="00195E2B">
      <w:pPr>
        <w:autoSpaceDE w:val="0"/>
        <w:autoSpaceDN w:val="0"/>
        <w:adjustRightInd w:val="0"/>
        <w:spacing w:after="0" w:line="240" w:lineRule="auto"/>
        <w:jc w:val="both"/>
        <w:rPr>
          <w:rFonts w:ascii="Times New Roman" w:hAnsi="Times New Roman"/>
          <w:sz w:val="20"/>
          <w:szCs w:val="20"/>
        </w:rPr>
      </w:pPr>
    </w:p>
    <w:p w:rsidR="0001130C" w:rsidRDefault="0009772B" w:rsidP="0009772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Braga havia levantado uma questão numa abordagem até então inédita nas intervenções plenárias: havia sim um evidente padrão de desenvolvimento capitalista calcado na expansão da acumulação dos grandes capitais monopolistas, inaugurado com o plano real e mantido durante o governo Lula. Mantido o regime de metas inflacionárias e de superávit fiscal, o governo conseguira distribuir timidamente a renda, mesmo com baixo crescimento. Com razão, isto não expressava ausência de desenvolvimento, tantas vezes reclamada no CDES</w:t>
      </w:r>
      <w:r w:rsidR="0001130C">
        <w:rPr>
          <w:rFonts w:ascii="Times New Roman" w:hAnsi="Times New Roman"/>
          <w:sz w:val="24"/>
          <w:szCs w:val="24"/>
        </w:rPr>
        <w:t xml:space="preserve"> e trazida várias vezes pelo presidente da FGV-RJ, Carlos Leal</w:t>
      </w:r>
      <w:r>
        <w:rPr>
          <w:rFonts w:ascii="Times New Roman" w:hAnsi="Times New Roman"/>
          <w:sz w:val="24"/>
          <w:szCs w:val="24"/>
        </w:rPr>
        <w:t xml:space="preserve">, mas a permanência de um perfil de desenvolvimento cujos ganhadores estavam muito bem definidos. Ora, Braga sabia muito bem que investir no aprofundamento destas discussões no CDES era caminhar não para a “concertação” social – a própria composição oligopolista do Conselho dificultaria tal intento -, mas para a exposição de limites precisos e contradições impossíveis de serem dirimidas sem que houvesse perdas para o grande capital. </w:t>
      </w:r>
    </w:p>
    <w:p w:rsidR="0009772B" w:rsidRDefault="0001130C" w:rsidP="0001130C">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O debate foi continuado pela intervenção </w:t>
      </w:r>
      <w:r w:rsidR="0009772B">
        <w:rPr>
          <w:rFonts w:ascii="Times New Roman" w:hAnsi="Times New Roman"/>
          <w:sz w:val="24"/>
          <w:szCs w:val="24"/>
        </w:rPr>
        <w:t xml:space="preserve">do conselheiro Ademir Figueiredo (suplente de Clemente Ganz Lúcio, do Dieese), feita imediatamente após a intervenção de Braga, a qual alude que “o trabalho participava em 1990 com 58% e caiu para 45%” na distribuição funcional da renda. Continuava o conselheiro: </w:t>
      </w:r>
    </w:p>
    <w:p w:rsidR="0009772B" w:rsidRPr="00F25469" w:rsidRDefault="0009772B" w:rsidP="0009772B">
      <w:pPr>
        <w:autoSpaceDE w:val="0"/>
        <w:autoSpaceDN w:val="0"/>
        <w:adjustRightInd w:val="0"/>
        <w:spacing w:line="240" w:lineRule="auto"/>
        <w:ind w:left="2268"/>
        <w:jc w:val="both"/>
        <w:rPr>
          <w:rFonts w:ascii="Times New Roman" w:hAnsi="Times New Roman"/>
          <w:sz w:val="20"/>
          <w:szCs w:val="20"/>
        </w:rPr>
      </w:pPr>
      <w:r w:rsidRPr="00F25469">
        <w:rPr>
          <w:rFonts w:ascii="Times New Roman" w:hAnsi="Times New Roman"/>
          <w:sz w:val="20"/>
          <w:szCs w:val="20"/>
        </w:rPr>
        <w:t xml:space="preserve">Então, além de não crescer para incluir, tem uma transferência de rendimento. E é a transferência de rendimento que está fazendo com que essa sociedade cada vez acumule mais misérias. </w:t>
      </w:r>
      <w:r w:rsidRPr="00F25469">
        <w:rPr>
          <w:rFonts w:ascii="Times New Roman" w:hAnsi="Times New Roman"/>
          <w:b/>
          <w:sz w:val="20"/>
          <w:szCs w:val="20"/>
        </w:rPr>
        <w:t>Isso não quer dizer que todo o capital está ganhando, mas tem um capital ganhando, sim. O professor tem razão, tem um capital ganhando nessa sociedade e se a gente não olhar para isso nós não vamos saber quem são os aliados num projeto de concertação porque para alguns pode estar muito bom</w:t>
      </w:r>
      <w:r w:rsidRPr="00F25469">
        <w:rPr>
          <w:rFonts w:ascii="Times New Roman" w:hAnsi="Times New Roman"/>
          <w:sz w:val="20"/>
          <w:szCs w:val="20"/>
        </w:rPr>
        <w:t>. Nós estamos chamando a atenção para isso</w:t>
      </w:r>
      <w:r>
        <w:rPr>
          <w:rFonts w:ascii="Times New Roman" w:hAnsi="Times New Roman"/>
          <w:sz w:val="20"/>
          <w:szCs w:val="20"/>
        </w:rPr>
        <w:t xml:space="preserve"> (idem: p. 22, grifos meus).</w:t>
      </w:r>
    </w:p>
    <w:p w:rsidR="0009772B" w:rsidRDefault="0009772B" w:rsidP="00654F0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 xml:space="preserve">O que nos importa é realçar que a intervenção de Braga, no CDES, inovava na sustentação de que a apropriação dos excedentes da riqueza social produzida no Brasil era realizada pelo grande capital monopolista em geral, </w:t>
      </w:r>
      <w:r w:rsidRPr="009D7C90">
        <w:rPr>
          <w:rFonts w:ascii="Times New Roman" w:hAnsi="Times New Roman"/>
          <w:i/>
          <w:sz w:val="24"/>
          <w:szCs w:val="24"/>
        </w:rPr>
        <w:t>não importando qual a fração ou origem do capital</w:t>
      </w:r>
      <w:r>
        <w:rPr>
          <w:rFonts w:ascii="Times New Roman" w:hAnsi="Times New Roman"/>
          <w:i/>
          <w:sz w:val="24"/>
          <w:szCs w:val="24"/>
        </w:rPr>
        <w:t xml:space="preserve"> beneficiada</w:t>
      </w:r>
      <w:r>
        <w:rPr>
          <w:rFonts w:ascii="Times New Roman" w:hAnsi="Times New Roman"/>
          <w:sz w:val="24"/>
          <w:szCs w:val="24"/>
        </w:rPr>
        <w:t xml:space="preserve">. Já o conteúdo do dissenso trazido pelo pronunciamento do conselheiro Figueiredo </w:t>
      </w:r>
      <w:r w:rsidR="0041548B">
        <w:rPr>
          <w:rFonts w:ascii="Times New Roman" w:hAnsi="Times New Roman"/>
          <w:sz w:val="24"/>
          <w:szCs w:val="24"/>
        </w:rPr>
        <w:t xml:space="preserve">(DIEESE) </w:t>
      </w:r>
      <w:r>
        <w:rPr>
          <w:rFonts w:ascii="Times New Roman" w:hAnsi="Times New Roman"/>
          <w:sz w:val="24"/>
          <w:szCs w:val="24"/>
        </w:rPr>
        <w:t xml:space="preserve">não era em si algo pioneiro no CDES: ele aproveitou a posição de Braga para </w:t>
      </w:r>
      <w:r w:rsidR="00E835F1">
        <w:rPr>
          <w:rFonts w:ascii="Times New Roman" w:hAnsi="Times New Roman"/>
          <w:sz w:val="24"/>
          <w:szCs w:val="24"/>
        </w:rPr>
        <w:t xml:space="preserve">“apaziguar” a discussão e </w:t>
      </w:r>
      <w:r>
        <w:rPr>
          <w:rFonts w:ascii="Times New Roman" w:hAnsi="Times New Roman"/>
          <w:sz w:val="24"/>
          <w:szCs w:val="24"/>
        </w:rPr>
        <w:t xml:space="preserve">defender que seria ilusória a tratativa social </w:t>
      </w:r>
      <w:r w:rsidRPr="0041548B">
        <w:rPr>
          <w:rFonts w:ascii="Times New Roman" w:hAnsi="Times New Roman"/>
          <w:i/>
          <w:sz w:val="24"/>
          <w:szCs w:val="24"/>
        </w:rPr>
        <w:t>por meio de uma concertação mudancista</w:t>
      </w:r>
      <w:r w:rsidRPr="009C3E71">
        <w:rPr>
          <w:rFonts w:ascii="Times New Roman" w:hAnsi="Times New Roman"/>
          <w:i/>
          <w:sz w:val="24"/>
          <w:szCs w:val="24"/>
        </w:rPr>
        <w:t>com os agentes de um dado capital</w:t>
      </w:r>
      <w:r w:rsidR="0041548B">
        <w:rPr>
          <w:rFonts w:ascii="Times New Roman" w:hAnsi="Times New Roman"/>
          <w:i/>
          <w:sz w:val="24"/>
          <w:szCs w:val="24"/>
        </w:rPr>
        <w:t xml:space="preserve"> e não com o próprio capital</w:t>
      </w:r>
      <w:r>
        <w:rPr>
          <w:rFonts w:ascii="Times New Roman" w:hAnsi="Times New Roman"/>
          <w:sz w:val="24"/>
          <w:szCs w:val="24"/>
        </w:rPr>
        <w:t xml:space="preserve">. Figueiredo recupera a intervenção crítica de Braga, mas alveja uma direção específica, retomando críticas </w:t>
      </w:r>
      <w:r w:rsidR="006C1D5F">
        <w:rPr>
          <w:rFonts w:ascii="Times New Roman" w:hAnsi="Times New Roman"/>
          <w:sz w:val="24"/>
          <w:szCs w:val="24"/>
        </w:rPr>
        <w:t>bastante recorrentes</w:t>
      </w:r>
      <w:r>
        <w:rPr>
          <w:rFonts w:ascii="Times New Roman" w:hAnsi="Times New Roman"/>
          <w:sz w:val="24"/>
          <w:szCs w:val="24"/>
        </w:rPr>
        <w:t xml:space="preserve"> nas intervenções </w:t>
      </w:r>
      <w:r w:rsidR="00DF4242">
        <w:rPr>
          <w:rFonts w:ascii="Times New Roman" w:hAnsi="Times New Roman"/>
          <w:sz w:val="24"/>
          <w:szCs w:val="24"/>
        </w:rPr>
        <w:t xml:space="preserve">de reuniões </w:t>
      </w:r>
      <w:r>
        <w:rPr>
          <w:rFonts w:ascii="Times New Roman" w:hAnsi="Times New Roman"/>
          <w:sz w:val="24"/>
          <w:szCs w:val="24"/>
        </w:rPr>
        <w:t xml:space="preserve">pretéritas de outros conselheiros do CDES: tributar a captura do fundo público (do Orçamento da União, em particular) às políticas de privilegiamento ao capital </w:t>
      </w:r>
      <w:r w:rsidR="00E835F1">
        <w:rPr>
          <w:rFonts w:ascii="Times New Roman" w:hAnsi="Times New Roman"/>
          <w:sz w:val="24"/>
          <w:szCs w:val="24"/>
        </w:rPr>
        <w:t>bancário-</w:t>
      </w:r>
      <w:r>
        <w:rPr>
          <w:rFonts w:ascii="Times New Roman" w:hAnsi="Times New Roman"/>
          <w:sz w:val="24"/>
          <w:szCs w:val="24"/>
        </w:rPr>
        <w:t>financeiro, em especial por meio da política de juros e seus rebatimentos nas políticas sociais:</w:t>
      </w:r>
    </w:p>
    <w:p w:rsidR="0009772B" w:rsidRPr="00733AD3" w:rsidRDefault="0009772B" w:rsidP="0009772B">
      <w:pPr>
        <w:autoSpaceDE w:val="0"/>
        <w:autoSpaceDN w:val="0"/>
        <w:adjustRightInd w:val="0"/>
        <w:spacing w:line="240" w:lineRule="auto"/>
        <w:ind w:left="2268"/>
        <w:jc w:val="both"/>
        <w:rPr>
          <w:rFonts w:ascii="Times New Roman" w:hAnsi="Times New Roman"/>
          <w:sz w:val="20"/>
          <w:szCs w:val="20"/>
        </w:rPr>
      </w:pPr>
      <w:r w:rsidRPr="00733AD3">
        <w:rPr>
          <w:rFonts w:ascii="Times New Roman" w:hAnsi="Times New Roman"/>
          <w:sz w:val="20"/>
          <w:szCs w:val="20"/>
        </w:rPr>
        <w:t xml:space="preserve">Nós estamos novamente dentro do Pleno do Conselho dizendo que a Previdência é o problema do ajuste, </w:t>
      </w:r>
      <w:r w:rsidRPr="00706B93">
        <w:rPr>
          <w:rFonts w:ascii="Times New Roman" w:hAnsi="Times New Roman"/>
          <w:sz w:val="20"/>
          <w:szCs w:val="20"/>
        </w:rPr>
        <w:t>que</w:t>
      </w:r>
      <w:r w:rsidRPr="00706B93">
        <w:rPr>
          <w:rFonts w:ascii="Times New Roman" w:hAnsi="Times New Roman"/>
          <w:b/>
          <w:sz w:val="20"/>
          <w:szCs w:val="20"/>
        </w:rPr>
        <w:t xml:space="preserve"> a Previdência é o problema do Orçamento Público!</w:t>
      </w:r>
      <w:r w:rsidRPr="00733AD3">
        <w:rPr>
          <w:rFonts w:ascii="Times New Roman" w:hAnsi="Times New Roman"/>
          <w:sz w:val="20"/>
          <w:szCs w:val="20"/>
        </w:rPr>
        <w:t xml:space="preserve"> Se eu fizer a conta ao contrário, </w:t>
      </w:r>
      <w:r w:rsidRPr="00687330">
        <w:rPr>
          <w:rFonts w:ascii="Times New Roman" w:hAnsi="Times New Roman"/>
          <w:b/>
          <w:sz w:val="20"/>
          <w:szCs w:val="20"/>
        </w:rPr>
        <w:t>se eu pegar uma taxa normal de juros</w:t>
      </w:r>
      <w:r w:rsidRPr="00733AD3">
        <w:rPr>
          <w:rFonts w:ascii="Times New Roman" w:hAnsi="Times New Roman"/>
          <w:sz w:val="20"/>
          <w:szCs w:val="20"/>
        </w:rPr>
        <w:t xml:space="preserve">, nos últimos dez anos a conta do Brasil vai ser superavitária, o Estado brasileiro vai ser superavitário, dependendo de quanto de juros se tirar, dependendo de qual é a taxa que você coloca para fazer a conta do déficit público. (...) Fala-se do “rombo da previdência”, </w:t>
      </w:r>
      <w:r w:rsidRPr="00687330">
        <w:rPr>
          <w:rFonts w:ascii="Times New Roman" w:hAnsi="Times New Roman"/>
          <w:b/>
          <w:sz w:val="20"/>
          <w:szCs w:val="20"/>
        </w:rPr>
        <w:t>não se fala no imenso rombo dos juros</w:t>
      </w:r>
      <w:r w:rsidRPr="00733AD3">
        <w:rPr>
          <w:rFonts w:ascii="Times New Roman" w:hAnsi="Times New Roman"/>
          <w:sz w:val="20"/>
          <w:szCs w:val="20"/>
        </w:rPr>
        <w:t xml:space="preserve">. Na questão tributária pouco se fala que </w:t>
      </w:r>
      <w:r w:rsidRPr="00A36C19">
        <w:rPr>
          <w:rFonts w:ascii="Times New Roman" w:hAnsi="Times New Roman"/>
          <w:b/>
          <w:sz w:val="20"/>
          <w:szCs w:val="20"/>
        </w:rPr>
        <w:t>quem paga são os assalariados,</w:t>
      </w:r>
      <w:r w:rsidRPr="00733AD3">
        <w:rPr>
          <w:rFonts w:ascii="Times New Roman" w:hAnsi="Times New Roman"/>
          <w:sz w:val="20"/>
          <w:szCs w:val="20"/>
        </w:rPr>
        <w:t xml:space="preserve"> além que parte do recurso é mal gasto</w:t>
      </w:r>
      <w:r>
        <w:rPr>
          <w:rFonts w:ascii="Times New Roman" w:hAnsi="Times New Roman"/>
          <w:sz w:val="20"/>
          <w:szCs w:val="20"/>
        </w:rPr>
        <w:t xml:space="preserve"> (idem, grifos meus).</w:t>
      </w:r>
    </w:p>
    <w:p w:rsidR="0009772B" w:rsidRDefault="0009772B" w:rsidP="0009772B">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b/>
        <w:t xml:space="preserve">Ao rejeitar a reiteração da ideia de que a previdência social era deficitária – debate ocorrido em outras reuniões do CDES – e de que, na questão tributária “quem paga são os assalariados” </w:t>
      </w:r>
      <w:r w:rsidR="00095250">
        <w:rPr>
          <w:rFonts w:ascii="Times New Roman" w:hAnsi="Times New Roman"/>
          <w:sz w:val="24"/>
          <w:szCs w:val="24"/>
        </w:rPr>
        <w:t>–</w:t>
      </w:r>
      <w:r>
        <w:rPr>
          <w:rFonts w:ascii="Times New Roman" w:hAnsi="Times New Roman"/>
          <w:sz w:val="24"/>
          <w:szCs w:val="24"/>
        </w:rPr>
        <w:t xml:space="preserve"> e não o patronato como comumente suas lideranças vocalizavam nas reuniões plenárias -, Figueiredo buscava marcar posição de que era preciso que o “modelo de crescimento” pudesse garantir minimamente recursos públicos voltados para as áreas sociais como forma de melhoria na repartição da riqueza entre o capital e o trabalho. Na verdade, a apropriação privada dos recursos públicos ocasionada pelo “rombo dos juros”, presente na fala do conselheiro, foi especialmente uma refutação direta à alocução anterior de Carlos Leal a</w:t>
      </w:r>
      <w:r w:rsidR="0037305F">
        <w:rPr>
          <w:rFonts w:ascii="Times New Roman" w:hAnsi="Times New Roman"/>
          <w:sz w:val="24"/>
          <w:szCs w:val="24"/>
        </w:rPr>
        <w:t>cerca do tratamento dado por ess</w:t>
      </w:r>
      <w:r>
        <w:rPr>
          <w:rFonts w:ascii="Times New Roman" w:hAnsi="Times New Roman"/>
          <w:sz w:val="24"/>
          <w:szCs w:val="24"/>
        </w:rPr>
        <w:t xml:space="preserve">e às relações entre políticas sociais de caráter universal e crescimento econômico em geral, extremamente alinhado às posições do </w:t>
      </w:r>
      <w:r>
        <w:rPr>
          <w:rFonts w:ascii="Times New Roman" w:hAnsi="Times New Roman"/>
          <w:i/>
          <w:sz w:val="24"/>
          <w:szCs w:val="24"/>
        </w:rPr>
        <w:t xml:space="preserve">mainstream </w:t>
      </w:r>
      <w:r>
        <w:rPr>
          <w:rFonts w:ascii="Times New Roman" w:hAnsi="Times New Roman"/>
          <w:sz w:val="24"/>
          <w:szCs w:val="24"/>
        </w:rPr>
        <w:t xml:space="preserve">econômico neoliberal de derrogação de importantes políticas sociais conquistadas na Constituição de 1988. </w:t>
      </w:r>
    </w:p>
    <w:p w:rsidR="0009772B" w:rsidRDefault="0009772B" w:rsidP="0009772B">
      <w:pPr>
        <w:autoSpaceDE w:val="0"/>
        <w:autoSpaceDN w:val="0"/>
        <w:adjustRightInd w:val="0"/>
        <w:spacing w:line="240" w:lineRule="auto"/>
        <w:ind w:left="2268"/>
        <w:jc w:val="both"/>
        <w:rPr>
          <w:rFonts w:ascii="Times New Roman" w:hAnsi="Times New Roman"/>
          <w:sz w:val="20"/>
          <w:szCs w:val="20"/>
        </w:rPr>
      </w:pPr>
      <w:r w:rsidRPr="005C6467">
        <w:rPr>
          <w:rFonts w:ascii="Times New Roman" w:hAnsi="Times New Roman"/>
          <w:sz w:val="20"/>
          <w:szCs w:val="20"/>
        </w:rPr>
        <w:t xml:space="preserve">Mas ainda </w:t>
      </w:r>
      <w:r w:rsidRPr="00483EF8">
        <w:rPr>
          <w:rFonts w:ascii="Times New Roman" w:hAnsi="Times New Roman"/>
          <w:b/>
          <w:sz w:val="20"/>
          <w:szCs w:val="20"/>
        </w:rPr>
        <w:t>o antigo regime de políticas sociais</w:t>
      </w:r>
      <w:r w:rsidRPr="005C6467">
        <w:rPr>
          <w:rFonts w:ascii="Times New Roman" w:hAnsi="Times New Roman"/>
          <w:sz w:val="20"/>
          <w:szCs w:val="20"/>
        </w:rPr>
        <w:t xml:space="preserve"> representado pela previdência, pelo seguro desemprego, pela Lei Orgânica de Assistência Social </w:t>
      </w:r>
      <w:r w:rsidRPr="005C6467">
        <w:rPr>
          <w:rFonts w:ascii="Times New Roman" w:hAnsi="Times New Roman"/>
          <w:b/>
          <w:sz w:val="20"/>
          <w:szCs w:val="20"/>
        </w:rPr>
        <w:t>deve, em médio prazo, ser reajustado a fim de reduzir a pressão fiscal que trava o crescimento econômico</w:t>
      </w:r>
      <w:r w:rsidRPr="005C6467">
        <w:rPr>
          <w:rFonts w:ascii="Times New Roman" w:hAnsi="Times New Roman"/>
          <w:sz w:val="20"/>
          <w:szCs w:val="20"/>
        </w:rPr>
        <w:t xml:space="preserve">. Esse é um ponto que vai ter que ser discutido em algum momento. </w:t>
      </w:r>
      <w:r w:rsidRPr="00BA1A62">
        <w:rPr>
          <w:rFonts w:ascii="Times New Roman" w:hAnsi="Times New Roman"/>
          <w:b/>
          <w:sz w:val="20"/>
          <w:szCs w:val="20"/>
        </w:rPr>
        <w:t>As políticas para o pobre devem se somar a mudanças que façam a renda média crescer a taxas mais substantivas</w:t>
      </w:r>
      <w:r w:rsidRPr="005C6467">
        <w:rPr>
          <w:rFonts w:ascii="Times New Roman" w:hAnsi="Times New Roman"/>
          <w:sz w:val="20"/>
          <w:szCs w:val="20"/>
        </w:rPr>
        <w:t xml:space="preserve">. Quando você discute o conceito de equidade, você pode falar de várias coisas ao mesmo tempo. Um é o conceito de equidade, chamado de </w:t>
      </w:r>
      <w:r w:rsidRPr="005C6467">
        <w:rPr>
          <w:rFonts w:ascii="Times New Roman" w:hAnsi="Times New Roman"/>
          <w:b/>
          <w:sz w:val="20"/>
          <w:szCs w:val="20"/>
        </w:rPr>
        <w:t>igualitarismo</w:t>
      </w:r>
      <w:r w:rsidRPr="005C6467">
        <w:rPr>
          <w:rFonts w:ascii="Times New Roman" w:hAnsi="Times New Roman"/>
          <w:sz w:val="20"/>
          <w:szCs w:val="20"/>
        </w:rPr>
        <w:t>,</w:t>
      </w:r>
      <w:r>
        <w:rPr>
          <w:rFonts w:ascii="Times New Roman" w:hAnsi="Times New Roman"/>
          <w:sz w:val="20"/>
          <w:szCs w:val="20"/>
        </w:rPr>
        <w:t xml:space="preserve"> (...)</w:t>
      </w:r>
      <w:r w:rsidRPr="005C6467">
        <w:rPr>
          <w:rFonts w:ascii="Times New Roman" w:hAnsi="Times New Roman"/>
          <w:sz w:val="20"/>
          <w:szCs w:val="20"/>
        </w:rPr>
        <w:t xml:space="preserve"> outro, </w:t>
      </w:r>
      <w:r w:rsidRPr="005C6467">
        <w:rPr>
          <w:rFonts w:ascii="Times New Roman" w:hAnsi="Times New Roman"/>
          <w:b/>
          <w:sz w:val="20"/>
          <w:szCs w:val="20"/>
        </w:rPr>
        <w:t>o mais moderno, quando você procura garantir o mínimo, sobretudo para dar uma determinada consistência social e dali para diante você deixa a competição, deixa o mérito desse resultado e cria as condições de forma equitativa também</w:t>
      </w:r>
      <w:r>
        <w:rPr>
          <w:rFonts w:ascii="Times New Roman" w:hAnsi="Times New Roman"/>
          <w:sz w:val="20"/>
          <w:szCs w:val="20"/>
        </w:rPr>
        <w:t xml:space="preserve"> (Carlos Leal, presidente da FGV, ATA 18ª Reunião Plenária, p. 09, grifos meus).</w:t>
      </w:r>
    </w:p>
    <w:p w:rsidR="00D73A28" w:rsidRDefault="0009772B" w:rsidP="00D73A28">
      <w:pPr>
        <w:autoSpaceDE w:val="0"/>
        <w:autoSpaceDN w:val="0"/>
        <w:adjustRightInd w:val="0"/>
        <w:spacing w:before="240" w:after="0" w:line="360" w:lineRule="auto"/>
        <w:jc w:val="both"/>
        <w:rPr>
          <w:rFonts w:ascii="Times New Roman" w:hAnsi="Times New Roman"/>
          <w:sz w:val="24"/>
          <w:szCs w:val="24"/>
        </w:rPr>
      </w:pPr>
      <w:r>
        <w:rPr>
          <w:rFonts w:ascii="Times New Roman" w:hAnsi="Times New Roman"/>
          <w:sz w:val="24"/>
          <w:szCs w:val="24"/>
        </w:rPr>
        <w:tab/>
        <w:t>O presidente da FGV</w:t>
      </w:r>
      <w:r w:rsidR="002A13ED">
        <w:rPr>
          <w:rFonts w:ascii="Times New Roman" w:hAnsi="Times New Roman"/>
          <w:sz w:val="24"/>
          <w:szCs w:val="24"/>
        </w:rPr>
        <w:t>-RJ</w:t>
      </w:r>
      <w:r>
        <w:rPr>
          <w:rFonts w:ascii="Times New Roman" w:hAnsi="Times New Roman"/>
          <w:sz w:val="24"/>
          <w:szCs w:val="24"/>
        </w:rPr>
        <w:t xml:space="preserve"> se colocava expressamente favorável ao contingenciamento de gastos sociais como forma de “reduzir a pressão fiscal” a partir da exigência de “reajuste” no que ainda restou no plano das políticas sociais universais, expressando a reedição encardida de contrarreformas na direção da retração de direitos e mercantilização das políticas sociais, expropriando e penalizando trabalhadores, sem as quais não seria possível, segundo ele, o destravamento do crescimento econômico. Para tanto, Leal operava com o conceito de equidade que precisava se distanciar do “igualitarismo”,</w:t>
      </w:r>
      <w:r>
        <w:rPr>
          <w:rStyle w:val="Refdenotaderodap"/>
          <w:rFonts w:ascii="Times New Roman" w:hAnsi="Times New Roman"/>
          <w:sz w:val="24"/>
          <w:szCs w:val="24"/>
        </w:rPr>
        <w:footnoteReference w:id="500"/>
      </w:r>
      <w:r>
        <w:rPr>
          <w:rFonts w:ascii="Times New Roman" w:hAnsi="Times New Roman"/>
          <w:sz w:val="24"/>
          <w:szCs w:val="24"/>
        </w:rPr>
        <w:t xml:space="preserve"> baseado na universalização da prestação de serviços públicos sociais e no combate à desigualdade funcional da renda, em prol de um conceito “mais moderno”. “Mais moderno” porque em sintonia com os imperativos atuais da expansão da acumulação capitalista com base em expropriações secundárias, cujas frentes de ataque estão também refletidas na focalização das “políticas para o pobre” como incremento do crescimento do produto (via aumento do consumo), mas, antes de qualquer coisa, como capaz de: i) “garantir o mínimo, sobretudo para uma determinada consistência social (...)”, retomando a imprescindibilidade do acionamento de instrumentos prévios de contenção e administração de conflitos e ii) redimensionar as políticas de enfrentamento à pobreza à luz das exigências estritamente mercantis e concorrenciais, subalternizando-as à lógica do mercado, a partir da criação de condições mínimas de subsistência precária e imediata dos setores mais pauperizados do exército de reserva, condições estas perversamente designadas de “igualdade de oportunidades”, requeridas como anteparo para o ingresso à competitividade.</w:t>
      </w:r>
    </w:p>
    <w:p w:rsidR="0009772B" w:rsidRDefault="0009772B" w:rsidP="00D73A28">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b/>
      </w:r>
      <w:r w:rsidR="00654F0B">
        <w:rPr>
          <w:rFonts w:ascii="Times New Roman" w:hAnsi="Times New Roman"/>
          <w:sz w:val="24"/>
          <w:szCs w:val="24"/>
        </w:rPr>
        <w:t>A</w:t>
      </w:r>
      <w:r>
        <w:rPr>
          <w:rFonts w:ascii="Times New Roman" w:hAnsi="Times New Roman"/>
          <w:sz w:val="24"/>
          <w:szCs w:val="24"/>
        </w:rPr>
        <w:t xml:space="preserve"> conselheira Sonia Fleury foi a primeira a se manifestar contrariamente às posições assumidas por Carlos Leal no que tange a estas questões. Na ocasião, a conselheira dizia estar preocupada com as ameaças constantes de desvinculação dos </w:t>
      </w:r>
      <w:r w:rsidR="00654F0B">
        <w:rPr>
          <w:rFonts w:ascii="Times New Roman" w:hAnsi="Times New Roman"/>
          <w:sz w:val="24"/>
          <w:szCs w:val="24"/>
        </w:rPr>
        <w:t>benefícios previdenciários d</w:t>
      </w:r>
      <w:r>
        <w:rPr>
          <w:rFonts w:ascii="Times New Roman" w:hAnsi="Times New Roman"/>
          <w:sz w:val="24"/>
          <w:szCs w:val="24"/>
        </w:rPr>
        <w:t>o salário mínimo e da necessidade de buscar outras fontes substitutivas das receitas retiradas das áreas sociais através da DRU,</w:t>
      </w:r>
      <w:r>
        <w:rPr>
          <w:rStyle w:val="Refdenotaderodap"/>
          <w:rFonts w:ascii="Times New Roman" w:hAnsi="Times New Roman"/>
          <w:sz w:val="24"/>
          <w:szCs w:val="24"/>
        </w:rPr>
        <w:footnoteReference w:id="501"/>
      </w:r>
      <w:r>
        <w:rPr>
          <w:rFonts w:ascii="Times New Roman" w:hAnsi="Times New Roman"/>
          <w:sz w:val="24"/>
          <w:szCs w:val="24"/>
        </w:rPr>
        <w:t xml:space="preserve"> principalmente “quando a metade da população está fora do mercado formal de trabalho”.</w:t>
      </w:r>
    </w:p>
    <w:p w:rsidR="0009772B" w:rsidRPr="00F60EE1" w:rsidRDefault="0009772B" w:rsidP="0009772B">
      <w:pPr>
        <w:autoSpaceDE w:val="0"/>
        <w:autoSpaceDN w:val="0"/>
        <w:adjustRightInd w:val="0"/>
        <w:spacing w:line="240" w:lineRule="auto"/>
        <w:ind w:left="2268"/>
        <w:jc w:val="both"/>
        <w:rPr>
          <w:rFonts w:ascii="Times New Roman" w:hAnsi="Times New Roman"/>
          <w:sz w:val="24"/>
          <w:szCs w:val="24"/>
        </w:rPr>
      </w:pPr>
      <w:r>
        <w:rPr>
          <w:rFonts w:ascii="Times New Roman" w:hAnsi="Times New Roman"/>
          <w:sz w:val="20"/>
          <w:szCs w:val="20"/>
        </w:rPr>
        <w:t xml:space="preserve">(...) </w:t>
      </w:r>
      <w:r w:rsidRPr="00F60EE1">
        <w:rPr>
          <w:rFonts w:ascii="Times New Roman" w:hAnsi="Times New Roman"/>
          <w:sz w:val="20"/>
          <w:szCs w:val="20"/>
        </w:rPr>
        <w:t xml:space="preserve">nós não podemos contribuir para a instabilidade política ao descartarmos as conquistas do momento anterior que nós tivemos de concertação que foi a Constituição Federal de 88, momento em que </w:t>
      </w:r>
      <w:r>
        <w:rPr>
          <w:rFonts w:ascii="Times New Roman" w:hAnsi="Times New Roman"/>
          <w:sz w:val="20"/>
          <w:szCs w:val="20"/>
        </w:rPr>
        <w:t>(...)</w:t>
      </w:r>
      <w:r w:rsidRPr="00F60EE1">
        <w:rPr>
          <w:rFonts w:ascii="Times New Roman" w:hAnsi="Times New Roman"/>
          <w:sz w:val="20"/>
          <w:szCs w:val="20"/>
        </w:rPr>
        <w:t xml:space="preserve"> trouxe algumas inovações importantes como a introdução do conceito de seguridade social e a subordinação da política previdenciária de saúde e de assistência a essa noção de seguridade e aos princípios da seguridade. Eu acho que essas são inovações extremamente importantes e </w:t>
      </w:r>
      <w:r w:rsidRPr="00725D8B">
        <w:rPr>
          <w:rFonts w:ascii="Times New Roman" w:hAnsi="Times New Roman"/>
          <w:b/>
          <w:sz w:val="20"/>
          <w:szCs w:val="20"/>
        </w:rPr>
        <w:t>vejo com certo temor a possibilidade de tratá-las como um antigo regime de política social. Eu acho que estas são políticas novas, importantes e que ainda não foram completadas e se elas têm que ser ajustadas, elas têm que ser ajustadas não de um ponto de vista fiscal e monetário, mas à enorme necessidade que existe na sociedade brasileira de cobertura da proteção ao trabalho</w:t>
      </w:r>
      <w:r w:rsidRPr="00F60EE1">
        <w:rPr>
          <w:rFonts w:ascii="Times New Roman" w:hAnsi="Times New Roman"/>
          <w:sz w:val="20"/>
          <w:szCs w:val="20"/>
        </w:rPr>
        <w:t>. (...) Quero dizer, se nós temos certo que énecessário ter um desenvolvimento com eq</w:t>
      </w:r>
      <w:r w:rsidR="005913F9">
        <w:rPr>
          <w:rFonts w:ascii="Times New Roman" w:hAnsi="Times New Roman"/>
          <w:sz w:val="20"/>
          <w:szCs w:val="20"/>
        </w:rPr>
        <w:t>u</w:t>
      </w:r>
      <w:r w:rsidRPr="00F60EE1">
        <w:rPr>
          <w:rFonts w:ascii="Times New Roman" w:hAnsi="Times New Roman"/>
          <w:sz w:val="20"/>
          <w:szCs w:val="20"/>
        </w:rPr>
        <w:t>idade, é preciso assumir com clareza o que a eq</w:t>
      </w:r>
      <w:r w:rsidR="005913F9">
        <w:rPr>
          <w:rFonts w:ascii="Times New Roman" w:hAnsi="Times New Roman"/>
          <w:sz w:val="20"/>
          <w:szCs w:val="20"/>
        </w:rPr>
        <w:t>u</w:t>
      </w:r>
      <w:r w:rsidRPr="00F60EE1">
        <w:rPr>
          <w:rFonts w:ascii="Times New Roman" w:hAnsi="Times New Roman"/>
          <w:sz w:val="20"/>
          <w:szCs w:val="20"/>
        </w:rPr>
        <w:t xml:space="preserve">idade significa, que é </w:t>
      </w:r>
      <w:r w:rsidRPr="00725D8B">
        <w:rPr>
          <w:rFonts w:ascii="Times New Roman" w:hAnsi="Times New Roman"/>
          <w:b/>
          <w:sz w:val="20"/>
          <w:szCs w:val="20"/>
        </w:rPr>
        <w:t>aplicar recursos em políticas sociais e não retirar esses recursos da própria política social como constantemente tem sido feito</w:t>
      </w:r>
      <w:r>
        <w:rPr>
          <w:rFonts w:ascii="Times New Roman" w:hAnsi="Times New Roman"/>
          <w:sz w:val="20"/>
          <w:szCs w:val="20"/>
        </w:rPr>
        <w:t xml:space="preserve"> (idem: 17, grifos meus).</w:t>
      </w:r>
    </w:p>
    <w:p w:rsidR="0009772B" w:rsidRDefault="0009772B" w:rsidP="0009772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 xml:space="preserve">As intervenções de Figueiredo e Fleury na 18ª reunião plenária marcaram de forma muito mais explícita e contundente uma oposição direta às posições Carlos Leal do que a fala de Braga.  </w:t>
      </w:r>
      <w:r w:rsidR="004F292F">
        <w:rPr>
          <w:rFonts w:ascii="Times New Roman" w:hAnsi="Times New Roman"/>
          <w:sz w:val="24"/>
          <w:szCs w:val="24"/>
        </w:rPr>
        <w:t>A</w:t>
      </w:r>
      <w:r>
        <w:rPr>
          <w:rFonts w:ascii="Times New Roman" w:hAnsi="Times New Roman"/>
          <w:sz w:val="24"/>
          <w:szCs w:val="24"/>
        </w:rPr>
        <w:t xml:space="preserve">ssim como Braga, explicitavam algumas contradições e limites de pontos nevrálgicos do “modelo de desenvolvimento com equidade” apresentado por Carlos Leal, realçando princípios básicos sobre os quais não estavam dispostos a negociar, especialmente no trato das políticas sociais. </w:t>
      </w:r>
    </w:p>
    <w:p w:rsidR="0009772B" w:rsidRDefault="0009772B" w:rsidP="0009772B">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Tais conselheiros procuraram, em suma, anunciar a necessidade de aprofundamento do debate acerca das estratégias de desenvolvimento nos últimos anos, bem como os principais agentes econômicos que até então delas se locupletavam, ao lado da defesa do que restou de caráter universal das políticas sociais emanadas pela Constituição de 88. Certamente, quanto ao último ponto, eles contavam com a adesão ou alinhamento de outros conselheiros em suas reflexões (em geral acadêmicos, ex-sindicalistas e segmentos minoritários), mas apesar de se destacarem pelas “posições críticas” e serem atuantes nas instâncias do CDES, não eram majoritários diante da preponderância do empresariado o qual, a partir da leitura das atas plenárias no primeiro mandato de Lula da Silva,</w:t>
      </w:r>
      <w:r w:rsidR="00543619">
        <w:rPr>
          <w:rFonts w:ascii="Times New Roman" w:hAnsi="Times New Roman"/>
          <w:sz w:val="24"/>
          <w:szCs w:val="24"/>
        </w:rPr>
        <w:t xml:space="preserve"> não se inclinava em lançar ou</w:t>
      </w:r>
      <w:r>
        <w:rPr>
          <w:rFonts w:ascii="Times New Roman" w:hAnsi="Times New Roman"/>
          <w:sz w:val="24"/>
          <w:szCs w:val="24"/>
        </w:rPr>
        <w:t xml:space="preserve"> se envolver num debate de fôlego acerca das políticas sociais e dos mecanismos de redução das desigualdades, com exceção do tema da educação, mas mesmo aí numa perspectiva de preparo e qualificação da mão de obra, isto é, como “o principal instrumento para alcançar o aumento da produtividade da economia (...) e de aumentar a renda das famílias mais pobres (...)”, nas palavras do empresário Fernando Xavier Ferreira (presidente do grupo Telefônica do Brasil) na 19ª reunião plenária. Pinto e Cardoso Jr. salientaram as diferentes demandas e expectativas dos principais atores sociais em disputa:</w:t>
      </w:r>
    </w:p>
    <w:p w:rsidR="0009772B" w:rsidRPr="008572A0" w:rsidRDefault="0009772B" w:rsidP="0009772B">
      <w:pPr>
        <w:autoSpaceDE w:val="0"/>
        <w:autoSpaceDN w:val="0"/>
        <w:adjustRightInd w:val="0"/>
        <w:spacing w:after="0" w:line="240" w:lineRule="auto"/>
        <w:ind w:left="2268"/>
        <w:jc w:val="both"/>
        <w:rPr>
          <w:rFonts w:ascii="Times New Roman" w:hAnsi="Times New Roman"/>
          <w:sz w:val="20"/>
          <w:szCs w:val="20"/>
        </w:rPr>
      </w:pPr>
      <w:r w:rsidRPr="008572A0">
        <w:rPr>
          <w:rFonts w:ascii="Times New Roman" w:hAnsi="Times New Roman"/>
          <w:sz w:val="20"/>
          <w:szCs w:val="20"/>
        </w:rPr>
        <w:t>Apesar de haver consenso em questões mais amplas como a concepção e os instrumentos para o desenvolvimento nacional, as divergências entre os participantes, em especial empresários e trabalhadores, eram acentuadas. Por um lado, os empresários demandavam mais e melhor infraestrutura, energia, financiamento, mudanças no sistema tributário e uma nova política econômica. Havia disposição para discutir uma política de pleno emprego. Por outro lado, os trabalhadores reivindicavam distribuição de renda e riqueza, investimento em educação, redução da informalidade laboral, universalização na cobertura da previdência pública, novo regime de tributação para as micro e pequenas empresas, políticas de emprego, inclusive, para os trabalhadores com baixa qualificação profissional, política de valorização do salário mínimo e prioridade ao mercado interno e aos investimentos em infraestrutura social como habitação e saneamento.</w:t>
      </w:r>
      <w:r>
        <w:rPr>
          <w:rStyle w:val="Refdenotaderodap"/>
          <w:rFonts w:ascii="Times New Roman" w:hAnsi="Times New Roman"/>
          <w:sz w:val="20"/>
          <w:szCs w:val="20"/>
        </w:rPr>
        <w:footnoteReference w:id="502"/>
      </w:r>
    </w:p>
    <w:p w:rsidR="0009772B" w:rsidRDefault="0009772B" w:rsidP="0009772B">
      <w:pPr>
        <w:autoSpaceDE w:val="0"/>
        <w:autoSpaceDN w:val="0"/>
        <w:adjustRightInd w:val="0"/>
        <w:spacing w:after="0" w:line="360" w:lineRule="auto"/>
        <w:jc w:val="both"/>
        <w:rPr>
          <w:rFonts w:ascii="Times New Roman" w:hAnsi="Times New Roman"/>
          <w:sz w:val="24"/>
          <w:szCs w:val="24"/>
        </w:rPr>
      </w:pPr>
    </w:p>
    <w:p w:rsidR="0009772B" w:rsidRDefault="0009772B" w:rsidP="0009772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 xml:space="preserve">A rigor, talvez não seja correto avaliar a configuração programática existente no CDES a partir de dois blocos divergentes, como propõem os autores acima. Primeiro porque havia muitos pontos conexos entre as pautas dos “trabalhadores” (na verdade lideranças sindicais das Centrais, e isto faz muita diferença) e dos empresários.  Segundo porque, na maioria das vezes, as demandas que os sindicalistas aderiam ou levantavam recebiam apoio ou mesmo aperfeiçoamento de outros segmentos representados. Não havia, de certo, rigidez programática, cujas proposições advinham necessariamente de autoria de um campo ou outro: o caminho mais profícuo seria considerar que havia não apenas </w:t>
      </w:r>
      <w:r>
        <w:rPr>
          <w:rFonts w:ascii="Times New Roman" w:hAnsi="Times New Roman"/>
          <w:i/>
          <w:sz w:val="24"/>
          <w:szCs w:val="24"/>
        </w:rPr>
        <w:t xml:space="preserve">preferências, </w:t>
      </w:r>
      <w:r>
        <w:rPr>
          <w:rFonts w:ascii="Times New Roman" w:hAnsi="Times New Roman"/>
          <w:sz w:val="24"/>
          <w:szCs w:val="24"/>
        </w:rPr>
        <w:t xml:space="preserve">mas também, a depender da pauta, </w:t>
      </w:r>
      <w:r>
        <w:rPr>
          <w:rFonts w:ascii="Times New Roman" w:hAnsi="Times New Roman"/>
          <w:i/>
          <w:sz w:val="24"/>
          <w:szCs w:val="24"/>
        </w:rPr>
        <w:t xml:space="preserve">prevalências </w:t>
      </w:r>
      <w:r>
        <w:rPr>
          <w:rFonts w:ascii="Times New Roman" w:hAnsi="Times New Roman"/>
          <w:sz w:val="24"/>
          <w:szCs w:val="24"/>
        </w:rPr>
        <w:t xml:space="preserve">em defesa de determinadas questões (especialmente as econômicas) por parte do empresariado e dos demais segmentos sociais. </w:t>
      </w:r>
    </w:p>
    <w:p w:rsidR="0009772B" w:rsidRDefault="0009772B" w:rsidP="0009772B">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Por último, as divergências de fato ocorriam, mas o julgamento se elas eram ou não “acentuadas” depende da filiação político-ideológica do analista e/ou pesquisador. A análise das atas das reuniões plenárias durante o primeiro governo Lula da Silva nos mostra que as divergências eram mais acentuadas </w:t>
      </w:r>
      <w:r w:rsidR="007A48DD">
        <w:rPr>
          <w:rFonts w:ascii="Times New Roman" w:hAnsi="Times New Roman"/>
          <w:sz w:val="24"/>
          <w:szCs w:val="24"/>
        </w:rPr>
        <w:t>dianted</w:t>
      </w:r>
      <w:r>
        <w:rPr>
          <w:rFonts w:ascii="Times New Roman" w:hAnsi="Times New Roman"/>
          <w:sz w:val="24"/>
          <w:szCs w:val="24"/>
        </w:rPr>
        <w:t xml:space="preserve">o governo, principalmente quanto aos rumos da política econômica, como vimos, ou mesmo </w:t>
      </w:r>
      <w:r w:rsidR="007A48DD">
        <w:rPr>
          <w:rFonts w:ascii="Times New Roman" w:hAnsi="Times New Roman"/>
          <w:sz w:val="24"/>
          <w:szCs w:val="24"/>
        </w:rPr>
        <w:t>em face</w:t>
      </w:r>
      <w:r>
        <w:rPr>
          <w:rFonts w:ascii="Times New Roman" w:hAnsi="Times New Roman"/>
          <w:sz w:val="24"/>
          <w:szCs w:val="24"/>
        </w:rPr>
        <w:t xml:space="preserve"> à </w:t>
      </w:r>
      <w:r w:rsidR="00F928B3">
        <w:rPr>
          <w:rFonts w:ascii="Times New Roman" w:hAnsi="Times New Roman"/>
          <w:sz w:val="24"/>
          <w:szCs w:val="24"/>
        </w:rPr>
        <w:t>SEDES</w:t>
      </w:r>
      <w:r>
        <w:rPr>
          <w:rFonts w:ascii="Times New Roman" w:hAnsi="Times New Roman"/>
          <w:sz w:val="24"/>
          <w:szCs w:val="24"/>
        </w:rPr>
        <w:t xml:space="preserve"> no que tange à “política de governança” do Conselho, do que entre os próprios conselheiros. A exceção mais flagrante envolveu o debate acerca da ampliação d</w:t>
      </w:r>
      <w:r w:rsidR="00C0554A">
        <w:rPr>
          <w:rFonts w:ascii="Times New Roman" w:hAnsi="Times New Roman"/>
          <w:sz w:val="24"/>
          <w:szCs w:val="24"/>
        </w:rPr>
        <w:t>o Conselho Monetário Nacional, o</w:t>
      </w:r>
      <w:r>
        <w:rPr>
          <w:rFonts w:ascii="Times New Roman" w:hAnsi="Times New Roman"/>
          <w:sz w:val="24"/>
          <w:szCs w:val="24"/>
        </w:rPr>
        <w:t xml:space="preserve"> qual não foi expressão de uma luta entre “trabalhadores” e patrões dentro do Conselho, mas, especificamente entre </w:t>
      </w:r>
      <w:r w:rsidR="004F292F">
        <w:rPr>
          <w:rFonts w:ascii="Times New Roman" w:hAnsi="Times New Roman"/>
          <w:sz w:val="24"/>
          <w:szCs w:val="24"/>
        </w:rPr>
        <w:t>os setores bancário-financeiros</w:t>
      </w:r>
      <w:r>
        <w:rPr>
          <w:rFonts w:ascii="Times New Roman" w:hAnsi="Times New Roman"/>
          <w:sz w:val="24"/>
          <w:szCs w:val="24"/>
        </w:rPr>
        <w:t xml:space="preserve"> e os demais segmentos, inclusive </w:t>
      </w:r>
      <w:r w:rsidR="004F292F">
        <w:rPr>
          <w:rFonts w:ascii="Times New Roman" w:hAnsi="Times New Roman"/>
          <w:sz w:val="24"/>
          <w:szCs w:val="24"/>
        </w:rPr>
        <w:t>fissuras no interior do grande empresariado monopolista.</w:t>
      </w:r>
    </w:p>
    <w:p w:rsidR="00A91C53" w:rsidRPr="00A91C53" w:rsidRDefault="0009772B" w:rsidP="0009772B">
      <w:pPr>
        <w:autoSpaceDE w:val="0"/>
        <w:autoSpaceDN w:val="0"/>
        <w:adjustRightInd w:val="0"/>
        <w:spacing w:line="360" w:lineRule="auto"/>
        <w:jc w:val="both"/>
        <w:rPr>
          <w:rFonts w:ascii="Times New Roman" w:hAnsi="Times New Roman"/>
          <w:b/>
          <w:sz w:val="24"/>
          <w:szCs w:val="24"/>
        </w:rPr>
      </w:pPr>
      <w:r>
        <w:rPr>
          <w:rFonts w:ascii="Times New Roman" w:hAnsi="Times New Roman"/>
          <w:sz w:val="24"/>
          <w:szCs w:val="24"/>
        </w:rPr>
        <w:tab/>
      </w:r>
      <w:r w:rsidR="00A91C53" w:rsidRPr="00A91C53">
        <w:rPr>
          <w:rFonts w:ascii="Times New Roman" w:hAnsi="Times New Roman"/>
          <w:b/>
          <w:sz w:val="24"/>
          <w:szCs w:val="24"/>
        </w:rPr>
        <w:t>3.6.2 – Os Enunciados Estratégicos para o Desenvolvimento</w:t>
      </w:r>
      <w:r w:rsidR="00A91C53">
        <w:rPr>
          <w:rFonts w:ascii="Times New Roman" w:hAnsi="Times New Roman"/>
          <w:b/>
          <w:sz w:val="24"/>
          <w:szCs w:val="24"/>
        </w:rPr>
        <w:t xml:space="preserve"> (2006)</w:t>
      </w:r>
    </w:p>
    <w:p w:rsidR="0009772B" w:rsidRDefault="0009772B" w:rsidP="0009772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 xml:space="preserve">No quadro abaixo, expusemos todos os </w:t>
      </w:r>
      <w:r w:rsidR="004F45A8">
        <w:rPr>
          <w:rFonts w:ascii="Times New Roman" w:hAnsi="Times New Roman"/>
          <w:sz w:val="24"/>
          <w:szCs w:val="24"/>
        </w:rPr>
        <w:t>24</w:t>
      </w:r>
      <w:r>
        <w:rPr>
          <w:rFonts w:ascii="Times New Roman" w:hAnsi="Times New Roman"/>
          <w:sz w:val="24"/>
          <w:szCs w:val="24"/>
        </w:rPr>
        <w:t>Enunciados</w:t>
      </w:r>
      <w:r w:rsidR="004F45A8">
        <w:rPr>
          <w:rFonts w:ascii="Times New Roman" w:hAnsi="Times New Roman"/>
          <w:sz w:val="24"/>
          <w:szCs w:val="24"/>
        </w:rPr>
        <w:t>,</w:t>
      </w:r>
      <w:r w:rsidR="00D76CF8">
        <w:rPr>
          <w:rStyle w:val="Refdenotaderodap"/>
          <w:rFonts w:ascii="Times New Roman" w:hAnsi="Times New Roman"/>
          <w:sz w:val="24"/>
          <w:szCs w:val="24"/>
        </w:rPr>
        <w:footnoteReference w:id="503"/>
      </w:r>
      <w:r w:rsidR="004F45A8">
        <w:rPr>
          <w:rFonts w:ascii="Times New Roman" w:hAnsi="Times New Roman"/>
          <w:sz w:val="24"/>
          <w:szCs w:val="24"/>
        </w:rPr>
        <w:t xml:space="preserve"> com exceção de dois (o 1º e o 7º),</w:t>
      </w:r>
      <w:r>
        <w:rPr>
          <w:rFonts w:ascii="Times New Roman" w:hAnsi="Times New Roman"/>
          <w:sz w:val="24"/>
          <w:szCs w:val="24"/>
        </w:rPr>
        <w:t xml:space="preserve"> publicados pelo CDES. Procuramos organizá-lo de forma que fosse possível cotejar</w:t>
      </w:r>
      <w:r w:rsidR="00CD3357">
        <w:rPr>
          <w:rFonts w:ascii="Times New Roman" w:hAnsi="Times New Roman"/>
          <w:sz w:val="24"/>
          <w:szCs w:val="24"/>
        </w:rPr>
        <w:t>, comparar</w:t>
      </w:r>
      <w:r>
        <w:rPr>
          <w:rFonts w:ascii="Times New Roman" w:hAnsi="Times New Roman"/>
          <w:sz w:val="24"/>
          <w:szCs w:val="24"/>
        </w:rPr>
        <w:t xml:space="preserve"> os enunciados com as diretrizes estratégicas da AND, explicitando-os, de fato, como um conjunto de medidas concretas e com prazos definidos de execução das diretrizes da Agenda.  </w:t>
      </w:r>
      <w:r w:rsidR="00C361A5">
        <w:rPr>
          <w:rFonts w:ascii="Times New Roman" w:hAnsi="Times New Roman"/>
          <w:sz w:val="24"/>
          <w:szCs w:val="24"/>
        </w:rPr>
        <w:t xml:space="preserve">Por isso, os Enunciados do nosso quadro não estão numerados </w:t>
      </w:r>
      <w:r w:rsidR="00C361A5" w:rsidRPr="00C361A5">
        <w:rPr>
          <w:rFonts w:ascii="Times New Roman" w:hAnsi="Times New Roman"/>
          <w:i/>
          <w:sz w:val="24"/>
          <w:szCs w:val="24"/>
        </w:rPr>
        <w:t>na ordem</w:t>
      </w:r>
      <w:r w:rsidR="00C361A5">
        <w:rPr>
          <w:rFonts w:ascii="Times New Roman" w:hAnsi="Times New Roman"/>
          <w:sz w:val="24"/>
          <w:szCs w:val="24"/>
        </w:rPr>
        <w:t xml:space="preserve">correspondente ao documento oficial. </w:t>
      </w:r>
      <w:r>
        <w:rPr>
          <w:rFonts w:ascii="Times New Roman" w:hAnsi="Times New Roman"/>
          <w:sz w:val="24"/>
          <w:szCs w:val="24"/>
        </w:rPr>
        <w:t xml:space="preserve">Para facilitar a comparação entre as diretrizes </w:t>
      </w:r>
      <w:r w:rsidR="00C361A5">
        <w:rPr>
          <w:rFonts w:ascii="Times New Roman" w:hAnsi="Times New Roman"/>
          <w:sz w:val="24"/>
          <w:szCs w:val="24"/>
        </w:rPr>
        <w:t xml:space="preserve">e os enunciados </w:t>
      </w:r>
      <w:r>
        <w:rPr>
          <w:rFonts w:ascii="Times New Roman" w:hAnsi="Times New Roman"/>
          <w:sz w:val="24"/>
          <w:szCs w:val="24"/>
        </w:rPr>
        <w:t>pelo leito</w:t>
      </w:r>
      <w:r w:rsidR="00CD3357">
        <w:rPr>
          <w:rFonts w:ascii="Times New Roman" w:hAnsi="Times New Roman"/>
          <w:sz w:val="24"/>
          <w:szCs w:val="24"/>
        </w:rPr>
        <w:t>r, indicamos entre colchetes o Objetivo (primeiro numeral em romanos) e a(s) D</w:t>
      </w:r>
      <w:r>
        <w:rPr>
          <w:rFonts w:ascii="Times New Roman" w:hAnsi="Times New Roman"/>
          <w:sz w:val="24"/>
          <w:szCs w:val="24"/>
        </w:rPr>
        <w:t xml:space="preserve">iretriz(es) subjacente(s) </w:t>
      </w:r>
      <w:r w:rsidR="00CD3357">
        <w:rPr>
          <w:rFonts w:ascii="Times New Roman" w:hAnsi="Times New Roman"/>
          <w:sz w:val="24"/>
          <w:szCs w:val="24"/>
        </w:rPr>
        <w:t xml:space="preserve">da AND (segundo numeral </w:t>
      </w:r>
      <w:r w:rsidR="00817EB5">
        <w:rPr>
          <w:rFonts w:ascii="Times New Roman" w:hAnsi="Times New Roman"/>
          <w:sz w:val="24"/>
          <w:szCs w:val="24"/>
        </w:rPr>
        <w:t xml:space="preserve">cardinal </w:t>
      </w:r>
      <w:r w:rsidR="00CD3357">
        <w:rPr>
          <w:rFonts w:ascii="Times New Roman" w:hAnsi="Times New Roman"/>
          <w:sz w:val="24"/>
          <w:szCs w:val="24"/>
        </w:rPr>
        <w:t>após o ponto) para cada enunciado.</w:t>
      </w:r>
      <w:r w:rsidR="00817EB5">
        <w:rPr>
          <w:rFonts w:ascii="Times New Roman" w:hAnsi="Times New Roman"/>
          <w:sz w:val="24"/>
          <w:szCs w:val="24"/>
        </w:rPr>
        <w:t xml:space="preserve"> A barra ( / ) aparece em situações onde um Enunciado </w:t>
      </w:r>
      <w:r w:rsidR="00C361A5">
        <w:rPr>
          <w:rFonts w:ascii="Times New Roman" w:hAnsi="Times New Roman"/>
          <w:sz w:val="24"/>
          <w:szCs w:val="24"/>
        </w:rPr>
        <w:t>se coliga</w:t>
      </w:r>
      <w:r w:rsidR="00817EB5">
        <w:rPr>
          <w:rFonts w:ascii="Times New Roman" w:hAnsi="Times New Roman"/>
          <w:sz w:val="24"/>
          <w:szCs w:val="24"/>
        </w:rPr>
        <w:t xml:space="preserve"> a dois Objetivos da AND simultaneamente. </w:t>
      </w:r>
      <w:r w:rsidR="00CD3357">
        <w:rPr>
          <w:rFonts w:ascii="Times New Roman" w:hAnsi="Times New Roman"/>
          <w:sz w:val="24"/>
          <w:szCs w:val="24"/>
        </w:rPr>
        <w:t>Fora dos colchetes</w:t>
      </w:r>
      <w:r>
        <w:rPr>
          <w:rFonts w:ascii="Times New Roman" w:hAnsi="Times New Roman"/>
          <w:sz w:val="24"/>
          <w:szCs w:val="24"/>
        </w:rPr>
        <w:t xml:space="preserve"> acompanha</w:t>
      </w:r>
      <w:r w:rsidR="00CD3357">
        <w:rPr>
          <w:rFonts w:ascii="Times New Roman" w:hAnsi="Times New Roman"/>
          <w:sz w:val="24"/>
          <w:szCs w:val="24"/>
        </w:rPr>
        <w:t>mos a</w:t>
      </w:r>
      <w:r w:rsidR="0060013D">
        <w:rPr>
          <w:rFonts w:ascii="Times New Roman" w:hAnsi="Times New Roman"/>
          <w:sz w:val="24"/>
          <w:szCs w:val="24"/>
        </w:rPr>
        <w:t xml:space="preserve"> enumeração proveniente d</w:t>
      </w:r>
      <w:r w:rsidR="004B75D3">
        <w:rPr>
          <w:rFonts w:ascii="Times New Roman" w:hAnsi="Times New Roman"/>
          <w:sz w:val="24"/>
          <w:szCs w:val="24"/>
        </w:rPr>
        <w:t>a documentação d</w:t>
      </w:r>
      <w:r w:rsidR="0060013D">
        <w:rPr>
          <w:rFonts w:ascii="Times New Roman" w:hAnsi="Times New Roman"/>
          <w:sz w:val="24"/>
          <w:szCs w:val="24"/>
        </w:rPr>
        <w:t xml:space="preserve">os </w:t>
      </w:r>
      <w:r w:rsidR="00CD3357">
        <w:rPr>
          <w:rFonts w:ascii="Times New Roman" w:hAnsi="Times New Roman"/>
          <w:sz w:val="24"/>
          <w:szCs w:val="24"/>
        </w:rPr>
        <w:t xml:space="preserve">próprios </w:t>
      </w:r>
      <w:r w:rsidR="0060013D">
        <w:rPr>
          <w:rFonts w:ascii="Times New Roman" w:hAnsi="Times New Roman"/>
          <w:sz w:val="24"/>
          <w:szCs w:val="24"/>
        </w:rPr>
        <w:t>Enunciados</w:t>
      </w:r>
      <w:r>
        <w:rPr>
          <w:rFonts w:ascii="Times New Roman" w:hAnsi="Times New Roman"/>
          <w:sz w:val="24"/>
          <w:szCs w:val="24"/>
        </w:rPr>
        <w:t>. Por fim, os enunciados foram apresentados em versão condensada, sem, contudo, subtrair as passagens do texto que julgamos mais pertinentes.</w:t>
      </w:r>
    </w:p>
    <w:p w:rsidR="0009772B" w:rsidRPr="006407EF" w:rsidRDefault="0009772B" w:rsidP="0009772B">
      <w:pPr>
        <w:autoSpaceDE w:val="0"/>
        <w:autoSpaceDN w:val="0"/>
        <w:adjustRightInd w:val="0"/>
        <w:spacing w:after="0" w:line="360" w:lineRule="auto"/>
        <w:jc w:val="both"/>
        <w:rPr>
          <w:rFonts w:ascii="Times New Roman" w:hAnsi="Times New Roman"/>
          <w:sz w:val="24"/>
          <w:szCs w:val="24"/>
        </w:rPr>
      </w:pPr>
    </w:p>
    <w:p w:rsidR="0009772B" w:rsidRDefault="00DA6866" w:rsidP="0009772B">
      <w:pPr>
        <w:autoSpaceDE w:val="0"/>
        <w:autoSpaceDN w:val="0"/>
        <w:adjustRightInd w:val="0"/>
        <w:jc w:val="center"/>
      </w:pPr>
      <w:r>
        <w:rPr>
          <w:rFonts w:ascii="Times New Roman" w:hAnsi="Times New Roman"/>
          <w:b/>
          <w:sz w:val="24"/>
          <w:szCs w:val="24"/>
        </w:rPr>
        <w:t>Quadro 3.5</w:t>
      </w:r>
      <w:r w:rsidR="00095250">
        <w:rPr>
          <w:rFonts w:ascii="Times New Roman" w:hAnsi="Times New Roman"/>
          <w:b/>
          <w:sz w:val="24"/>
          <w:szCs w:val="24"/>
        </w:rPr>
        <w:t>–</w:t>
      </w:r>
      <w:r w:rsidR="0009772B" w:rsidRPr="00F5222D">
        <w:rPr>
          <w:rFonts w:ascii="Times New Roman" w:hAnsi="Times New Roman"/>
          <w:b/>
          <w:sz w:val="24"/>
          <w:szCs w:val="24"/>
        </w:rPr>
        <w:t xml:space="preserve"> Os Enunciados Estratégicos para o Desenvolvimento </w:t>
      </w:r>
      <w:r w:rsidR="00E769DE">
        <w:rPr>
          <w:rFonts w:ascii="Times New Roman" w:hAnsi="Times New Roman"/>
          <w:b/>
          <w:sz w:val="24"/>
          <w:szCs w:val="24"/>
        </w:rPr>
        <w:t>ante as</w:t>
      </w:r>
      <w:r w:rsidR="0009772B" w:rsidRPr="00F5222D">
        <w:rPr>
          <w:rFonts w:ascii="Times New Roman" w:hAnsi="Times New Roman"/>
          <w:b/>
          <w:sz w:val="24"/>
          <w:szCs w:val="24"/>
        </w:rPr>
        <w:t xml:space="preserve"> Diretrizes </w:t>
      </w:r>
      <w:r w:rsidR="0009772B">
        <w:rPr>
          <w:rFonts w:ascii="Times New Roman" w:hAnsi="Times New Roman"/>
          <w:b/>
          <w:sz w:val="24"/>
          <w:szCs w:val="24"/>
        </w:rPr>
        <w:t>E</w:t>
      </w:r>
      <w:r w:rsidR="0009772B" w:rsidRPr="00F5222D">
        <w:rPr>
          <w:rFonts w:ascii="Times New Roman" w:hAnsi="Times New Roman"/>
          <w:b/>
          <w:sz w:val="24"/>
          <w:szCs w:val="24"/>
        </w:rPr>
        <w:t>stratégicas da AND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378"/>
      </w:tblGrid>
      <w:tr w:rsidR="0009772B" w:rsidRPr="008211FD" w:rsidTr="004640A8">
        <w:tc>
          <w:tcPr>
            <w:tcW w:w="2694" w:type="dxa"/>
          </w:tcPr>
          <w:p w:rsidR="0009772B" w:rsidRPr="008211FD" w:rsidRDefault="0009772B" w:rsidP="008211FD">
            <w:pPr>
              <w:spacing w:after="0" w:line="360" w:lineRule="auto"/>
              <w:jc w:val="both"/>
              <w:rPr>
                <w:rFonts w:ascii="Times New Roman" w:hAnsi="Times New Roman"/>
                <w:b/>
                <w:sz w:val="24"/>
                <w:szCs w:val="24"/>
              </w:rPr>
            </w:pPr>
            <w:r w:rsidRPr="008211FD">
              <w:rPr>
                <w:rFonts w:ascii="Times New Roman" w:hAnsi="Times New Roman"/>
                <w:b/>
                <w:sz w:val="24"/>
                <w:szCs w:val="24"/>
              </w:rPr>
              <w:t>Diretrizes estratégicas</w:t>
            </w:r>
          </w:p>
        </w:tc>
        <w:tc>
          <w:tcPr>
            <w:tcW w:w="6378" w:type="dxa"/>
          </w:tcPr>
          <w:p w:rsidR="0009772B" w:rsidRPr="008211FD" w:rsidRDefault="0009772B" w:rsidP="008211FD">
            <w:pPr>
              <w:spacing w:after="0" w:line="360" w:lineRule="auto"/>
              <w:jc w:val="both"/>
              <w:rPr>
                <w:rFonts w:ascii="Times New Roman" w:hAnsi="Times New Roman"/>
                <w:b/>
                <w:sz w:val="24"/>
                <w:szCs w:val="24"/>
              </w:rPr>
            </w:pPr>
            <w:r w:rsidRPr="008211FD">
              <w:rPr>
                <w:rFonts w:ascii="Times New Roman" w:hAnsi="Times New Roman"/>
                <w:b/>
                <w:sz w:val="24"/>
                <w:szCs w:val="24"/>
              </w:rPr>
              <w:t>Enunciados estratégicos</w:t>
            </w:r>
          </w:p>
        </w:tc>
      </w:tr>
      <w:tr w:rsidR="0009772B" w:rsidRPr="008211FD" w:rsidTr="004640A8">
        <w:tc>
          <w:tcPr>
            <w:tcW w:w="2694" w:type="dxa"/>
          </w:tcPr>
          <w:p w:rsidR="0009772B" w:rsidRPr="008211FD" w:rsidRDefault="0009772B" w:rsidP="008211FD">
            <w:pPr>
              <w:spacing w:before="240" w:after="0" w:line="240" w:lineRule="auto"/>
              <w:rPr>
                <w:rFonts w:ascii="Times New Roman" w:hAnsi="Times New Roman"/>
                <w:b/>
                <w:i/>
                <w:sz w:val="18"/>
                <w:szCs w:val="18"/>
              </w:rPr>
            </w:pPr>
            <w:r w:rsidRPr="008211FD">
              <w:rPr>
                <w:rFonts w:ascii="Times New Roman" w:hAnsi="Times New Roman"/>
                <w:b/>
                <w:i/>
                <w:sz w:val="18"/>
                <w:szCs w:val="18"/>
              </w:rPr>
              <w:t xml:space="preserve">Para </w:t>
            </w:r>
            <w:r w:rsidR="00CD3357">
              <w:rPr>
                <w:rFonts w:ascii="Times New Roman" w:hAnsi="Times New Roman"/>
                <w:b/>
                <w:i/>
                <w:sz w:val="18"/>
                <w:szCs w:val="18"/>
              </w:rPr>
              <w:t>o O</w:t>
            </w:r>
            <w:r w:rsidRPr="008211FD">
              <w:rPr>
                <w:rFonts w:ascii="Times New Roman" w:hAnsi="Times New Roman"/>
                <w:b/>
                <w:i/>
                <w:sz w:val="18"/>
                <w:szCs w:val="18"/>
              </w:rPr>
              <w:t>bjetivo I</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1. Adotar a equidade como o critério a presidir toda e qualquer decisão dos poderes públicos, estabelecendo obrigatoriedade de avaliação prévia às suas ações por este critério, e incentivá-lo na iniciativa privada.</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2. Ampliar a escolaridade média da população brasileira, com ênfase na universalização do acesso e conclusão da educação básica, mediante estabelecimento de metas anuais de qualidade do ensino, submetidas a processo de avaliação e controle da sociedade.</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3. O pleno emprego passa a ser um objetivo permanente, contribuindo para a redução das diferenças salariais de gênero e raça, formalização dos contratos de trabalho e salário mínimo compatível ao que determina a CF/88.</w:t>
            </w:r>
            <w:r w:rsidRPr="008211FD">
              <w:rPr>
                <w:rStyle w:val="Refdenotaderodap"/>
                <w:rFonts w:ascii="Times New Roman" w:hAnsi="Times New Roman"/>
                <w:sz w:val="18"/>
                <w:szCs w:val="18"/>
              </w:rPr>
              <w:footnoteReference w:id="504"/>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4. Identificar áreas com maior miséria/pobreza e articular nos três níveis de governo ações para a cidadania. Identificar potenciais produtivos e oportunidades de investimento e promover dinamização da economia local, suportada em acordo social-público-privado.</w:t>
            </w:r>
          </w:p>
          <w:p w:rsidR="0009772B" w:rsidRPr="008211FD" w:rsidRDefault="0009772B" w:rsidP="008211FD">
            <w:pPr>
              <w:spacing w:after="0" w:line="240" w:lineRule="auto"/>
              <w:rPr>
                <w:rFonts w:ascii="Times New Roman" w:hAnsi="Times New Roman"/>
                <w:bCs/>
                <w:color w:val="000000"/>
                <w:sz w:val="18"/>
                <w:szCs w:val="18"/>
              </w:rPr>
            </w:pPr>
            <w:r w:rsidRPr="008211FD">
              <w:rPr>
                <w:rFonts w:ascii="Times New Roman" w:hAnsi="Times New Roman"/>
                <w:sz w:val="18"/>
                <w:szCs w:val="18"/>
              </w:rPr>
              <w:t>5. Executar a Reforma Agrária, em prazo máximo de cinco anos, com apoio especial e integrado à agricultura familiar.</w:t>
            </w:r>
          </w:p>
        </w:tc>
        <w:tc>
          <w:tcPr>
            <w:tcW w:w="6378" w:type="dxa"/>
          </w:tcPr>
          <w:p w:rsidR="0009772B" w:rsidRPr="008211FD" w:rsidRDefault="0009772B" w:rsidP="008211FD">
            <w:pPr>
              <w:spacing w:after="0" w:line="240" w:lineRule="auto"/>
              <w:rPr>
                <w:rFonts w:ascii="Times New Roman" w:hAnsi="Times New Roman"/>
                <w:sz w:val="18"/>
                <w:szCs w:val="18"/>
              </w:rPr>
            </w:pP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[I.1]2 –</w:t>
            </w:r>
            <w:r w:rsidRPr="008211FD">
              <w:rPr>
                <w:rFonts w:ascii="Times New Roman" w:hAnsi="Times New Roman"/>
                <w:sz w:val="18"/>
                <w:szCs w:val="18"/>
              </w:rPr>
              <w:t xml:space="preserve"> Adotar a equidade como critério a presidir toda e qualquer decisão dos poderes públicos de modo a garantir que o Coeficiente de Gini, atualmente mensurado em 0,569 (2004), seja reduzido para 0,400 em 2022.</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[I.2]3 –</w:t>
            </w:r>
            <w:r w:rsidRPr="008211FD">
              <w:rPr>
                <w:rFonts w:ascii="Times New Roman" w:hAnsi="Times New Roman"/>
                <w:sz w:val="18"/>
                <w:szCs w:val="18"/>
              </w:rPr>
              <w:t xml:space="preserve"> Objetivos na educação: ampliar a oferta de alfabetização para jovens e adultos, articulada com o ensino básico e a educação profissional; garantir a universalização do acesso e conclusão da educação básica; ampliar a rede de educação tecnológica, ampliando o ensino médio integrado, tendo como meta a universalização do ensino médio em um prazo de cinco anos; consolidar a ampliação da rede de IFES, garantindo marco legal para a expansão com qualidade do setor privado, tendo como meta atingir 30% dos jovens cursando o ensino superior (sendo 40% das matrículas em instituições públicas); impulsionar a evolução do sistema nacional de pós-graduação. Expansão dos investimentos para 6% do PIB.</w:t>
            </w:r>
            <w:r w:rsidRPr="008211FD">
              <w:rPr>
                <w:rStyle w:val="Refdenotaderodap"/>
                <w:rFonts w:ascii="Times New Roman" w:hAnsi="Times New Roman"/>
                <w:sz w:val="18"/>
                <w:szCs w:val="18"/>
              </w:rPr>
              <w:footnoteReference w:id="505"/>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[I.3/II.2]5 –</w:t>
            </w:r>
            <w:r w:rsidRPr="008211FD">
              <w:rPr>
                <w:rFonts w:ascii="Times New Roman" w:hAnsi="Times New Roman"/>
                <w:sz w:val="18"/>
                <w:szCs w:val="18"/>
              </w:rPr>
              <w:t xml:space="preserve"> Política continuada de valorização do salário mínimo, proporcionando aumento real em torno de 150% até 2022 em relação ao ano de 2006. Esta meta é viável com base na estimativa de crescimento do PIB da ordem 150% no período 2006-2022; no estímulo à negociação de acordos para a incorporação à renda do trabalho de parte dos ganhos de produtividade decorrentes deste crescimento.</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[I.3]6 –</w:t>
            </w:r>
            <w:r w:rsidRPr="008211FD">
              <w:rPr>
                <w:rFonts w:ascii="Times New Roman" w:hAnsi="Times New Roman"/>
                <w:sz w:val="18"/>
                <w:szCs w:val="18"/>
              </w:rPr>
              <w:t xml:space="preserve"> Geração de 100 a 150 mil novas ocupações/mês, garantindo que pelo menos 80% destas novas ocupações sejam postos de trabalho formais.</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[I.3]4 –</w:t>
            </w:r>
            <w:r w:rsidRPr="008211FD">
              <w:rPr>
                <w:rFonts w:ascii="Times New Roman" w:hAnsi="Times New Roman"/>
                <w:sz w:val="18"/>
                <w:szCs w:val="18"/>
              </w:rPr>
              <w:t xml:space="preserve"> Aperfeiçoar o SUS, com definição clara das responsabilidades entre os entes federativos. Meta de investimento de 3,2% para 4,5% do PIB até 2011 e para 6% até 2022.</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[I.3]</w:t>
            </w:r>
            <w:r w:rsidRPr="008211FD">
              <w:rPr>
                <w:rFonts w:ascii="Times New Roman" w:hAnsi="Times New Roman"/>
                <w:b/>
                <w:bCs/>
                <w:sz w:val="18"/>
                <w:szCs w:val="18"/>
              </w:rPr>
              <w:t xml:space="preserve">21- </w:t>
            </w:r>
            <w:r w:rsidRPr="008211FD">
              <w:rPr>
                <w:rFonts w:ascii="Times New Roman" w:hAnsi="Times New Roman"/>
                <w:sz w:val="18"/>
                <w:szCs w:val="18"/>
              </w:rPr>
              <w:t>Trazer para a formalidade até 2022 cerca de 10,3 milhões de micro e pequenas empresas que se encontram na informalidade. Aprovar de forma imediata da Lei Geral das Micro, Pequenas e Médias Empresas.</w:t>
            </w:r>
          </w:p>
          <w:p w:rsidR="0009772B" w:rsidRPr="008211FD" w:rsidRDefault="0009772B" w:rsidP="008211FD">
            <w:pPr>
              <w:autoSpaceDE w:val="0"/>
              <w:autoSpaceDN w:val="0"/>
              <w:adjustRightInd w:val="0"/>
              <w:spacing w:after="0" w:line="240" w:lineRule="auto"/>
              <w:rPr>
                <w:rFonts w:ascii="Times New Roman" w:hAnsi="Times New Roman"/>
                <w:b/>
                <w:bCs/>
                <w:sz w:val="18"/>
                <w:szCs w:val="18"/>
              </w:rPr>
            </w:pPr>
            <w:r w:rsidRPr="008211FD">
              <w:rPr>
                <w:rFonts w:ascii="Times New Roman" w:hAnsi="Times New Roman"/>
                <w:b/>
                <w:bCs/>
                <w:sz w:val="18"/>
                <w:szCs w:val="18"/>
              </w:rPr>
              <w:t>19- Infra-Estrutura Urbana e Social</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[I.4]</w:t>
            </w:r>
            <w:r w:rsidRPr="008211FD">
              <w:rPr>
                <w:rFonts w:ascii="Times New Roman" w:hAnsi="Times New Roman"/>
                <w:b/>
                <w:bCs/>
                <w:sz w:val="18"/>
                <w:szCs w:val="18"/>
              </w:rPr>
              <w:t xml:space="preserve">19.1 </w:t>
            </w:r>
            <w:r w:rsidR="00095250">
              <w:rPr>
                <w:rFonts w:ascii="Times New Roman" w:hAnsi="Times New Roman"/>
                <w:b/>
                <w:bCs/>
                <w:sz w:val="18"/>
                <w:szCs w:val="18"/>
              </w:rPr>
              <w:t>–</w:t>
            </w:r>
            <w:r w:rsidRPr="008211FD">
              <w:rPr>
                <w:rFonts w:ascii="Times New Roman" w:hAnsi="Times New Roman"/>
                <w:sz w:val="18"/>
                <w:szCs w:val="18"/>
              </w:rPr>
              <w:t xml:space="preserve"> Implantar o Programa de Mobilidade Urbana para construção de cidades sustentáveis, garantindo investimentos em transporte público coletivo, acessibilidade e circulação não motorizada no montante anual em torno de R$ 2 bilhões durante 10 anos.</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[I.4]</w:t>
            </w:r>
            <w:r w:rsidRPr="008211FD">
              <w:rPr>
                <w:rFonts w:ascii="Times New Roman" w:hAnsi="Times New Roman"/>
                <w:b/>
                <w:bCs/>
                <w:sz w:val="18"/>
                <w:szCs w:val="18"/>
              </w:rPr>
              <w:t xml:space="preserve">19.2 </w:t>
            </w:r>
            <w:r w:rsidR="00095250">
              <w:rPr>
                <w:rFonts w:ascii="Times New Roman" w:hAnsi="Times New Roman"/>
                <w:b/>
                <w:bCs/>
                <w:sz w:val="18"/>
                <w:szCs w:val="18"/>
              </w:rPr>
              <w:t>–</w:t>
            </w:r>
            <w:r w:rsidRPr="008211FD">
              <w:rPr>
                <w:rFonts w:ascii="Times New Roman" w:hAnsi="Times New Roman"/>
                <w:sz w:val="18"/>
                <w:szCs w:val="18"/>
              </w:rPr>
              <w:t xml:space="preserve"> Universalizar o acesso aos serviços públicos de saneamento básico na área urbana e rural nos próximos 20 anos. Investir R$ 180 bilhões.</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[I.4]</w:t>
            </w:r>
            <w:r w:rsidRPr="008211FD">
              <w:rPr>
                <w:rFonts w:ascii="Times New Roman" w:hAnsi="Times New Roman"/>
                <w:b/>
                <w:bCs/>
                <w:sz w:val="18"/>
                <w:szCs w:val="18"/>
              </w:rPr>
              <w:t xml:space="preserve">19.3 </w:t>
            </w:r>
            <w:r w:rsidR="00095250">
              <w:rPr>
                <w:rFonts w:ascii="Times New Roman" w:hAnsi="Times New Roman"/>
                <w:b/>
                <w:bCs/>
                <w:sz w:val="18"/>
                <w:szCs w:val="18"/>
              </w:rPr>
              <w:t>–</w:t>
            </w:r>
            <w:r w:rsidRPr="008211FD">
              <w:rPr>
                <w:rFonts w:ascii="Times New Roman" w:hAnsi="Times New Roman"/>
                <w:sz w:val="18"/>
                <w:szCs w:val="18"/>
              </w:rPr>
              <w:t xml:space="preserve">Investir R$ 39,6 bilhões no período 2007 a 2022 para equacionar o </w:t>
            </w:r>
            <w:r w:rsidR="005913F9" w:rsidRPr="005913F9">
              <w:rPr>
                <w:rFonts w:ascii="Times New Roman" w:hAnsi="Times New Roman"/>
                <w:i/>
                <w:iCs/>
                <w:sz w:val="18"/>
                <w:szCs w:val="18"/>
              </w:rPr>
              <w:t>déficit</w:t>
            </w:r>
            <w:r w:rsidRPr="008211FD">
              <w:rPr>
                <w:rFonts w:ascii="Times New Roman" w:hAnsi="Times New Roman"/>
                <w:sz w:val="18"/>
                <w:szCs w:val="18"/>
              </w:rPr>
              <w:t xml:space="preserve">(favelas e domicílios rústicos) estimado em 3,5 milhões, nas regiões metropolitanas. Investir R$ 112,2 bilhões no período 2007 a 2022 para produzir unidades habitacionais de interesse social necessárias para equacionar o </w:t>
            </w:r>
            <w:r w:rsidR="005913F9">
              <w:rPr>
                <w:rFonts w:ascii="Times New Roman" w:hAnsi="Times New Roman"/>
                <w:i/>
                <w:iCs/>
                <w:sz w:val="18"/>
                <w:szCs w:val="18"/>
              </w:rPr>
              <w:t>déficit</w:t>
            </w:r>
            <w:r w:rsidRPr="008211FD">
              <w:rPr>
                <w:rFonts w:ascii="Times New Roman" w:hAnsi="Times New Roman"/>
                <w:sz w:val="18"/>
                <w:szCs w:val="18"/>
              </w:rPr>
              <w:t>habitacional estimado em 6,6 mil.</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[I.4]</w:t>
            </w:r>
            <w:r w:rsidRPr="008211FD">
              <w:rPr>
                <w:rFonts w:ascii="Times New Roman" w:hAnsi="Times New Roman"/>
                <w:b/>
                <w:bCs/>
                <w:sz w:val="18"/>
                <w:szCs w:val="18"/>
              </w:rPr>
              <w:t xml:space="preserve">20 </w:t>
            </w:r>
            <w:r w:rsidR="00095250">
              <w:rPr>
                <w:rFonts w:ascii="Times New Roman" w:hAnsi="Times New Roman"/>
                <w:b/>
                <w:bCs/>
                <w:sz w:val="18"/>
                <w:szCs w:val="18"/>
              </w:rPr>
              <w:t>–</w:t>
            </w:r>
            <w:r w:rsidRPr="008211FD">
              <w:rPr>
                <w:rFonts w:ascii="Times New Roman" w:hAnsi="Times New Roman"/>
                <w:sz w:val="18"/>
                <w:szCs w:val="18"/>
              </w:rPr>
              <w:t>Implementar uma Política Nacional de Desenvolvimento Regional (PNDR) que valorize a diversidade regional e reduza as desigualdades.</w:t>
            </w:r>
            <w:r w:rsidRPr="008211FD">
              <w:rPr>
                <w:rFonts w:ascii="Times New Roman" w:hAnsi="Times New Roman"/>
                <w:sz w:val="20"/>
                <w:szCs w:val="20"/>
              </w:rPr>
              <w:t>I</w:t>
            </w:r>
            <w:r w:rsidRPr="008211FD">
              <w:rPr>
                <w:rFonts w:ascii="Times New Roman" w:hAnsi="Times New Roman"/>
                <w:sz w:val="18"/>
                <w:szCs w:val="18"/>
              </w:rPr>
              <w:t>mplementar o Fundo Nacional de Desenvolvimento Regional (FNDR) que contará com 2% da arrecadação dos tributos federais nos próximos 5 anos, 2,5% nos cinco anos seguintes e 3% nos dez anos seguintes.</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[I.5]</w:t>
            </w:r>
            <w:r w:rsidRPr="008211FD">
              <w:rPr>
                <w:rFonts w:ascii="Times New Roman" w:hAnsi="Times New Roman"/>
                <w:b/>
                <w:bCs/>
                <w:sz w:val="18"/>
                <w:szCs w:val="18"/>
              </w:rPr>
              <w:t xml:space="preserve">22 </w:t>
            </w:r>
            <w:r w:rsidR="00095250">
              <w:rPr>
                <w:rFonts w:ascii="Times New Roman" w:hAnsi="Times New Roman"/>
                <w:b/>
                <w:bCs/>
                <w:sz w:val="18"/>
                <w:szCs w:val="18"/>
              </w:rPr>
              <w:t>–</w:t>
            </w:r>
            <w:r w:rsidRPr="008211FD">
              <w:rPr>
                <w:rFonts w:ascii="Times New Roman" w:hAnsi="Times New Roman"/>
                <w:sz w:val="18"/>
                <w:szCs w:val="18"/>
              </w:rPr>
              <w:t>A Reforma Agrária é condição para a Democracia. A distinção entre terra de trabalho e terra de negócio deve ser o principal critério para a desapropriação e redistribuição de terras, respeitando os diferentes modos de produção dos povos originários e quilombola. Atualizar os índices de produtividade para fins de desapropriação de terras. Garantir acesso à terra para mais de 1,5 milhões de famílias de agricultores sem terra, até 2015.</w:t>
            </w:r>
          </w:p>
          <w:p w:rsidR="0009772B" w:rsidRPr="008211FD" w:rsidRDefault="0009772B" w:rsidP="008211FD">
            <w:pPr>
              <w:spacing w:after="0" w:line="240" w:lineRule="auto"/>
              <w:rPr>
                <w:rFonts w:ascii="Times New Roman" w:hAnsi="Times New Roman"/>
                <w:sz w:val="18"/>
                <w:szCs w:val="18"/>
              </w:rPr>
            </w:pPr>
          </w:p>
        </w:tc>
      </w:tr>
      <w:tr w:rsidR="0009772B" w:rsidRPr="008211FD" w:rsidTr="004640A8">
        <w:tc>
          <w:tcPr>
            <w:tcW w:w="2694" w:type="dxa"/>
          </w:tcPr>
          <w:p w:rsidR="0009772B" w:rsidRPr="008211FD" w:rsidRDefault="0009772B" w:rsidP="008211FD">
            <w:pPr>
              <w:spacing w:before="240" w:after="0" w:line="240" w:lineRule="auto"/>
              <w:rPr>
                <w:rFonts w:ascii="Times New Roman" w:hAnsi="Times New Roman"/>
                <w:b/>
                <w:i/>
                <w:sz w:val="18"/>
                <w:szCs w:val="18"/>
              </w:rPr>
            </w:pPr>
            <w:r w:rsidRPr="008211FD">
              <w:rPr>
                <w:rFonts w:ascii="Times New Roman" w:hAnsi="Times New Roman"/>
                <w:b/>
                <w:i/>
                <w:sz w:val="18"/>
                <w:szCs w:val="18"/>
              </w:rPr>
              <w:t>Para o objetivo II</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1. O governo e representantes de todos os setores empresariais elaborarão proposta de acordo para o investimento e inovação sistêmicos, base para o aumento da produção, do emprego, da produtividade e da competitividade.</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2. Será objetivo a ser estimulado a constituição de acordos para a partilha dos ganhos de produtividade.</w:t>
            </w:r>
          </w:p>
          <w:p w:rsidR="0009772B" w:rsidRPr="008211FD" w:rsidRDefault="0009772B" w:rsidP="008211FD">
            <w:pPr>
              <w:spacing w:after="0" w:line="240" w:lineRule="auto"/>
              <w:ind w:right="-5"/>
              <w:rPr>
                <w:rFonts w:ascii="Times New Roman" w:hAnsi="Times New Roman"/>
                <w:b/>
                <w:sz w:val="24"/>
                <w:szCs w:val="24"/>
              </w:rPr>
            </w:pPr>
            <w:r w:rsidRPr="008211FD">
              <w:rPr>
                <w:rFonts w:ascii="Times New Roman" w:hAnsi="Times New Roman"/>
                <w:sz w:val="18"/>
                <w:szCs w:val="18"/>
              </w:rPr>
              <w:t>3. Os órgãos governamentais, as universidades, as instituições públicas e privadas de pesquisa e desenvolvimento conceberão um programa de parceria Universidades – Instituições de Ciência e Tecnologia – Empresas.</w:t>
            </w:r>
          </w:p>
        </w:tc>
        <w:tc>
          <w:tcPr>
            <w:tcW w:w="6378" w:type="dxa"/>
          </w:tcPr>
          <w:p w:rsidR="0009772B" w:rsidRPr="008211FD" w:rsidRDefault="0009772B" w:rsidP="008211FD">
            <w:pPr>
              <w:spacing w:after="0" w:line="240" w:lineRule="auto"/>
              <w:rPr>
                <w:rFonts w:ascii="Times New Roman" w:hAnsi="Times New Roman"/>
                <w:sz w:val="18"/>
                <w:szCs w:val="18"/>
              </w:rPr>
            </w:pP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[II.1]10 –</w:t>
            </w:r>
            <w:r w:rsidRPr="008211FD">
              <w:rPr>
                <w:rFonts w:ascii="Times New Roman" w:hAnsi="Times New Roman"/>
                <w:sz w:val="18"/>
                <w:szCs w:val="18"/>
              </w:rPr>
              <w:t xml:space="preserve"> Expansão simultânea dos mercados interno e externo. A política externa deve ser ambiciosa de forma a garantir a abertura de novos mercados.</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 xml:space="preserve">[II.1]14 – </w:t>
            </w:r>
            <w:r w:rsidRPr="008211FD">
              <w:rPr>
                <w:rFonts w:ascii="Times New Roman" w:hAnsi="Times New Roman"/>
                <w:sz w:val="18"/>
                <w:szCs w:val="18"/>
              </w:rPr>
              <w:t xml:space="preserve">Política Industrial, Tecnológica e de Comércio Exterior (PITCE) deve alterar o patamar competitivo da indústria rumo a inovação e diferenciação de produtos e serviços, com inserção nos principais mercados do mundo. Maior protagonismo no comércio exterior nos segmentos de maior intensidade tecnológica, com internacionalização de empresas brasileiras, disputando a liderança em diversos setores, incluindo produtos de base, nano e biotecnológica e biocombustíveis. </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 xml:space="preserve">[II.1/3]15 </w:t>
            </w:r>
            <w:r w:rsidR="00095250">
              <w:rPr>
                <w:rFonts w:ascii="Times New Roman" w:hAnsi="Times New Roman"/>
                <w:b/>
                <w:sz w:val="18"/>
                <w:szCs w:val="18"/>
              </w:rPr>
              <w:t>–</w:t>
            </w:r>
            <w:r w:rsidRPr="008211FD">
              <w:rPr>
                <w:rFonts w:ascii="Times New Roman" w:hAnsi="Times New Roman"/>
                <w:sz w:val="18"/>
                <w:szCs w:val="18"/>
              </w:rPr>
              <w:t xml:space="preserve"> Aumentar a participação do gasto em C&amp;T no PIB, dos atuais 1,37% para 2,5% nos próximos três anos. Promover o fortalecimento e a modernização institucional da infra-estrutura de pesquisa e desenvolvimento do País, de modo a favorecer uma cultura voltada para maior interação entre universidades, instituto de pesquisas e setor privado.</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 xml:space="preserve">[II.1]16 </w:t>
            </w:r>
            <w:r w:rsidR="00095250">
              <w:rPr>
                <w:rFonts w:ascii="Times New Roman" w:hAnsi="Times New Roman"/>
                <w:b/>
                <w:sz w:val="18"/>
                <w:szCs w:val="18"/>
              </w:rPr>
              <w:t>–</w:t>
            </w:r>
            <w:r w:rsidRPr="008211FD">
              <w:rPr>
                <w:rFonts w:ascii="Times New Roman" w:hAnsi="Times New Roman"/>
                <w:sz w:val="18"/>
                <w:szCs w:val="18"/>
              </w:rPr>
              <w:t xml:space="preserve"> A política de Ciência, Tecnologia e Inovação (CT&amp;I) e a Política Industrial devem contemplar a política nacional de saúde como área estratégica para o desenvolvimento nacional. Aumentar, de modo contínuo, a cobertura de atendimento e oferta de serviços aos usuários do SUS, bem como o desejado aprimoramento da qualidade da prestação desses serviços.</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 xml:space="preserve">[II.1]17 </w:t>
            </w:r>
            <w:r w:rsidR="00095250">
              <w:rPr>
                <w:rFonts w:ascii="Times New Roman" w:hAnsi="Times New Roman"/>
                <w:b/>
                <w:sz w:val="18"/>
                <w:szCs w:val="18"/>
              </w:rPr>
              <w:t>–</w:t>
            </w:r>
            <w:r w:rsidRPr="008211FD">
              <w:rPr>
                <w:rFonts w:ascii="Times New Roman" w:hAnsi="Times New Roman"/>
                <w:sz w:val="18"/>
                <w:szCs w:val="18"/>
              </w:rPr>
              <w:t xml:space="preserve"> Fortalecer a política de comércio exterior, de modo a assegurar que o crescimento de nossas exportações continue superando o crescimento do comércio exterior com taxas superiores a 10% ao ano, a fim de que o Brasil alcance o patamar mínimo de 15º país exportador mundial até 2022.</w:t>
            </w:r>
          </w:p>
          <w:p w:rsidR="0009772B" w:rsidRPr="008211FD" w:rsidRDefault="0009772B" w:rsidP="008211FD">
            <w:pPr>
              <w:autoSpaceDE w:val="0"/>
              <w:autoSpaceDN w:val="0"/>
              <w:adjustRightInd w:val="0"/>
              <w:spacing w:after="0" w:line="240" w:lineRule="auto"/>
              <w:rPr>
                <w:rFonts w:ascii="Times New Roman" w:hAnsi="Times New Roman"/>
                <w:color w:val="000000"/>
                <w:sz w:val="18"/>
                <w:szCs w:val="18"/>
              </w:rPr>
            </w:pPr>
          </w:p>
        </w:tc>
      </w:tr>
      <w:tr w:rsidR="0009772B" w:rsidRPr="008211FD" w:rsidTr="004640A8">
        <w:tc>
          <w:tcPr>
            <w:tcW w:w="2694" w:type="dxa"/>
          </w:tcPr>
          <w:p w:rsidR="0009772B" w:rsidRPr="008211FD" w:rsidRDefault="0009772B" w:rsidP="008211FD">
            <w:pPr>
              <w:spacing w:before="240" w:after="0" w:line="240" w:lineRule="auto"/>
              <w:rPr>
                <w:rFonts w:ascii="Times New Roman" w:hAnsi="Times New Roman"/>
                <w:b/>
                <w:i/>
                <w:sz w:val="18"/>
                <w:szCs w:val="18"/>
              </w:rPr>
            </w:pPr>
            <w:r w:rsidRPr="008211FD">
              <w:rPr>
                <w:rFonts w:ascii="Times New Roman" w:hAnsi="Times New Roman"/>
                <w:b/>
                <w:i/>
                <w:sz w:val="18"/>
                <w:szCs w:val="18"/>
              </w:rPr>
              <w:t>Para o objetivo III</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1. Implantar política nacional integrada de transportes assente na multimodalidade, conferindo prioridade à criação de corredores hidroviários, ferroviários e cabotagem.</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2. Recuperação da malha rodoviária federal.</w:t>
            </w:r>
          </w:p>
          <w:p w:rsidR="0009772B" w:rsidRPr="008211FD" w:rsidRDefault="0009772B" w:rsidP="008211FD">
            <w:pPr>
              <w:spacing w:after="0" w:line="240" w:lineRule="auto"/>
              <w:rPr>
                <w:rFonts w:ascii="Times New Roman" w:hAnsi="Times New Roman"/>
                <w:b/>
                <w:bCs/>
                <w:color w:val="000000"/>
                <w:sz w:val="18"/>
                <w:szCs w:val="18"/>
              </w:rPr>
            </w:pPr>
            <w:r w:rsidRPr="008211FD">
              <w:rPr>
                <w:rFonts w:ascii="Times New Roman" w:hAnsi="Times New Roman"/>
                <w:sz w:val="18"/>
                <w:szCs w:val="18"/>
              </w:rPr>
              <w:t>3. Privilegiar fontes renováveis no planejamento energético nacional.</w:t>
            </w:r>
          </w:p>
        </w:tc>
        <w:tc>
          <w:tcPr>
            <w:tcW w:w="6378" w:type="dxa"/>
          </w:tcPr>
          <w:p w:rsidR="0009772B" w:rsidRPr="008211FD" w:rsidRDefault="0009772B" w:rsidP="008211FD">
            <w:pPr>
              <w:spacing w:after="0" w:line="240" w:lineRule="auto"/>
              <w:rPr>
                <w:rFonts w:ascii="Times New Roman" w:hAnsi="Times New Roman"/>
                <w:sz w:val="18"/>
                <w:szCs w:val="18"/>
              </w:rPr>
            </w:pP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[III.1]</w:t>
            </w:r>
            <w:r w:rsidRPr="008211FD">
              <w:rPr>
                <w:rFonts w:ascii="Times New Roman" w:hAnsi="Times New Roman"/>
                <w:b/>
                <w:bCs/>
                <w:sz w:val="18"/>
                <w:szCs w:val="18"/>
              </w:rPr>
              <w:t xml:space="preserve">18.1- </w:t>
            </w:r>
            <w:r w:rsidRPr="008211FD">
              <w:rPr>
                <w:rFonts w:ascii="Times New Roman" w:hAnsi="Times New Roman"/>
                <w:sz w:val="18"/>
                <w:szCs w:val="18"/>
              </w:rPr>
              <w:t>Diversificar a matriz de transportes priorizando o uso do transporte ferroviário, hidroviário e marítimo. Garantir o patamar em torno de R$ 8,2 bilhões/ano para o investimento público no setor e incentivar a utilização de Contratos de Concessão e de Parceiras Público–Privadas.</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 xml:space="preserve">[III.3]18.2 </w:t>
            </w:r>
            <w:r w:rsidR="00095250">
              <w:rPr>
                <w:rFonts w:ascii="Times New Roman" w:hAnsi="Times New Roman"/>
                <w:b/>
                <w:sz w:val="18"/>
                <w:szCs w:val="18"/>
              </w:rPr>
              <w:t>–</w:t>
            </w:r>
            <w:r w:rsidRPr="008211FD">
              <w:rPr>
                <w:rFonts w:ascii="Times New Roman" w:hAnsi="Times New Roman"/>
                <w:sz w:val="18"/>
                <w:szCs w:val="18"/>
              </w:rPr>
              <w:t xml:space="preserve"> Diversificar e ampliar a matriz energética brasileira mediante vigoroso esforço para o desenvolvimento de novas fontes renováveis, limpas e econômicas de energia, destacando-se os biocombustíveis, como etanol, biodiesel e H-bio. A expansão da oferta de energia elétrica deve seguir com predominância da hidroeletricidade. São necessários investimentos em torno de R$ 36 bilhões/ano.</w:t>
            </w:r>
          </w:p>
          <w:p w:rsidR="0009772B" w:rsidRPr="008211FD" w:rsidRDefault="0009772B" w:rsidP="008211FD">
            <w:pPr>
              <w:spacing w:after="0" w:line="240" w:lineRule="auto"/>
              <w:rPr>
                <w:rFonts w:ascii="Times New Roman" w:hAnsi="Times New Roman"/>
                <w:sz w:val="18"/>
                <w:szCs w:val="18"/>
              </w:rPr>
            </w:pPr>
          </w:p>
        </w:tc>
      </w:tr>
      <w:tr w:rsidR="0009772B" w:rsidRPr="008211FD" w:rsidTr="004640A8">
        <w:tc>
          <w:tcPr>
            <w:tcW w:w="2694" w:type="dxa"/>
          </w:tcPr>
          <w:p w:rsidR="0009772B" w:rsidRPr="008211FD" w:rsidRDefault="0009772B" w:rsidP="008211FD">
            <w:pPr>
              <w:spacing w:after="0" w:line="240" w:lineRule="auto"/>
              <w:rPr>
                <w:rFonts w:ascii="Times New Roman" w:hAnsi="Times New Roman"/>
                <w:sz w:val="18"/>
                <w:szCs w:val="18"/>
              </w:rPr>
            </w:pPr>
          </w:p>
          <w:p w:rsidR="0009772B" w:rsidRPr="008211FD" w:rsidRDefault="0009772B" w:rsidP="008211FD">
            <w:pPr>
              <w:spacing w:after="0" w:line="240" w:lineRule="auto"/>
              <w:rPr>
                <w:rFonts w:ascii="Times New Roman" w:hAnsi="Times New Roman"/>
                <w:b/>
                <w:i/>
                <w:sz w:val="18"/>
                <w:szCs w:val="18"/>
              </w:rPr>
            </w:pPr>
            <w:r w:rsidRPr="008211FD">
              <w:rPr>
                <w:rFonts w:ascii="Times New Roman" w:hAnsi="Times New Roman"/>
                <w:b/>
                <w:i/>
                <w:sz w:val="18"/>
                <w:szCs w:val="18"/>
              </w:rPr>
              <w:t>Para o objetivo IV</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1. Definir e implantar proposta de sistema público-privado de financiamento do investimento e dinamização do mercado de capitais.</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2. Ampliar composição do CMN. Criar, junto ao Gabinete do Presidente da República, um conselho de assessores econômicos, com a função de auxiliar na formulação e avaliação da execução da política econômica.</w:t>
            </w:r>
          </w:p>
          <w:p w:rsidR="0009772B" w:rsidRPr="008211FD" w:rsidRDefault="0009772B" w:rsidP="008211FD">
            <w:pPr>
              <w:spacing w:after="0" w:line="240" w:lineRule="auto"/>
              <w:rPr>
                <w:rFonts w:ascii="Times New Roman" w:hAnsi="Times New Roman"/>
                <w:color w:val="000000"/>
                <w:sz w:val="18"/>
                <w:szCs w:val="18"/>
              </w:rPr>
            </w:pPr>
            <w:r w:rsidRPr="008211FD">
              <w:rPr>
                <w:rFonts w:ascii="Times New Roman" w:hAnsi="Times New Roman"/>
                <w:sz w:val="18"/>
                <w:szCs w:val="18"/>
              </w:rPr>
              <w:t>3. Promover reforma do Sistema Tributário Nacional, com vistas a: conceber uma estrutura tributária fundada na progressividade, justa partilha federativa, tributos sobre o patrimônio, a riqueza e o consumo; combate à sonegação e à evasão; desonerar folha de salários; regulamentar o imposto sobre grandes fortunas; redução progressiva da carga tributária.</w:t>
            </w:r>
          </w:p>
        </w:tc>
        <w:tc>
          <w:tcPr>
            <w:tcW w:w="6378" w:type="dxa"/>
          </w:tcPr>
          <w:p w:rsidR="0009772B" w:rsidRPr="008211FD" w:rsidRDefault="0009772B" w:rsidP="008211FD">
            <w:pPr>
              <w:spacing w:after="0" w:line="240" w:lineRule="auto"/>
              <w:rPr>
                <w:rFonts w:ascii="Times New Roman" w:hAnsi="Times New Roman"/>
                <w:color w:val="000000"/>
                <w:sz w:val="18"/>
                <w:szCs w:val="18"/>
              </w:rPr>
            </w:pP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 xml:space="preserve">[IV.1]11 </w:t>
            </w:r>
            <w:r w:rsidR="00095250">
              <w:rPr>
                <w:rFonts w:ascii="Times New Roman" w:hAnsi="Times New Roman"/>
                <w:b/>
                <w:sz w:val="18"/>
                <w:szCs w:val="18"/>
              </w:rPr>
              <w:t>–</w:t>
            </w:r>
            <w:r w:rsidRPr="008211FD">
              <w:rPr>
                <w:rFonts w:ascii="Times New Roman" w:hAnsi="Times New Roman"/>
                <w:sz w:val="18"/>
                <w:szCs w:val="18"/>
              </w:rPr>
              <w:t xml:space="preserve"> Atingir uma taxa de formação bruta do capital de 25% do PIB ao ano. Expandir o crédito para 50% do PIB. O crédito para a indústria deve ser de 10% e 5% do PIB para a construção civil. Ampliar o crédito para o consumidor e expandir as medidas de inclusão bancária dos segmentos pobres passando de 4,5 milhões novas contas bancárias, para 10 milhões nos próximos cinco anos. Promover a desconcentração e interiorização do Sistema Financeiro Nacional através do estímulo à constituição de sistemas cooperativos de crédito e organizações de microfinanças e sua conexão com os fundos de financiamento governamentais, de forma a ampliar os canais de poupança, crédito e serviços financeiros voltados para a população de baixa renda e negócios da economia familiar e solidária. </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[IV.1]12 –</w:t>
            </w:r>
            <w:r w:rsidRPr="008211FD">
              <w:rPr>
                <w:rFonts w:ascii="Times New Roman" w:hAnsi="Times New Roman"/>
                <w:sz w:val="18"/>
                <w:szCs w:val="18"/>
              </w:rPr>
              <w:t xml:space="preserve"> O BNDES aplicará nos próximos dez anos R$ 650 bilhões para financiar projetos industriais e de infra-estrutura.</w:t>
            </w:r>
          </w:p>
          <w:p w:rsidR="0009772B" w:rsidRPr="008211FD" w:rsidRDefault="0009772B" w:rsidP="008211FD">
            <w:pPr>
              <w:spacing w:after="0" w:line="240" w:lineRule="auto"/>
              <w:rPr>
                <w:rFonts w:ascii="Times New Roman" w:hAnsi="Times New Roman"/>
                <w:color w:val="000000"/>
                <w:sz w:val="18"/>
                <w:szCs w:val="18"/>
              </w:rPr>
            </w:pPr>
            <w:r w:rsidRPr="008211FD">
              <w:rPr>
                <w:rFonts w:ascii="Times New Roman" w:hAnsi="Times New Roman"/>
                <w:b/>
                <w:sz w:val="18"/>
                <w:szCs w:val="18"/>
              </w:rPr>
              <w:t>[IV.1]13 –</w:t>
            </w:r>
            <w:r w:rsidRPr="008211FD">
              <w:rPr>
                <w:rFonts w:ascii="Times New Roman" w:hAnsi="Times New Roman"/>
                <w:sz w:val="18"/>
                <w:szCs w:val="18"/>
              </w:rPr>
              <w:t xml:space="preserve"> O conglomerado do Banco do Brasil financiará a formação bruta de capital fixo.</w:t>
            </w:r>
          </w:p>
          <w:p w:rsidR="00843AA5" w:rsidRPr="00843AA5" w:rsidRDefault="0009772B" w:rsidP="00843AA5">
            <w:pPr>
              <w:autoSpaceDE w:val="0"/>
              <w:autoSpaceDN w:val="0"/>
              <w:adjustRightInd w:val="0"/>
              <w:spacing w:after="0" w:line="240" w:lineRule="auto"/>
              <w:jc w:val="both"/>
              <w:rPr>
                <w:rFonts w:ascii="Times New Roman" w:hAnsi="Times New Roman"/>
                <w:sz w:val="18"/>
                <w:szCs w:val="18"/>
              </w:rPr>
            </w:pPr>
            <w:r w:rsidRPr="008211FD">
              <w:rPr>
                <w:rFonts w:ascii="Times New Roman" w:hAnsi="Times New Roman"/>
                <w:b/>
                <w:sz w:val="18"/>
                <w:szCs w:val="18"/>
              </w:rPr>
              <w:t>[IV.1]8 –</w:t>
            </w:r>
            <w:r w:rsidRPr="008211FD">
              <w:rPr>
                <w:rFonts w:ascii="Times New Roman" w:hAnsi="Times New Roman"/>
                <w:sz w:val="18"/>
                <w:szCs w:val="18"/>
              </w:rPr>
              <w:t xml:space="preserve"> O </w:t>
            </w:r>
            <w:r w:rsidRPr="008211FD">
              <w:rPr>
                <w:rFonts w:ascii="Times New Roman" w:hAnsi="Times New Roman"/>
                <w:i/>
                <w:sz w:val="18"/>
                <w:szCs w:val="18"/>
              </w:rPr>
              <w:t>spread</w:t>
            </w:r>
            <w:r w:rsidRPr="008211FD">
              <w:rPr>
                <w:rFonts w:ascii="Times New Roman" w:hAnsi="Times New Roman"/>
                <w:sz w:val="18"/>
                <w:szCs w:val="18"/>
              </w:rPr>
              <w:t xml:space="preserve"> deve expressar o risco Brasil de forma realista.</w:t>
            </w:r>
            <w:r w:rsidR="00843AA5" w:rsidRPr="00843AA5">
              <w:rPr>
                <w:rFonts w:ascii="Times New Roman" w:hAnsi="Times New Roman"/>
                <w:sz w:val="18"/>
                <w:szCs w:val="18"/>
                <w:lang w:eastAsia="pt-BR"/>
              </w:rPr>
              <w:t xml:space="preserve">O Banco Central deve flexibilizar seletiva e progressivamente os depósitoscompulsórios e as operações de redesconto associando essas medidas a metas de redução do </w:t>
            </w:r>
            <w:r w:rsidR="00843AA5" w:rsidRPr="00843AA5">
              <w:rPr>
                <w:rFonts w:ascii="Times New Roman" w:hAnsi="Times New Roman"/>
                <w:i/>
                <w:iCs/>
                <w:sz w:val="18"/>
                <w:szCs w:val="18"/>
                <w:lang w:eastAsia="pt-BR"/>
              </w:rPr>
              <w:t>spread</w:t>
            </w:r>
            <w:r w:rsidR="00843AA5" w:rsidRPr="00843AA5">
              <w:rPr>
                <w:rFonts w:ascii="Times New Roman" w:hAnsi="Times New Roman"/>
                <w:sz w:val="18"/>
                <w:szCs w:val="18"/>
                <w:lang w:eastAsia="pt-BR"/>
              </w:rPr>
              <w:t>.</w:t>
            </w:r>
            <w:r w:rsidR="00843AA5" w:rsidRPr="00843AA5">
              <w:rPr>
                <w:rFonts w:ascii="Times New Roman" w:hAnsi="Times New Roman"/>
                <w:sz w:val="18"/>
                <w:szCs w:val="18"/>
              </w:rPr>
              <w:tab/>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 xml:space="preserve"> [IV.2]</w:t>
            </w:r>
            <w:r w:rsidRPr="008211FD">
              <w:rPr>
                <w:rFonts w:ascii="Times New Roman" w:hAnsi="Times New Roman"/>
                <w:b/>
                <w:bCs/>
                <w:sz w:val="18"/>
                <w:szCs w:val="18"/>
              </w:rPr>
              <w:t>24.4</w:t>
            </w:r>
            <w:r w:rsidRPr="008211FD">
              <w:rPr>
                <w:rFonts w:ascii="Times New Roman" w:hAnsi="Times New Roman"/>
                <w:bCs/>
                <w:sz w:val="18"/>
                <w:szCs w:val="18"/>
              </w:rPr>
              <w:t>-</w:t>
            </w:r>
            <w:r w:rsidRPr="008211FD">
              <w:rPr>
                <w:rFonts w:ascii="Times New Roman" w:hAnsi="Times New Roman"/>
                <w:sz w:val="18"/>
                <w:szCs w:val="18"/>
              </w:rPr>
              <w:t xml:space="preserve"> Ampliar a composição do CMN para no máximo nove integrantes, passando a incluir membros da sociedade, assegurada maioria aos representantes do Governo. Instalar imediatamente as Comissões Consultivas do Órgão.</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[IV.3]9 –</w:t>
            </w:r>
            <w:r w:rsidRPr="008211FD">
              <w:rPr>
                <w:rFonts w:ascii="Times New Roman" w:hAnsi="Times New Roman"/>
                <w:sz w:val="18"/>
                <w:szCs w:val="18"/>
              </w:rPr>
              <w:t xml:space="preserve"> Diminuição da carga fiscal para um patamar em torno de 33% no prazo máximo de cinco anos, resultado de uma reforma tributária que incremente a tributação direta. Isentar de ICMS alimentos e remédios e implementar o princípio de destino.</w:t>
            </w:r>
          </w:p>
          <w:p w:rsidR="0009772B" w:rsidRPr="008211FD" w:rsidRDefault="0009772B" w:rsidP="008211FD">
            <w:pPr>
              <w:spacing w:after="0" w:line="240" w:lineRule="auto"/>
              <w:rPr>
                <w:rFonts w:ascii="Times New Roman" w:hAnsi="Times New Roman"/>
                <w:color w:val="000000"/>
                <w:sz w:val="18"/>
                <w:szCs w:val="18"/>
              </w:rPr>
            </w:pPr>
          </w:p>
        </w:tc>
      </w:tr>
      <w:tr w:rsidR="0009772B" w:rsidRPr="008211FD" w:rsidTr="004640A8">
        <w:tc>
          <w:tcPr>
            <w:tcW w:w="2694" w:type="dxa"/>
          </w:tcPr>
          <w:p w:rsidR="0009772B" w:rsidRPr="008211FD" w:rsidRDefault="0009772B" w:rsidP="008211FD">
            <w:pPr>
              <w:spacing w:before="240" w:after="0" w:line="240" w:lineRule="auto"/>
              <w:rPr>
                <w:rFonts w:ascii="Times New Roman" w:hAnsi="Times New Roman"/>
                <w:b/>
                <w:i/>
                <w:sz w:val="18"/>
                <w:szCs w:val="18"/>
              </w:rPr>
            </w:pPr>
            <w:r w:rsidRPr="008211FD">
              <w:rPr>
                <w:rFonts w:ascii="Times New Roman" w:hAnsi="Times New Roman"/>
                <w:b/>
                <w:i/>
                <w:sz w:val="18"/>
                <w:szCs w:val="18"/>
              </w:rPr>
              <w:t>Para o objetivo V</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1. Mobilizar o país em prol de uma cultura de paz, de denúncia sistemática dos preconceitos e para a difusão dos valores básicos referentes à vida, à liberdade, à solidariedade, ao respeito pelos outros.</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2. Muito próximo do item  I.4.</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3. Acelerar a implantação do Sistema Único de Segurança Pública (SUSP).</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4. Implantar, de forma acelerada, a Reforma do Sistema Judiciário.</w:t>
            </w:r>
          </w:p>
          <w:p w:rsidR="0009772B" w:rsidRPr="008211FD" w:rsidRDefault="0009772B" w:rsidP="008211FD">
            <w:pPr>
              <w:spacing w:after="0" w:line="240" w:lineRule="auto"/>
              <w:ind w:right="-5"/>
              <w:rPr>
                <w:rFonts w:ascii="Times New Roman" w:hAnsi="Times New Roman"/>
                <w:b/>
                <w:sz w:val="24"/>
                <w:szCs w:val="24"/>
              </w:rPr>
            </w:pPr>
            <w:r w:rsidRPr="008211FD">
              <w:rPr>
                <w:rFonts w:ascii="Times New Roman" w:hAnsi="Times New Roman"/>
                <w:sz w:val="18"/>
                <w:szCs w:val="18"/>
              </w:rPr>
              <w:t>5. Dotar as agências reguladoras e órgãos de fiscalização de pessoal especializado, assegurando condições materiais suficientes e implantando corregedorias ages e eficazes.</w:t>
            </w:r>
          </w:p>
        </w:tc>
        <w:tc>
          <w:tcPr>
            <w:tcW w:w="6378" w:type="dxa"/>
          </w:tcPr>
          <w:p w:rsidR="0009772B" w:rsidRPr="008211FD" w:rsidRDefault="0009772B" w:rsidP="008211FD">
            <w:pPr>
              <w:spacing w:after="0" w:line="240" w:lineRule="auto"/>
              <w:rPr>
                <w:rFonts w:ascii="Times New Roman" w:hAnsi="Times New Roman"/>
                <w:sz w:val="18"/>
                <w:szCs w:val="18"/>
              </w:rPr>
            </w:pP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[V.3</w:t>
            </w:r>
            <w:r w:rsidRPr="008211FD">
              <w:rPr>
                <w:rFonts w:ascii="Times New Roman" w:hAnsi="Times New Roman"/>
                <w:sz w:val="18"/>
                <w:szCs w:val="18"/>
              </w:rPr>
              <w:t>]</w:t>
            </w:r>
            <w:r w:rsidRPr="008211FD">
              <w:rPr>
                <w:rFonts w:ascii="Times New Roman" w:hAnsi="Times New Roman"/>
                <w:b/>
                <w:bCs/>
                <w:sz w:val="18"/>
                <w:szCs w:val="18"/>
              </w:rPr>
              <w:t xml:space="preserve">23.1 </w:t>
            </w:r>
            <w:r w:rsidR="00095250">
              <w:rPr>
                <w:rFonts w:ascii="Times New Roman" w:hAnsi="Times New Roman"/>
                <w:b/>
                <w:bCs/>
                <w:sz w:val="18"/>
                <w:szCs w:val="18"/>
              </w:rPr>
              <w:t>–</w:t>
            </w:r>
            <w:r w:rsidRPr="008211FD">
              <w:rPr>
                <w:rFonts w:ascii="Times New Roman" w:hAnsi="Times New Roman"/>
                <w:sz w:val="18"/>
                <w:szCs w:val="18"/>
              </w:rPr>
              <w:t xml:space="preserve">Segurança Pública </w:t>
            </w:r>
            <w:r w:rsidR="00095250">
              <w:rPr>
                <w:rFonts w:ascii="Times New Roman" w:hAnsi="Times New Roman"/>
                <w:sz w:val="18"/>
                <w:szCs w:val="18"/>
              </w:rPr>
              <w:t>–</w:t>
            </w:r>
            <w:r w:rsidRPr="008211FD">
              <w:rPr>
                <w:rFonts w:ascii="Times New Roman" w:hAnsi="Times New Roman"/>
                <w:sz w:val="18"/>
                <w:szCs w:val="18"/>
              </w:rPr>
              <w:t xml:space="preserve"> ampliar as ações da PF em todo o País. Difundir a gestão de resultados como principio administrativo das organizações de segurança pública. </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[V.4]</w:t>
            </w:r>
            <w:r w:rsidRPr="008211FD">
              <w:rPr>
                <w:rFonts w:ascii="Times New Roman" w:hAnsi="Times New Roman"/>
                <w:b/>
                <w:bCs/>
                <w:sz w:val="18"/>
                <w:szCs w:val="18"/>
              </w:rPr>
              <w:t xml:space="preserve">23.2- </w:t>
            </w:r>
            <w:r w:rsidRPr="008211FD">
              <w:rPr>
                <w:rFonts w:ascii="Times New Roman" w:hAnsi="Times New Roman"/>
                <w:sz w:val="18"/>
                <w:szCs w:val="18"/>
              </w:rPr>
              <w:t>Sistema Prisional – regulamentar o controle externo pelo Ministério Público. Reduzir o déficit de vagas (150.000), por meio da construção de 52 estabelecimentos penais para a geração de 41.600 vagas.</w:t>
            </w:r>
          </w:p>
          <w:p w:rsidR="0009772B" w:rsidRPr="008211FD" w:rsidRDefault="0009772B" w:rsidP="008211FD">
            <w:pPr>
              <w:autoSpaceDE w:val="0"/>
              <w:autoSpaceDN w:val="0"/>
              <w:adjustRightInd w:val="0"/>
              <w:spacing w:after="0" w:line="240" w:lineRule="auto"/>
              <w:rPr>
                <w:rFonts w:ascii="Times New Roman" w:hAnsi="Times New Roman"/>
                <w:b/>
                <w:bCs/>
                <w:sz w:val="18"/>
                <w:szCs w:val="18"/>
              </w:rPr>
            </w:pPr>
            <w:r w:rsidRPr="008211FD">
              <w:rPr>
                <w:rFonts w:ascii="Times New Roman" w:hAnsi="Times New Roman"/>
                <w:b/>
                <w:bCs/>
                <w:sz w:val="18"/>
                <w:szCs w:val="18"/>
              </w:rPr>
              <w:t>23.3- Sistema Judiciário e Concertação Nacional</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[V.5]</w:t>
            </w:r>
            <w:r w:rsidRPr="008211FD">
              <w:rPr>
                <w:rFonts w:ascii="Times New Roman" w:hAnsi="Times New Roman"/>
                <w:b/>
                <w:bCs/>
                <w:sz w:val="18"/>
                <w:szCs w:val="18"/>
              </w:rPr>
              <w:t xml:space="preserve">23.3.1- </w:t>
            </w:r>
            <w:r w:rsidRPr="008211FD">
              <w:rPr>
                <w:rFonts w:ascii="Times New Roman" w:hAnsi="Times New Roman"/>
                <w:sz w:val="18"/>
                <w:szCs w:val="18"/>
              </w:rPr>
              <w:t>Modernização e informatização</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sz w:val="18"/>
                <w:szCs w:val="18"/>
              </w:rPr>
              <w:t>Informatizar o sistema judicial é fundamental para a aceleração na resolução de conflitos e contribuirá para a segurança jurídica e para a consolidação de um ambiente mais favorável a investimentos e a transações financeiras e comerciais. Necessidade de R$1,4 milhões/ano a partir de 2007.</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[V.2/4]</w:t>
            </w:r>
            <w:r w:rsidRPr="008211FD">
              <w:rPr>
                <w:rFonts w:ascii="Times New Roman" w:hAnsi="Times New Roman"/>
                <w:b/>
                <w:bCs/>
                <w:sz w:val="18"/>
                <w:szCs w:val="18"/>
              </w:rPr>
              <w:t xml:space="preserve">23.3.2 </w:t>
            </w:r>
            <w:r w:rsidR="00095250">
              <w:rPr>
                <w:rFonts w:ascii="Times New Roman" w:hAnsi="Times New Roman"/>
                <w:b/>
                <w:bCs/>
                <w:sz w:val="18"/>
                <w:szCs w:val="18"/>
              </w:rPr>
              <w:t>–</w:t>
            </w:r>
            <w:r w:rsidRPr="008211FD">
              <w:rPr>
                <w:rFonts w:ascii="Times New Roman" w:hAnsi="Times New Roman"/>
                <w:sz w:val="18"/>
                <w:szCs w:val="18"/>
              </w:rPr>
              <w:t>Acesso à Justiça</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sz w:val="18"/>
                <w:szCs w:val="18"/>
              </w:rPr>
              <w:t>Incentivar programas de mediação, justiça comunitária, justiça restaurativa e demais formas de solução extrajudicial de litígios. Levar pontos de acesso virtual do Judiciário até comunidades carentes.</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[V.4]</w:t>
            </w:r>
            <w:r w:rsidRPr="008211FD">
              <w:rPr>
                <w:rFonts w:ascii="Times New Roman" w:hAnsi="Times New Roman"/>
                <w:b/>
                <w:bCs/>
                <w:sz w:val="18"/>
                <w:szCs w:val="18"/>
              </w:rPr>
              <w:t xml:space="preserve">23.3.3 </w:t>
            </w:r>
            <w:r w:rsidR="00095250">
              <w:rPr>
                <w:rFonts w:ascii="Times New Roman" w:hAnsi="Times New Roman"/>
                <w:b/>
                <w:bCs/>
                <w:sz w:val="18"/>
                <w:szCs w:val="18"/>
              </w:rPr>
              <w:t>–</w:t>
            </w:r>
            <w:r w:rsidRPr="008211FD">
              <w:rPr>
                <w:rFonts w:ascii="Times New Roman" w:hAnsi="Times New Roman"/>
                <w:sz w:val="18"/>
                <w:szCs w:val="18"/>
              </w:rPr>
              <w:t>Reforma Legislativa</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sz w:val="18"/>
                <w:szCs w:val="18"/>
              </w:rPr>
              <w:t>Dar urgência na aprovação do projeto de reforma do Código de Processo Civil, Penal e Trabalhista.</w:t>
            </w:r>
          </w:p>
          <w:p w:rsidR="0009772B" w:rsidRPr="008211FD" w:rsidRDefault="0009772B" w:rsidP="008211FD">
            <w:pPr>
              <w:spacing w:after="0" w:line="240" w:lineRule="auto"/>
              <w:rPr>
                <w:rFonts w:ascii="Times New Roman" w:hAnsi="Times New Roman"/>
                <w:sz w:val="18"/>
                <w:szCs w:val="18"/>
              </w:rPr>
            </w:pPr>
          </w:p>
        </w:tc>
      </w:tr>
      <w:tr w:rsidR="0009772B" w:rsidRPr="008211FD" w:rsidTr="004640A8">
        <w:tc>
          <w:tcPr>
            <w:tcW w:w="2694" w:type="dxa"/>
          </w:tcPr>
          <w:p w:rsidR="0009772B" w:rsidRPr="008211FD" w:rsidRDefault="0009772B" w:rsidP="008211FD">
            <w:pPr>
              <w:spacing w:after="0" w:line="240" w:lineRule="auto"/>
              <w:rPr>
                <w:rFonts w:ascii="Times New Roman" w:hAnsi="Times New Roman"/>
                <w:sz w:val="18"/>
                <w:szCs w:val="18"/>
              </w:rPr>
            </w:pPr>
          </w:p>
          <w:p w:rsidR="0009772B" w:rsidRPr="008211FD" w:rsidRDefault="0009772B" w:rsidP="008211FD">
            <w:pPr>
              <w:spacing w:after="0" w:line="240" w:lineRule="auto"/>
              <w:rPr>
                <w:rFonts w:ascii="Times New Roman" w:hAnsi="Times New Roman"/>
                <w:b/>
                <w:i/>
                <w:sz w:val="18"/>
                <w:szCs w:val="18"/>
              </w:rPr>
            </w:pPr>
            <w:r w:rsidRPr="008211FD">
              <w:rPr>
                <w:rFonts w:ascii="Times New Roman" w:hAnsi="Times New Roman"/>
                <w:b/>
                <w:i/>
                <w:sz w:val="18"/>
                <w:szCs w:val="18"/>
              </w:rPr>
              <w:t>Para o objetivo VI</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1. Formular e implantar um projeto de Estado/Administração Pública coerente com os principais objetivos da AND; consolidar mecanismos que ampliem a participação da sociedade no processo decisório; estimular a gestão orientada para resultados, com avaliação sistemática e sob controle participativo da sociedade.</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 xml:space="preserve">2. Aprimorar o sistema de planejamento e gestão do Governo Federal. </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3. Implementar os sistemas nacionais de prestação de serviços públicos e de proteção social e ambiental.</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4. Implantar sistema de avaliação dos impactos regionais dos gastos públicos. Cooperação técnica entre entes federativos.</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5. Estabelecer a repactuação federativa, buscando arranjo solidário, equitativo, responsável e integrador que contemple o atendimento às demandas sociais e na promoção do desenvolvimento.</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6. Dotar o aparato público capacidade de fiscalizar o manejo e preservação dos recursos naturais.</w:t>
            </w:r>
          </w:p>
          <w:p w:rsidR="0009772B" w:rsidRPr="008211FD" w:rsidRDefault="0009772B" w:rsidP="008211FD">
            <w:pPr>
              <w:spacing w:after="0" w:line="240" w:lineRule="auto"/>
              <w:rPr>
                <w:rFonts w:ascii="Times New Roman" w:hAnsi="Times New Roman"/>
                <w:sz w:val="18"/>
                <w:szCs w:val="18"/>
              </w:rPr>
            </w:pPr>
            <w:r w:rsidRPr="008211FD">
              <w:rPr>
                <w:rFonts w:ascii="Times New Roman" w:hAnsi="Times New Roman"/>
                <w:sz w:val="18"/>
                <w:szCs w:val="18"/>
              </w:rPr>
              <w:t>7. Os Poderes concederão prioridade à elaboração e aprovação da Reforma Política.</w:t>
            </w:r>
          </w:p>
          <w:p w:rsidR="0009772B" w:rsidRPr="008211FD" w:rsidRDefault="0009772B" w:rsidP="008211FD">
            <w:pPr>
              <w:spacing w:after="0" w:line="240" w:lineRule="auto"/>
              <w:rPr>
                <w:rFonts w:ascii="Times New Roman" w:hAnsi="Times New Roman"/>
                <w:color w:val="000000"/>
                <w:sz w:val="18"/>
                <w:szCs w:val="18"/>
              </w:rPr>
            </w:pPr>
            <w:r w:rsidRPr="008211FD">
              <w:rPr>
                <w:rFonts w:ascii="Times New Roman" w:hAnsi="Times New Roman"/>
                <w:sz w:val="18"/>
                <w:szCs w:val="18"/>
              </w:rPr>
              <w:t>8. Valorizar e difundir a cultura brasileira, no país e no exterior.</w:t>
            </w:r>
          </w:p>
        </w:tc>
        <w:tc>
          <w:tcPr>
            <w:tcW w:w="6378" w:type="dxa"/>
          </w:tcPr>
          <w:p w:rsidR="0009772B" w:rsidRPr="008211FD" w:rsidRDefault="0009772B" w:rsidP="008211FD">
            <w:pPr>
              <w:spacing w:after="0" w:line="240" w:lineRule="auto"/>
              <w:rPr>
                <w:rFonts w:ascii="Times New Roman" w:hAnsi="Times New Roman"/>
                <w:color w:val="000000"/>
                <w:sz w:val="18"/>
                <w:szCs w:val="18"/>
              </w:rPr>
            </w:pPr>
          </w:p>
          <w:p w:rsidR="0009772B" w:rsidRPr="008211FD" w:rsidRDefault="0009772B" w:rsidP="008211FD">
            <w:pPr>
              <w:autoSpaceDE w:val="0"/>
              <w:autoSpaceDN w:val="0"/>
              <w:adjustRightInd w:val="0"/>
              <w:spacing w:after="0" w:line="240" w:lineRule="auto"/>
              <w:rPr>
                <w:rFonts w:ascii="Times New Roman" w:hAnsi="Times New Roman"/>
                <w:b/>
                <w:bCs/>
                <w:sz w:val="18"/>
                <w:szCs w:val="18"/>
              </w:rPr>
            </w:pPr>
            <w:r w:rsidRPr="008211FD">
              <w:rPr>
                <w:rFonts w:ascii="Times New Roman" w:hAnsi="Times New Roman"/>
                <w:b/>
                <w:bCs/>
                <w:sz w:val="18"/>
                <w:szCs w:val="18"/>
              </w:rPr>
              <w:t>24- Governança Estratégica</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[VI.1]</w:t>
            </w:r>
            <w:r w:rsidRPr="008211FD">
              <w:rPr>
                <w:rFonts w:ascii="Times New Roman" w:hAnsi="Times New Roman"/>
                <w:b/>
                <w:bCs/>
                <w:sz w:val="18"/>
                <w:szCs w:val="18"/>
              </w:rPr>
              <w:t xml:space="preserve">24.1- </w:t>
            </w:r>
            <w:r w:rsidRPr="008211FD">
              <w:rPr>
                <w:rFonts w:ascii="Times New Roman" w:hAnsi="Times New Roman"/>
                <w:sz w:val="18"/>
                <w:szCs w:val="18"/>
              </w:rPr>
              <w:t>Consolidar um sistema de governança estratégica no qual os três poderes da República, as diferentes esferas de governo e a sociedade interajam em torno das prioridades nacionais, estabelecidas coletivamente. Fortalecer a participação e o controle social sobre os 3 Poderes.</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[VI.1/4]</w:t>
            </w:r>
            <w:r w:rsidRPr="008211FD">
              <w:rPr>
                <w:rFonts w:ascii="Times New Roman" w:hAnsi="Times New Roman"/>
                <w:b/>
                <w:bCs/>
                <w:sz w:val="18"/>
                <w:szCs w:val="18"/>
              </w:rPr>
              <w:t xml:space="preserve">24.2- </w:t>
            </w:r>
            <w:r w:rsidRPr="008211FD">
              <w:rPr>
                <w:rFonts w:ascii="Times New Roman" w:hAnsi="Times New Roman"/>
                <w:sz w:val="18"/>
                <w:szCs w:val="18"/>
              </w:rPr>
              <w:t>Fortalecer a capacidade do Estado de planejamento estratégico de longo prazo e de regulação, visando, paralelamente, a diminuição das graves assimetrias regionais e sociais no país. Nesse sentido, a concertação de atores públicos e privados, somados à articulação entre os 3 Poderes, torna-se uma estratégia de reestruturação do aparato de Estado.</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[VI.1/2]</w:t>
            </w:r>
            <w:r w:rsidRPr="008211FD">
              <w:rPr>
                <w:rFonts w:ascii="Times New Roman" w:hAnsi="Times New Roman"/>
                <w:b/>
                <w:bCs/>
                <w:sz w:val="18"/>
                <w:szCs w:val="18"/>
              </w:rPr>
              <w:t xml:space="preserve">24.3- </w:t>
            </w:r>
            <w:r w:rsidRPr="008211FD">
              <w:rPr>
                <w:rFonts w:ascii="Times New Roman" w:hAnsi="Times New Roman"/>
                <w:sz w:val="18"/>
                <w:szCs w:val="18"/>
              </w:rPr>
              <w:t>Promover a gestão pública de qualidade, orientada por resultados, com avaliação permanente. A participação e controle sociais devem estar presentes no processo de planejamento e do orçamento. A informação e transparência são elementos centrais. Utilização massiva de tecnologia articulada com o aperfeiçoamento gerencial e o desenvolvimento institucional do Estado, com conseq</w:t>
            </w:r>
            <w:r w:rsidR="005913F9">
              <w:rPr>
                <w:rFonts w:ascii="Times New Roman" w:hAnsi="Times New Roman"/>
                <w:sz w:val="18"/>
                <w:szCs w:val="18"/>
              </w:rPr>
              <w:t>u</w:t>
            </w:r>
            <w:r w:rsidRPr="008211FD">
              <w:rPr>
                <w:rFonts w:ascii="Times New Roman" w:hAnsi="Times New Roman"/>
                <w:sz w:val="18"/>
                <w:szCs w:val="18"/>
              </w:rPr>
              <w:t>ente integração de suas estruturas.</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[VI.4/5]</w:t>
            </w:r>
            <w:r w:rsidRPr="008211FD">
              <w:rPr>
                <w:rFonts w:ascii="Times New Roman" w:hAnsi="Times New Roman"/>
                <w:b/>
                <w:bCs/>
                <w:sz w:val="18"/>
                <w:szCs w:val="18"/>
              </w:rPr>
              <w:t xml:space="preserve">24.5 – </w:t>
            </w:r>
            <w:r w:rsidRPr="008211FD">
              <w:rPr>
                <w:rFonts w:ascii="Times New Roman" w:hAnsi="Times New Roman"/>
                <w:bCs/>
                <w:sz w:val="18"/>
                <w:szCs w:val="18"/>
              </w:rPr>
              <w:t>Os entes federativos</w:t>
            </w:r>
            <w:r w:rsidRPr="008211FD">
              <w:rPr>
                <w:rFonts w:ascii="Times New Roman" w:hAnsi="Times New Roman"/>
                <w:sz w:val="18"/>
                <w:szCs w:val="18"/>
              </w:rPr>
              <w:t xml:space="preserve"> aperfeiçoarão os instrumentos normativos e regulatórios que garantam a segurança jurídica dos contratos, sobretudo na área de infra-estrutura, como é o caso das Concessões Públicas e das PPP’s, assegurando ambiente adequado para os investimentos privados.</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[VI.3]</w:t>
            </w:r>
            <w:r w:rsidRPr="008211FD">
              <w:rPr>
                <w:rFonts w:ascii="Times New Roman" w:hAnsi="Times New Roman"/>
                <w:b/>
                <w:bCs/>
                <w:sz w:val="18"/>
                <w:szCs w:val="18"/>
              </w:rPr>
              <w:t xml:space="preserve">24.6- </w:t>
            </w:r>
            <w:r w:rsidRPr="008211FD">
              <w:rPr>
                <w:rFonts w:ascii="Times New Roman" w:hAnsi="Times New Roman"/>
                <w:sz w:val="18"/>
                <w:szCs w:val="18"/>
              </w:rPr>
              <w:t>Avançar na defesa e garantia dos direitos humanos, com a priorização absoluta de ações voltadas à educação em direitos humanos e à promoção dos direitos da criança e do adolescente, dos idosos, das pessoas com deficiência, e pelo respeito à igualdade de gênero e raça, à orientação sexual e à religião; e ações voltadas à proteção a vítimas, testemunhas e defensores dos direitos humanos.</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[VI.6]</w:t>
            </w:r>
            <w:r w:rsidRPr="008211FD">
              <w:rPr>
                <w:rFonts w:ascii="Times New Roman" w:hAnsi="Times New Roman"/>
                <w:b/>
                <w:bCs/>
                <w:sz w:val="18"/>
                <w:szCs w:val="18"/>
              </w:rPr>
              <w:t xml:space="preserve">24.7- </w:t>
            </w:r>
            <w:r w:rsidRPr="008211FD">
              <w:rPr>
                <w:rFonts w:ascii="Times New Roman" w:hAnsi="Times New Roman"/>
                <w:sz w:val="18"/>
                <w:szCs w:val="18"/>
              </w:rPr>
              <w:t xml:space="preserve">Garantir que a sustentabilidade ambiental seja um componente fundamental do desenvolvimento, aperfeiçoando as políticas ambientais e investindo na pesquisa e utilização dos recursos da nossa biodiversidade. </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[VI.5]</w:t>
            </w:r>
            <w:r w:rsidRPr="008211FD">
              <w:rPr>
                <w:rFonts w:ascii="Times New Roman" w:hAnsi="Times New Roman"/>
                <w:b/>
                <w:bCs/>
                <w:sz w:val="18"/>
                <w:szCs w:val="18"/>
              </w:rPr>
              <w:t xml:space="preserve">24.8- </w:t>
            </w:r>
            <w:r w:rsidRPr="008211FD">
              <w:rPr>
                <w:rFonts w:ascii="Times New Roman" w:hAnsi="Times New Roman"/>
                <w:sz w:val="18"/>
                <w:szCs w:val="18"/>
              </w:rPr>
              <w:t>Fortalecer a federação brasileira com o objetivo de promover uma repactuação do país para construção de um novo ciclo histórico de desenvolvimento socialmente mais justo.</w:t>
            </w:r>
          </w:p>
          <w:p w:rsidR="0009772B" w:rsidRPr="008211FD" w:rsidRDefault="0009772B" w:rsidP="008211FD">
            <w:pPr>
              <w:autoSpaceDE w:val="0"/>
              <w:autoSpaceDN w:val="0"/>
              <w:adjustRightInd w:val="0"/>
              <w:spacing w:after="0" w:line="240" w:lineRule="auto"/>
              <w:rPr>
                <w:rFonts w:ascii="Times New Roman" w:hAnsi="Times New Roman"/>
                <w:sz w:val="18"/>
                <w:szCs w:val="18"/>
              </w:rPr>
            </w:pPr>
            <w:r w:rsidRPr="008211FD">
              <w:rPr>
                <w:rFonts w:ascii="Times New Roman" w:hAnsi="Times New Roman"/>
                <w:b/>
                <w:sz w:val="18"/>
                <w:szCs w:val="18"/>
              </w:rPr>
              <w:t xml:space="preserve">[VI.7] </w:t>
            </w:r>
            <w:r w:rsidR="00817EB5" w:rsidRPr="00817EB5">
              <w:rPr>
                <w:rFonts w:ascii="Times New Roman" w:hAnsi="Times New Roman"/>
                <w:b/>
                <w:sz w:val="18"/>
                <w:szCs w:val="18"/>
              </w:rPr>
              <w:t xml:space="preserve">Enunciado Político. </w:t>
            </w:r>
            <w:r w:rsidRPr="008211FD">
              <w:rPr>
                <w:rFonts w:ascii="Times New Roman" w:hAnsi="Times New Roman"/>
                <w:sz w:val="18"/>
                <w:szCs w:val="18"/>
              </w:rPr>
              <w:t>A reforma política também buscará o aperfeiçoamento das formas de representação popular. Priorizar a reorganização do sistema partidário e a qualificação dos processos eleitorais com base em: fidelidade partidária, financiamento público de campanha e votação em lista, promovendo a valorização dos partidos políticos e o aprimoramento de sua vida interna.</w:t>
            </w:r>
          </w:p>
          <w:p w:rsidR="0009772B" w:rsidRPr="008211FD" w:rsidRDefault="0009772B" w:rsidP="008211FD">
            <w:pPr>
              <w:autoSpaceDE w:val="0"/>
              <w:autoSpaceDN w:val="0"/>
              <w:adjustRightInd w:val="0"/>
              <w:spacing w:after="0" w:line="240" w:lineRule="auto"/>
              <w:rPr>
                <w:rFonts w:ascii="Times New Roman" w:hAnsi="Times New Roman"/>
                <w:color w:val="000000"/>
                <w:sz w:val="18"/>
                <w:szCs w:val="18"/>
              </w:rPr>
            </w:pPr>
          </w:p>
        </w:tc>
      </w:tr>
    </w:tbl>
    <w:p w:rsidR="0009772B" w:rsidRPr="007F47DE" w:rsidRDefault="0009772B" w:rsidP="0009772B">
      <w:pPr>
        <w:autoSpaceDE w:val="0"/>
        <w:autoSpaceDN w:val="0"/>
        <w:adjustRightInd w:val="0"/>
        <w:jc w:val="both"/>
        <w:rPr>
          <w:rFonts w:ascii="Times New Roman" w:hAnsi="Times New Roman"/>
          <w:sz w:val="18"/>
          <w:szCs w:val="18"/>
        </w:rPr>
      </w:pPr>
      <w:r w:rsidRPr="00CD3357">
        <w:rPr>
          <w:rFonts w:ascii="Times New Roman" w:hAnsi="Times New Roman"/>
          <w:b/>
          <w:sz w:val="18"/>
          <w:szCs w:val="18"/>
        </w:rPr>
        <w:t>Elaboração própria.</w:t>
      </w:r>
      <w:r w:rsidR="00CD3357" w:rsidRPr="007F47DE">
        <w:rPr>
          <w:rFonts w:ascii="Times New Roman" w:hAnsi="Times New Roman"/>
          <w:b/>
          <w:sz w:val="18"/>
          <w:szCs w:val="18"/>
        </w:rPr>
        <w:t xml:space="preserve">Fonte: </w:t>
      </w:r>
      <w:r w:rsidRPr="007F47DE">
        <w:rPr>
          <w:rFonts w:ascii="Times New Roman" w:hAnsi="Times New Roman"/>
          <w:sz w:val="18"/>
          <w:szCs w:val="18"/>
        </w:rPr>
        <w:t>Adaptado de SEDES.</w:t>
      </w:r>
      <w:r w:rsidRPr="007F47DE">
        <w:rPr>
          <w:rFonts w:ascii="Times New Roman" w:hAnsi="Times New Roman"/>
          <w:i/>
          <w:sz w:val="18"/>
          <w:szCs w:val="18"/>
        </w:rPr>
        <w:t xml:space="preserve"> Enunciados estratégicos... </w:t>
      </w:r>
      <w:r w:rsidRPr="007F47DE">
        <w:rPr>
          <w:rFonts w:ascii="Times New Roman" w:hAnsi="Times New Roman"/>
          <w:sz w:val="18"/>
          <w:szCs w:val="18"/>
        </w:rPr>
        <w:t>Op. cit, p. 12-31.</w:t>
      </w:r>
    </w:p>
    <w:p w:rsidR="0009772B" w:rsidRPr="00B874C1" w:rsidRDefault="0009772B" w:rsidP="00696A38">
      <w:pPr>
        <w:autoSpaceDE w:val="0"/>
        <w:autoSpaceDN w:val="0"/>
        <w:adjustRightInd w:val="0"/>
        <w:spacing w:before="240" w:after="0" w:line="360" w:lineRule="auto"/>
        <w:jc w:val="both"/>
        <w:rPr>
          <w:rFonts w:ascii="Times New Roman" w:hAnsi="Times New Roman"/>
          <w:bCs/>
          <w:sz w:val="24"/>
          <w:szCs w:val="24"/>
        </w:rPr>
      </w:pPr>
      <w:r>
        <w:rPr>
          <w:rFonts w:ascii="Times New Roman" w:hAnsi="Times New Roman"/>
          <w:bCs/>
          <w:sz w:val="24"/>
          <w:szCs w:val="24"/>
        </w:rPr>
        <w:tab/>
        <w:t>Duas metas importantes contidas nos Enunciados não figuram no quadro acima em virtude de expressarem medidas balizadora</w:t>
      </w:r>
      <w:r w:rsidR="004B75D3">
        <w:rPr>
          <w:rFonts w:ascii="Times New Roman" w:hAnsi="Times New Roman"/>
          <w:bCs/>
          <w:sz w:val="24"/>
          <w:szCs w:val="24"/>
        </w:rPr>
        <w:t>s</w:t>
      </w:r>
      <w:r>
        <w:rPr>
          <w:rFonts w:ascii="Times New Roman" w:hAnsi="Times New Roman"/>
          <w:bCs/>
          <w:sz w:val="24"/>
          <w:szCs w:val="24"/>
        </w:rPr>
        <w:t xml:space="preserve"> da política econômica e cujas diretrizes específicas da AND as presumiam, mas não </w:t>
      </w:r>
      <w:r w:rsidR="004B75D3">
        <w:rPr>
          <w:rFonts w:ascii="Times New Roman" w:hAnsi="Times New Roman"/>
          <w:bCs/>
          <w:sz w:val="24"/>
          <w:szCs w:val="24"/>
        </w:rPr>
        <w:t>se referiam a elas</w:t>
      </w:r>
      <w:r>
        <w:rPr>
          <w:rFonts w:ascii="Times New Roman" w:hAnsi="Times New Roman"/>
          <w:bCs/>
          <w:sz w:val="24"/>
          <w:szCs w:val="24"/>
        </w:rPr>
        <w:t xml:space="preserve"> de forma direta.  Já comentamos que a natureza destas medidas não se contrapunha à política econômica adotada desde FHC, solicitando apenas seu relaxamento, ajustando-a à luz das expectativas de (médio) crescimento econômico como garantia de sustentação de políticas mínimas de transferência de renda, geração de empregos e aumentos do salário mínimo com foco na distribuição da renda para os estratos mais pobres da classe trabalhadora.</w:t>
      </w:r>
    </w:p>
    <w:p w:rsidR="0009772B" w:rsidRDefault="0009772B" w:rsidP="0009772B">
      <w:pPr>
        <w:autoSpaceDE w:val="0"/>
        <w:autoSpaceDN w:val="0"/>
        <w:adjustRightInd w:val="0"/>
        <w:spacing w:after="0" w:line="240" w:lineRule="auto"/>
        <w:rPr>
          <w:rFonts w:ascii="Times New Roman" w:hAnsi="Times New Roman"/>
          <w:bCs/>
          <w:sz w:val="20"/>
          <w:szCs w:val="20"/>
        </w:rPr>
      </w:pPr>
    </w:p>
    <w:p w:rsidR="0009772B" w:rsidRDefault="0009772B" w:rsidP="0009772B">
      <w:pPr>
        <w:autoSpaceDE w:val="0"/>
        <w:autoSpaceDN w:val="0"/>
        <w:adjustRightInd w:val="0"/>
        <w:spacing w:line="240" w:lineRule="auto"/>
        <w:ind w:left="2268"/>
        <w:jc w:val="both"/>
        <w:rPr>
          <w:rFonts w:ascii="Times New Roman" w:hAnsi="Times New Roman"/>
          <w:sz w:val="20"/>
          <w:szCs w:val="20"/>
        </w:rPr>
      </w:pPr>
      <w:r w:rsidRPr="00B874C1">
        <w:rPr>
          <w:rFonts w:ascii="Times New Roman" w:hAnsi="Times New Roman"/>
          <w:bCs/>
          <w:sz w:val="20"/>
          <w:szCs w:val="20"/>
        </w:rPr>
        <w:t>1</w:t>
      </w:r>
      <w:r w:rsidR="00095250">
        <w:rPr>
          <w:rFonts w:ascii="Times New Roman" w:hAnsi="Times New Roman"/>
          <w:bCs/>
          <w:sz w:val="20"/>
          <w:szCs w:val="20"/>
        </w:rPr>
        <w:t>–</w:t>
      </w:r>
      <w:r w:rsidRPr="00A71F2C">
        <w:rPr>
          <w:rFonts w:ascii="Times New Roman" w:hAnsi="Times New Roman"/>
          <w:sz w:val="20"/>
          <w:szCs w:val="20"/>
        </w:rPr>
        <w:t>Ter como meta uma taxa de crescimento média do PIB real em torno de 6% ao ano até2022, resultando na duplicação do PIB per capita. Os instrumentos fiscais – receitas egastos públicos – e os monetários – crédito e taxas de juros – devem ser ajustados parapermitir a combinação de baixa inflação e alto crescimento econômico, como demonstramser possíveis os momentos históricos vividos por países hoje desenvolvidos.</w:t>
      </w:r>
    </w:p>
    <w:p w:rsidR="0009772B" w:rsidRPr="00624BA4" w:rsidRDefault="0009772B" w:rsidP="0009772B">
      <w:pPr>
        <w:autoSpaceDE w:val="0"/>
        <w:autoSpaceDN w:val="0"/>
        <w:adjustRightInd w:val="0"/>
        <w:spacing w:line="240" w:lineRule="auto"/>
        <w:ind w:left="2268"/>
        <w:jc w:val="both"/>
        <w:rPr>
          <w:rFonts w:ascii="Times New Roman" w:hAnsi="Times New Roman"/>
          <w:sz w:val="20"/>
          <w:szCs w:val="20"/>
        </w:rPr>
      </w:pPr>
      <w:r w:rsidRPr="00624BA4">
        <w:rPr>
          <w:rFonts w:ascii="Times New Roman" w:hAnsi="Times New Roman"/>
          <w:sz w:val="20"/>
          <w:szCs w:val="20"/>
        </w:rPr>
        <w:t xml:space="preserve">7 – As metas de inflação definidas pelo CMN deverão ser cumpridas de maneira sistemática, o que reduzirá o componente inflacionário embutido nas taxas de juros alcançando, num prazo </w:t>
      </w:r>
      <w:r w:rsidR="004B75D3">
        <w:rPr>
          <w:rFonts w:ascii="Times New Roman" w:hAnsi="Times New Roman"/>
          <w:sz w:val="20"/>
          <w:szCs w:val="20"/>
        </w:rPr>
        <w:t>de cinco anos, juros reais de 3</w:t>
      </w:r>
      <w:r w:rsidRPr="00624BA4">
        <w:rPr>
          <w:rFonts w:ascii="Times New Roman" w:hAnsi="Times New Roman"/>
          <w:sz w:val="20"/>
          <w:szCs w:val="20"/>
        </w:rPr>
        <w:t>%. Isto liberará R$ 203,3 bilhões de recursos, os quais poderão ser canalizados para investimentos sociais, infraestrutura e seguridade social, mantido o superávit pr</w:t>
      </w:r>
      <w:r>
        <w:rPr>
          <w:rFonts w:ascii="Times New Roman" w:hAnsi="Times New Roman"/>
          <w:sz w:val="20"/>
          <w:szCs w:val="20"/>
        </w:rPr>
        <w:t>imário em torno de 4,25% ao ano.</w:t>
      </w:r>
      <w:r>
        <w:rPr>
          <w:rStyle w:val="Refdenotaderodap"/>
          <w:rFonts w:ascii="Times New Roman" w:hAnsi="Times New Roman"/>
          <w:sz w:val="20"/>
          <w:szCs w:val="20"/>
        </w:rPr>
        <w:footnoteReference w:id="506"/>
      </w:r>
    </w:p>
    <w:p w:rsidR="0009772B" w:rsidRDefault="00FA6D72" w:rsidP="00696A38">
      <w:pPr>
        <w:autoSpaceDE w:val="0"/>
        <w:autoSpaceDN w:val="0"/>
        <w:adjustRightInd w:val="0"/>
        <w:spacing w:before="240" w:after="0" w:line="360" w:lineRule="auto"/>
        <w:ind w:firstLine="708"/>
        <w:jc w:val="both"/>
        <w:rPr>
          <w:rFonts w:ascii="Times New Roman" w:hAnsi="Times New Roman"/>
          <w:sz w:val="24"/>
          <w:szCs w:val="24"/>
        </w:rPr>
      </w:pPr>
      <w:r>
        <w:rPr>
          <w:rFonts w:ascii="Times New Roman" w:hAnsi="Times New Roman"/>
          <w:sz w:val="24"/>
          <w:szCs w:val="24"/>
        </w:rPr>
        <w:t>As discussões sobre Mobilidade Urbana e da Infraestrutura Hídrica, que resultarem em enunciados, não haviam sido temáticas de debates nas atas das reuniões plenárias. Como não pudemos averiguar todo arsenal documental do CDES, provavelmente estas temáticas tenham sido tratadas em outras instâncias do Conselho (GT’s, por exemplo).</w:t>
      </w:r>
      <w:r w:rsidR="0009772B">
        <w:rPr>
          <w:rStyle w:val="Refdenotaderodap"/>
          <w:rFonts w:ascii="Times New Roman" w:hAnsi="Times New Roman"/>
          <w:sz w:val="24"/>
          <w:szCs w:val="24"/>
        </w:rPr>
        <w:footnoteReference w:id="507"/>
      </w:r>
      <w:r w:rsidR="0009772B">
        <w:rPr>
          <w:rFonts w:ascii="Times New Roman" w:hAnsi="Times New Roman"/>
          <w:sz w:val="24"/>
          <w:szCs w:val="24"/>
        </w:rPr>
        <w:t xml:space="preserve"> Além disso, se realçou a importância da Reforma Agrária e a questão da “sustentabilidade ambiental”, com </w:t>
      </w:r>
      <w:r>
        <w:rPr>
          <w:rFonts w:ascii="Times New Roman" w:hAnsi="Times New Roman"/>
          <w:sz w:val="24"/>
          <w:szCs w:val="24"/>
        </w:rPr>
        <w:t>consequente</w:t>
      </w:r>
      <w:r w:rsidR="0009772B">
        <w:rPr>
          <w:rFonts w:ascii="Times New Roman" w:hAnsi="Times New Roman"/>
          <w:sz w:val="24"/>
          <w:szCs w:val="24"/>
        </w:rPr>
        <w:t xml:space="preserve"> inclusão da Amazônia e do Semi-árido nas políticas integradas de desenvolvimento. </w:t>
      </w:r>
    </w:p>
    <w:p w:rsidR="0009772B" w:rsidRDefault="0009772B" w:rsidP="0009772B">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Por outro lado, temas relevantes foram sumariamente desconsiderados pelos enunciados, como por exemplo, uma política de fomento e valorização da cultura, tantas vezes solicitada principalmente pela conselheira Lucélia Santos, mas que, de fato, jamais recebeu qualquer tratamento relevante no CDES. Além disso, assuntos abordados com profundidade nas plenárias do CDES também foram relegados, como a </w:t>
      </w:r>
      <w:r w:rsidRPr="00E154DA">
        <w:rPr>
          <w:rFonts w:ascii="Times New Roman" w:hAnsi="Times New Roman"/>
          <w:sz w:val="24"/>
          <w:szCs w:val="24"/>
        </w:rPr>
        <w:t xml:space="preserve">questão da desindexação da economia, cujo Grupo de Trabalho criado </w:t>
      </w:r>
      <w:r>
        <w:rPr>
          <w:rFonts w:ascii="Times New Roman" w:hAnsi="Times New Roman"/>
          <w:color w:val="000000"/>
          <w:sz w:val="24"/>
          <w:szCs w:val="24"/>
        </w:rPr>
        <w:t>se voltou para o estudo</w:t>
      </w:r>
      <w:r w:rsidRPr="00E154DA">
        <w:rPr>
          <w:rFonts w:ascii="Times New Roman" w:hAnsi="Times New Roman"/>
          <w:color w:val="000000"/>
          <w:sz w:val="24"/>
          <w:szCs w:val="24"/>
        </w:rPr>
        <w:t xml:space="preserve"> dos contratos públicos e privados, especialmente dos</w:t>
      </w:r>
      <w:r>
        <w:rPr>
          <w:rFonts w:ascii="Times New Roman" w:hAnsi="Times New Roman"/>
          <w:color w:val="000000"/>
          <w:sz w:val="24"/>
          <w:szCs w:val="24"/>
        </w:rPr>
        <w:t xml:space="preserve"> serviços em regime de concessão.</w:t>
      </w:r>
      <w:r>
        <w:rPr>
          <w:rStyle w:val="Refdenotaderodap"/>
          <w:rFonts w:ascii="Times New Roman" w:hAnsi="Times New Roman"/>
          <w:sz w:val="24"/>
          <w:szCs w:val="24"/>
        </w:rPr>
        <w:footnoteReference w:id="508"/>
      </w:r>
      <w:r>
        <w:rPr>
          <w:rFonts w:ascii="Times New Roman" w:hAnsi="Times New Roman"/>
          <w:sz w:val="24"/>
          <w:szCs w:val="24"/>
        </w:rPr>
        <w:t xml:space="preserve"> Questões como Defesa Nacional e Cidades, segundo o documento da FGV, “não foram extensivamente debatidos no âmbito do CDES (...) apesar disso, a FGV apontou à Direção Executiva do CDES a importância do desenvolvimento futuro desses temas (...)”.</w:t>
      </w:r>
      <w:r>
        <w:rPr>
          <w:rStyle w:val="Refdenotaderodap"/>
          <w:rFonts w:ascii="Times New Roman" w:hAnsi="Times New Roman"/>
          <w:sz w:val="24"/>
          <w:szCs w:val="24"/>
        </w:rPr>
        <w:footnoteReference w:id="509"/>
      </w:r>
    </w:p>
    <w:p w:rsidR="00007777" w:rsidRPr="00007777" w:rsidRDefault="0009772B" w:rsidP="00007777">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 FGV incluiu ainda o tema da Cultura e do Desenvolvimento Regional como “não extensivamente debatidos” o que, a nosso ver, não corresponde à realidade em relação a este último: a 9ª Reunião Plenária dedicou-se apenas sobre este tema, com a presença do então ministro da Integração Nacional, Ciro Gomes, o qual expôs a Política Nacional de Desenvolvimento Regional ao Conselho. Os conselheiros, inclusive, expediram uma moção para a Presidência da República em favor d</w:t>
      </w:r>
      <w:r w:rsidR="00E14AAD">
        <w:rPr>
          <w:rFonts w:ascii="Times New Roman" w:hAnsi="Times New Roman"/>
          <w:sz w:val="24"/>
          <w:szCs w:val="24"/>
        </w:rPr>
        <w:t>e que o</w:t>
      </w:r>
      <w:r>
        <w:rPr>
          <w:rFonts w:ascii="Times New Roman" w:hAnsi="Times New Roman"/>
          <w:sz w:val="24"/>
          <w:szCs w:val="24"/>
        </w:rPr>
        <w:t xml:space="preserve"> Fundo Nacional de Desenvolvimento Regional (FNDR) </w:t>
      </w:r>
      <w:r w:rsidR="00E14AAD">
        <w:rPr>
          <w:rFonts w:ascii="Times New Roman" w:hAnsi="Times New Roman"/>
          <w:sz w:val="24"/>
          <w:szCs w:val="24"/>
        </w:rPr>
        <w:t xml:space="preserve">continuasse </w:t>
      </w:r>
      <w:r>
        <w:rPr>
          <w:rFonts w:ascii="Times New Roman" w:hAnsi="Times New Roman"/>
          <w:sz w:val="24"/>
          <w:szCs w:val="24"/>
        </w:rPr>
        <w:t xml:space="preserve">nas mãos do ministério e não </w:t>
      </w:r>
      <w:r w:rsidR="00E14AAD">
        <w:rPr>
          <w:rFonts w:ascii="Times New Roman" w:hAnsi="Times New Roman"/>
          <w:sz w:val="24"/>
          <w:szCs w:val="24"/>
        </w:rPr>
        <w:t>fosse destinado</w:t>
      </w:r>
      <w:r>
        <w:rPr>
          <w:rFonts w:ascii="Times New Roman" w:hAnsi="Times New Roman"/>
          <w:sz w:val="24"/>
          <w:szCs w:val="24"/>
        </w:rPr>
        <w:t xml:space="preserve"> aos planos regionais estratégicos, como defendiam os governadores.</w:t>
      </w:r>
      <w:r>
        <w:rPr>
          <w:rStyle w:val="Refdenotaderodap"/>
          <w:rFonts w:ascii="Times New Roman" w:hAnsi="Times New Roman"/>
          <w:sz w:val="24"/>
          <w:szCs w:val="24"/>
        </w:rPr>
        <w:footnoteReference w:id="510"/>
      </w:r>
    </w:p>
    <w:p w:rsidR="00FB081F" w:rsidRPr="00696A38" w:rsidRDefault="00E14AAD" w:rsidP="00007777">
      <w:pPr>
        <w:spacing w:after="0" w:line="360" w:lineRule="auto"/>
        <w:ind w:firstLine="708"/>
        <w:jc w:val="both"/>
        <w:rPr>
          <w:rFonts w:ascii="Times New Roman" w:hAnsi="Times New Roman"/>
          <w:sz w:val="24"/>
          <w:szCs w:val="24"/>
        </w:rPr>
      </w:pPr>
      <w:r w:rsidRPr="00696A38">
        <w:rPr>
          <w:rFonts w:ascii="Times New Roman" w:hAnsi="Times New Roman"/>
          <w:sz w:val="24"/>
          <w:szCs w:val="24"/>
        </w:rPr>
        <w:t xml:space="preserve">No quadro 3.5 acima, </w:t>
      </w:r>
      <w:r w:rsidR="00BD02FF" w:rsidRPr="00696A38">
        <w:rPr>
          <w:rFonts w:ascii="Times New Roman" w:hAnsi="Times New Roman"/>
          <w:sz w:val="24"/>
          <w:szCs w:val="24"/>
        </w:rPr>
        <w:t>aparecem</w:t>
      </w:r>
      <w:r w:rsidRPr="00696A38">
        <w:rPr>
          <w:rFonts w:ascii="Times New Roman" w:hAnsi="Times New Roman"/>
          <w:sz w:val="24"/>
          <w:szCs w:val="24"/>
        </w:rPr>
        <w:t xml:space="preserve"> dois níveis</w:t>
      </w:r>
      <w:r w:rsidR="00BD02FF" w:rsidRPr="00696A38">
        <w:rPr>
          <w:rFonts w:ascii="Times New Roman" w:hAnsi="Times New Roman"/>
          <w:sz w:val="24"/>
          <w:szCs w:val="24"/>
        </w:rPr>
        <w:t xml:space="preserve"> de abordagens</w:t>
      </w:r>
      <w:r w:rsidR="00481ACB" w:rsidRPr="00696A38">
        <w:rPr>
          <w:rFonts w:ascii="Times New Roman" w:hAnsi="Times New Roman"/>
          <w:sz w:val="24"/>
          <w:szCs w:val="24"/>
        </w:rPr>
        <w:t xml:space="preserve"> nos Enunciados</w:t>
      </w:r>
      <w:r w:rsidR="00BD02FF" w:rsidRPr="00696A38">
        <w:rPr>
          <w:rFonts w:ascii="Times New Roman" w:hAnsi="Times New Roman"/>
          <w:sz w:val="24"/>
          <w:szCs w:val="24"/>
        </w:rPr>
        <w:t>: o que</w:t>
      </w:r>
      <w:r w:rsidR="00FB081F" w:rsidRPr="00696A38">
        <w:rPr>
          <w:rFonts w:ascii="Times New Roman" w:hAnsi="Times New Roman"/>
          <w:i/>
          <w:sz w:val="24"/>
          <w:szCs w:val="24"/>
        </w:rPr>
        <w:t>era preciso</w:t>
      </w:r>
      <w:r w:rsidR="00BD02FF" w:rsidRPr="00696A38">
        <w:rPr>
          <w:rFonts w:ascii="Times New Roman" w:hAnsi="Times New Roman"/>
          <w:i/>
          <w:sz w:val="24"/>
          <w:szCs w:val="24"/>
        </w:rPr>
        <w:t xml:space="preserve"> fazer</w:t>
      </w:r>
      <w:r w:rsidR="00BD02FF" w:rsidRPr="00696A38">
        <w:rPr>
          <w:rFonts w:ascii="Times New Roman" w:hAnsi="Times New Roman"/>
          <w:sz w:val="24"/>
          <w:szCs w:val="24"/>
        </w:rPr>
        <w:t xml:space="preserve"> e o </w:t>
      </w:r>
      <w:r w:rsidR="00BD02FF" w:rsidRPr="00696A38">
        <w:rPr>
          <w:rFonts w:ascii="Times New Roman" w:hAnsi="Times New Roman"/>
          <w:i/>
          <w:sz w:val="24"/>
          <w:szCs w:val="24"/>
        </w:rPr>
        <w:t>como fazer</w:t>
      </w:r>
      <w:r w:rsidR="00BD02FF" w:rsidRPr="00696A38">
        <w:rPr>
          <w:rFonts w:ascii="Times New Roman" w:hAnsi="Times New Roman"/>
          <w:sz w:val="24"/>
          <w:szCs w:val="24"/>
        </w:rPr>
        <w:t xml:space="preserve"> para que as diretrizes traçadas pela AND alcançassem </w:t>
      </w:r>
      <w:r w:rsidR="0021137A" w:rsidRPr="00696A38">
        <w:rPr>
          <w:rFonts w:ascii="Times New Roman" w:hAnsi="Times New Roman"/>
          <w:sz w:val="24"/>
          <w:szCs w:val="24"/>
        </w:rPr>
        <w:t xml:space="preserve">o </w:t>
      </w:r>
      <w:r w:rsidR="00BD02FF" w:rsidRPr="00696A38">
        <w:rPr>
          <w:rFonts w:ascii="Times New Roman" w:hAnsi="Times New Roman"/>
          <w:sz w:val="24"/>
          <w:szCs w:val="24"/>
        </w:rPr>
        <w:t xml:space="preserve">êxito (metas, objetivos, expectativas, etc) esperado. </w:t>
      </w:r>
    </w:p>
    <w:p w:rsidR="00684F8A" w:rsidRPr="00696A38" w:rsidRDefault="00C178D0" w:rsidP="00007777">
      <w:pPr>
        <w:spacing w:after="0" w:line="360" w:lineRule="auto"/>
        <w:ind w:firstLine="708"/>
        <w:jc w:val="both"/>
        <w:rPr>
          <w:rFonts w:ascii="Times New Roman" w:hAnsi="Times New Roman"/>
          <w:sz w:val="24"/>
          <w:szCs w:val="24"/>
        </w:rPr>
      </w:pPr>
      <w:r w:rsidRPr="00696A38">
        <w:rPr>
          <w:rFonts w:ascii="Times New Roman" w:hAnsi="Times New Roman"/>
          <w:sz w:val="24"/>
          <w:szCs w:val="24"/>
        </w:rPr>
        <w:t>O</w:t>
      </w:r>
      <w:r w:rsidR="00FB081F" w:rsidRPr="00696A38">
        <w:rPr>
          <w:rFonts w:ascii="Times New Roman" w:hAnsi="Times New Roman"/>
          <w:sz w:val="24"/>
          <w:szCs w:val="24"/>
        </w:rPr>
        <w:t xml:space="preserve"> âmbito do “como fazer” </w:t>
      </w:r>
      <w:r w:rsidR="00481ACB" w:rsidRPr="00696A38">
        <w:rPr>
          <w:rFonts w:ascii="Times New Roman" w:hAnsi="Times New Roman"/>
          <w:sz w:val="24"/>
          <w:szCs w:val="24"/>
        </w:rPr>
        <w:t>se restringia</w:t>
      </w:r>
      <w:r w:rsidR="00FB081F" w:rsidRPr="00696A38">
        <w:rPr>
          <w:rFonts w:ascii="Times New Roman" w:hAnsi="Times New Roman"/>
          <w:sz w:val="24"/>
          <w:szCs w:val="24"/>
        </w:rPr>
        <w:t xml:space="preserve"> especialmente à</w:t>
      </w:r>
      <w:r w:rsidR="004958D5" w:rsidRPr="00696A38">
        <w:rPr>
          <w:rFonts w:ascii="Times New Roman" w:hAnsi="Times New Roman"/>
          <w:sz w:val="24"/>
          <w:szCs w:val="24"/>
        </w:rPr>
        <w:t xml:space="preserve">s parcerias público-privadas, </w:t>
      </w:r>
      <w:r w:rsidR="00FB081F" w:rsidRPr="00696A38">
        <w:rPr>
          <w:rFonts w:ascii="Times New Roman" w:hAnsi="Times New Roman"/>
          <w:sz w:val="24"/>
          <w:szCs w:val="24"/>
        </w:rPr>
        <w:t xml:space="preserve"> gestão por metas, avaliação </w:t>
      </w:r>
      <w:r w:rsidR="00144491" w:rsidRPr="00696A38">
        <w:rPr>
          <w:rFonts w:ascii="Times New Roman" w:hAnsi="Times New Roman"/>
          <w:sz w:val="24"/>
          <w:szCs w:val="24"/>
        </w:rPr>
        <w:t xml:space="preserve">sistemática </w:t>
      </w:r>
      <w:r w:rsidR="00FB081F" w:rsidRPr="00696A38">
        <w:rPr>
          <w:rFonts w:ascii="Times New Roman" w:hAnsi="Times New Roman"/>
          <w:sz w:val="24"/>
          <w:szCs w:val="24"/>
        </w:rPr>
        <w:t xml:space="preserve">por resultados e referências vagas à “participação e controle social”. Ou seja, </w:t>
      </w:r>
      <w:r w:rsidR="0021137A" w:rsidRPr="00696A38">
        <w:rPr>
          <w:rFonts w:ascii="Times New Roman" w:hAnsi="Times New Roman"/>
          <w:sz w:val="24"/>
          <w:szCs w:val="24"/>
        </w:rPr>
        <w:t xml:space="preserve">defendia-se o </w:t>
      </w:r>
      <w:r w:rsidR="00FB081F" w:rsidRPr="00696A38">
        <w:rPr>
          <w:rFonts w:ascii="Times New Roman" w:hAnsi="Times New Roman"/>
          <w:sz w:val="24"/>
          <w:szCs w:val="24"/>
        </w:rPr>
        <w:t>empresariamento da administração pública</w:t>
      </w:r>
      <w:r w:rsidR="00A6758E" w:rsidRPr="00696A38">
        <w:rPr>
          <w:rFonts w:ascii="Times New Roman" w:hAnsi="Times New Roman"/>
          <w:sz w:val="24"/>
          <w:szCs w:val="24"/>
        </w:rPr>
        <w:t xml:space="preserve"> através da utilização de ferramentas e métodos de gestão próprios da administração empresarial</w:t>
      </w:r>
      <w:r w:rsidR="00144491" w:rsidRPr="00696A38">
        <w:rPr>
          <w:rFonts w:ascii="Times New Roman" w:hAnsi="Times New Roman"/>
          <w:sz w:val="24"/>
          <w:szCs w:val="24"/>
        </w:rPr>
        <w:t xml:space="preserve">, resgatando as premissas </w:t>
      </w:r>
      <w:r w:rsidR="0021137A" w:rsidRPr="00696A38">
        <w:rPr>
          <w:rFonts w:ascii="Times New Roman" w:hAnsi="Times New Roman"/>
          <w:sz w:val="24"/>
          <w:szCs w:val="24"/>
        </w:rPr>
        <w:t>presentes n</w:t>
      </w:r>
      <w:r w:rsidR="00144491" w:rsidRPr="00696A38">
        <w:rPr>
          <w:rFonts w:ascii="Times New Roman" w:hAnsi="Times New Roman"/>
          <w:sz w:val="24"/>
          <w:szCs w:val="24"/>
        </w:rPr>
        <w:t xml:space="preserve">o Plano Diretor do Aparelho do Estado dirigido por Bresser Pereira no governo FHC. </w:t>
      </w:r>
      <w:r w:rsidR="004734BE" w:rsidRPr="00696A38">
        <w:rPr>
          <w:rFonts w:ascii="Times New Roman" w:hAnsi="Times New Roman"/>
          <w:sz w:val="24"/>
          <w:szCs w:val="24"/>
        </w:rPr>
        <w:t xml:space="preserve">O aprofundamento da administração gerencial do Estado continuaria sendo pautada no Conselho </w:t>
      </w:r>
      <w:r w:rsidR="008C384D">
        <w:rPr>
          <w:rFonts w:ascii="Times New Roman" w:hAnsi="Times New Roman"/>
          <w:sz w:val="24"/>
          <w:szCs w:val="24"/>
        </w:rPr>
        <w:t>i</w:t>
      </w:r>
      <w:r w:rsidR="004734BE" w:rsidRPr="00696A38">
        <w:rPr>
          <w:rFonts w:ascii="Times New Roman" w:hAnsi="Times New Roman"/>
          <w:sz w:val="24"/>
          <w:szCs w:val="24"/>
        </w:rPr>
        <w:t>ncluída, por alguns conselheiros, no tema da assim chamada “inacabada Reforma do Estado”</w:t>
      </w:r>
      <w:r w:rsidR="00642482" w:rsidRPr="00696A38">
        <w:rPr>
          <w:rFonts w:ascii="Times New Roman" w:hAnsi="Times New Roman"/>
          <w:sz w:val="24"/>
          <w:szCs w:val="24"/>
        </w:rPr>
        <w:t xml:space="preserve"> e, segundo </w:t>
      </w:r>
      <w:r w:rsidR="004958D5" w:rsidRPr="00696A38">
        <w:rPr>
          <w:rFonts w:ascii="Times New Roman" w:hAnsi="Times New Roman"/>
          <w:sz w:val="24"/>
          <w:szCs w:val="24"/>
        </w:rPr>
        <w:t>alguns</w:t>
      </w:r>
      <w:r w:rsidR="00642482" w:rsidRPr="00696A38">
        <w:rPr>
          <w:rFonts w:ascii="Times New Roman" w:hAnsi="Times New Roman"/>
          <w:sz w:val="24"/>
          <w:szCs w:val="24"/>
        </w:rPr>
        <w:t xml:space="preserve">, inseria-se no âmbito </w:t>
      </w:r>
      <w:r w:rsidR="004958D5" w:rsidRPr="00696A38">
        <w:rPr>
          <w:rFonts w:ascii="Times New Roman" w:hAnsi="Times New Roman"/>
          <w:sz w:val="24"/>
          <w:szCs w:val="24"/>
        </w:rPr>
        <w:t xml:space="preserve">mesmo </w:t>
      </w:r>
      <w:r w:rsidR="00642482" w:rsidRPr="00696A38">
        <w:rPr>
          <w:rFonts w:ascii="Times New Roman" w:hAnsi="Times New Roman"/>
          <w:sz w:val="24"/>
          <w:szCs w:val="24"/>
        </w:rPr>
        <w:t>das discussões sobre a Reforma Política.</w:t>
      </w:r>
    </w:p>
    <w:p w:rsidR="00642482" w:rsidRPr="00696A38" w:rsidRDefault="004958D5" w:rsidP="00007777">
      <w:pPr>
        <w:spacing w:after="0" w:line="360" w:lineRule="auto"/>
        <w:ind w:firstLine="708"/>
        <w:jc w:val="both"/>
        <w:rPr>
          <w:rFonts w:ascii="Times New Roman" w:hAnsi="Times New Roman"/>
          <w:sz w:val="24"/>
          <w:szCs w:val="24"/>
        </w:rPr>
      </w:pPr>
      <w:r w:rsidRPr="00696A38">
        <w:rPr>
          <w:rFonts w:ascii="Times New Roman" w:hAnsi="Times New Roman"/>
          <w:sz w:val="24"/>
          <w:szCs w:val="24"/>
        </w:rPr>
        <w:t>Trat</w:t>
      </w:r>
      <w:r w:rsidR="00684F8A" w:rsidRPr="00696A38">
        <w:rPr>
          <w:rFonts w:ascii="Times New Roman" w:hAnsi="Times New Roman"/>
          <w:sz w:val="24"/>
          <w:szCs w:val="24"/>
        </w:rPr>
        <w:t xml:space="preserve">emos apenas </w:t>
      </w:r>
      <w:r w:rsidRPr="00696A38">
        <w:rPr>
          <w:rFonts w:ascii="Times New Roman" w:hAnsi="Times New Roman"/>
          <w:sz w:val="24"/>
          <w:szCs w:val="24"/>
        </w:rPr>
        <w:t xml:space="preserve">de </w:t>
      </w:r>
      <w:r w:rsidR="00684F8A" w:rsidRPr="00696A38">
        <w:rPr>
          <w:rFonts w:ascii="Times New Roman" w:hAnsi="Times New Roman"/>
          <w:sz w:val="24"/>
          <w:szCs w:val="24"/>
        </w:rPr>
        <w:t>dois exemplos de como es</w:t>
      </w:r>
      <w:r w:rsidRPr="00696A38">
        <w:rPr>
          <w:rFonts w:ascii="Times New Roman" w:hAnsi="Times New Roman"/>
          <w:sz w:val="24"/>
          <w:szCs w:val="24"/>
        </w:rPr>
        <w:t>s</w:t>
      </w:r>
      <w:r w:rsidR="00684F8A" w:rsidRPr="00696A38">
        <w:rPr>
          <w:rFonts w:ascii="Times New Roman" w:hAnsi="Times New Roman"/>
          <w:sz w:val="24"/>
          <w:szCs w:val="24"/>
        </w:rPr>
        <w:t>e debate aparecia nas plenárias do Conselho.</w:t>
      </w:r>
    </w:p>
    <w:p w:rsidR="00DF4EAE" w:rsidRPr="00696A38" w:rsidRDefault="00642482" w:rsidP="00007777">
      <w:pPr>
        <w:spacing w:line="360" w:lineRule="auto"/>
        <w:ind w:firstLine="708"/>
        <w:jc w:val="both"/>
        <w:rPr>
          <w:rFonts w:ascii="Times New Roman" w:hAnsi="Times New Roman"/>
          <w:sz w:val="24"/>
          <w:szCs w:val="24"/>
        </w:rPr>
      </w:pPr>
      <w:r w:rsidRPr="00696A38">
        <w:rPr>
          <w:rFonts w:ascii="Times New Roman" w:hAnsi="Times New Roman"/>
          <w:sz w:val="24"/>
          <w:szCs w:val="24"/>
        </w:rPr>
        <w:t>Na 20ª Reunião Plenária, em dezembro de 2006, o presidente da FIEP</w:t>
      </w:r>
      <w:r w:rsidR="00A57DAF" w:rsidRPr="00696A38">
        <w:rPr>
          <w:rFonts w:ascii="Times New Roman" w:hAnsi="Times New Roman"/>
          <w:sz w:val="24"/>
          <w:szCs w:val="24"/>
        </w:rPr>
        <w:t>, Rodrigo Loures, havia feito, a</w:t>
      </w:r>
      <w:r w:rsidRPr="00696A38">
        <w:rPr>
          <w:rFonts w:ascii="Times New Roman" w:hAnsi="Times New Roman"/>
          <w:sz w:val="24"/>
          <w:szCs w:val="24"/>
        </w:rPr>
        <w:t xml:space="preserve"> pedido de Tarso Genro, um encaminhamento à plenária sobre o tema da reforma política. Segundo ele era necessário uma “convocação de uma constituinte revisional através de um colégio exclusivo” com v</w:t>
      </w:r>
      <w:r w:rsidR="00A57DAF" w:rsidRPr="00696A38">
        <w:rPr>
          <w:rFonts w:ascii="Times New Roman" w:hAnsi="Times New Roman"/>
          <w:sz w:val="24"/>
          <w:szCs w:val="24"/>
        </w:rPr>
        <w:t xml:space="preserve">istas à </w:t>
      </w:r>
      <w:r w:rsidRPr="00696A38">
        <w:rPr>
          <w:rFonts w:ascii="Times New Roman" w:hAnsi="Times New Roman"/>
          <w:sz w:val="24"/>
          <w:szCs w:val="24"/>
        </w:rPr>
        <w:t xml:space="preserve"> “modernização do Estado brasileiro” porque “questões cruciais” não estavam sendo equacionadas “não por outra razão senão pelo mau funcionamento do nosso Estado”. </w:t>
      </w:r>
      <w:r w:rsidR="002952A7" w:rsidRPr="00696A38">
        <w:rPr>
          <w:rFonts w:ascii="Times New Roman" w:hAnsi="Times New Roman"/>
          <w:sz w:val="24"/>
          <w:szCs w:val="24"/>
        </w:rPr>
        <w:t xml:space="preserve">Neste “encaminhamento”, </w:t>
      </w:r>
      <w:r w:rsidRPr="00696A38">
        <w:rPr>
          <w:rFonts w:ascii="Times New Roman" w:hAnsi="Times New Roman"/>
          <w:sz w:val="24"/>
          <w:szCs w:val="24"/>
        </w:rPr>
        <w:t>Loures</w:t>
      </w:r>
      <w:r w:rsidR="002952A7" w:rsidRPr="00696A38">
        <w:rPr>
          <w:rFonts w:ascii="Times New Roman" w:hAnsi="Times New Roman"/>
          <w:sz w:val="24"/>
          <w:szCs w:val="24"/>
        </w:rPr>
        <w:t xml:space="preserve"> advogava que</w:t>
      </w:r>
    </w:p>
    <w:p w:rsidR="00642482" w:rsidRPr="00696A38" w:rsidRDefault="00642482" w:rsidP="00007777">
      <w:pPr>
        <w:spacing w:after="0" w:line="240" w:lineRule="auto"/>
        <w:ind w:left="2268"/>
        <w:jc w:val="both"/>
        <w:rPr>
          <w:rFonts w:ascii="Times New Roman" w:hAnsi="Times New Roman"/>
          <w:sz w:val="20"/>
          <w:szCs w:val="20"/>
        </w:rPr>
      </w:pPr>
      <w:r w:rsidRPr="00696A38">
        <w:rPr>
          <w:rFonts w:ascii="Times New Roman" w:hAnsi="Times New Roman"/>
          <w:sz w:val="20"/>
          <w:szCs w:val="20"/>
        </w:rPr>
        <w:t xml:space="preserve">Nosso entendimento é que a atual estrutura do Estado brasileiro inibe </w:t>
      </w:r>
      <w:r w:rsidRPr="00696A38">
        <w:rPr>
          <w:rFonts w:ascii="Times New Roman" w:hAnsi="Times New Roman"/>
          <w:b/>
          <w:sz w:val="20"/>
          <w:szCs w:val="20"/>
        </w:rPr>
        <w:t>a formação de um ambiente empreendedor</w:t>
      </w:r>
      <w:r w:rsidRPr="00696A38">
        <w:rPr>
          <w:rFonts w:ascii="Times New Roman" w:hAnsi="Times New Roman"/>
          <w:sz w:val="20"/>
          <w:szCs w:val="20"/>
        </w:rPr>
        <w:t>, e pune os cidadãos que necessitam de serviços públicos de qualidade. Ineficiência, desperdício, baixa produtividade, irresponsabilidade e corrupção s</w:t>
      </w:r>
      <w:r w:rsidR="002952A7" w:rsidRPr="00696A38">
        <w:rPr>
          <w:rFonts w:ascii="Times New Roman" w:hAnsi="Times New Roman"/>
          <w:sz w:val="20"/>
          <w:szCs w:val="20"/>
        </w:rPr>
        <w:t>ão alguns gra</w:t>
      </w:r>
      <w:r w:rsidRPr="00696A38">
        <w:rPr>
          <w:rFonts w:ascii="Times New Roman" w:hAnsi="Times New Roman"/>
          <w:sz w:val="20"/>
          <w:szCs w:val="20"/>
        </w:rPr>
        <w:t xml:space="preserve">ves problemas do Estado submetido a um </w:t>
      </w:r>
      <w:r w:rsidRPr="00696A38">
        <w:rPr>
          <w:rFonts w:ascii="Times New Roman" w:hAnsi="Times New Roman"/>
          <w:b/>
          <w:sz w:val="20"/>
          <w:szCs w:val="20"/>
        </w:rPr>
        <w:t>modelo de governança ultrapassado e deficiente</w:t>
      </w:r>
      <w:r w:rsidRPr="00696A38">
        <w:rPr>
          <w:rFonts w:ascii="Times New Roman" w:hAnsi="Times New Roman"/>
          <w:sz w:val="20"/>
          <w:szCs w:val="20"/>
        </w:rPr>
        <w:t>, que comporta, inclusive, uma interação perversa entre os defeitos do sistema político institucional e as mazelas do aparelho estatal.</w:t>
      </w:r>
    </w:p>
    <w:p w:rsidR="002952A7" w:rsidRPr="00696A38" w:rsidRDefault="002952A7" w:rsidP="00007777">
      <w:pPr>
        <w:spacing w:after="0" w:line="240" w:lineRule="auto"/>
        <w:ind w:left="2268"/>
        <w:jc w:val="both"/>
        <w:rPr>
          <w:rFonts w:ascii="Times New Roman" w:hAnsi="Times New Roman"/>
          <w:sz w:val="20"/>
          <w:szCs w:val="20"/>
        </w:rPr>
      </w:pPr>
      <w:r w:rsidRPr="00696A38">
        <w:rPr>
          <w:rFonts w:ascii="Times New Roman" w:hAnsi="Times New Roman"/>
          <w:sz w:val="20"/>
          <w:szCs w:val="20"/>
        </w:rPr>
        <w:t>(...)</w:t>
      </w:r>
    </w:p>
    <w:p w:rsidR="002952A7" w:rsidRPr="00696A38" w:rsidRDefault="002952A7" w:rsidP="00007777">
      <w:pPr>
        <w:spacing w:line="240" w:lineRule="auto"/>
        <w:ind w:left="2268"/>
        <w:jc w:val="both"/>
        <w:rPr>
          <w:rFonts w:ascii="Times New Roman" w:hAnsi="Times New Roman"/>
          <w:sz w:val="20"/>
          <w:szCs w:val="20"/>
        </w:rPr>
      </w:pPr>
      <w:r w:rsidRPr="00696A38">
        <w:rPr>
          <w:rFonts w:ascii="Times New Roman" w:hAnsi="Times New Roman"/>
          <w:sz w:val="20"/>
          <w:szCs w:val="20"/>
        </w:rPr>
        <w:t xml:space="preserve">O Estado necessita, </w:t>
      </w:r>
      <w:r w:rsidRPr="00696A38">
        <w:rPr>
          <w:rFonts w:ascii="Times New Roman" w:hAnsi="Times New Roman"/>
          <w:b/>
          <w:sz w:val="20"/>
          <w:szCs w:val="20"/>
        </w:rPr>
        <w:t>como nós empresários temos enfatizado</w:t>
      </w:r>
      <w:r w:rsidRPr="00696A38">
        <w:rPr>
          <w:rFonts w:ascii="Times New Roman" w:hAnsi="Times New Roman"/>
          <w:sz w:val="20"/>
          <w:szCs w:val="20"/>
        </w:rPr>
        <w:t xml:space="preserve">, um </w:t>
      </w:r>
      <w:r w:rsidRPr="00696A38">
        <w:rPr>
          <w:rFonts w:ascii="Times New Roman" w:hAnsi="Times New Roman"/>
          <w:b/>
          <w:sz w:val="20"/>
          <w:szCs w:val="20"/>
        </w:rPr>
        <w:t>choque de gestão</w:t>
      </w:r>
      <w:r w:rsidRPr="00696A38">
        <w:rPr>
          <w:rFonts w:ascii="Times New Roman" w:hAnsi="Times New Roman"/>
          <w:sz w:val="20"/>
          <w:szCs w:val="20"/>
        </w:rPr>
        <w:t xml:space="preserve">, traduzido numa </w:t>
      </w:r>
      <w:r w:rsidRPr="00696A38">
        <w:rPr>
          <w:rFonts w:ascii="Times New Roman" w:hAnsi="Times New Roman"/>
          <w:b/>
          <w:sz w:val="20"/>
          <w:szCs w:val="20"/>
        </w:rPr>
        <w:t>profunda modernização administrativa</w:t>
      </w:r>
      <w:r w:rsidRPr="00696A38">
        <w:rPr>
          <w:rFonts w:ascii="Times New Roman" w:hAnsi="Times New Roman"/>
          <w:sz w:val="20"/>
          <w:szCs w:val="20"/>
        </w:rPr>
        <w:t xml:space="preserve"> com melhoria contínua de processos, incorporação de tecnologias de gestão avançadas, </w:t>
      </w:r>
      <w:r w:rsidRPr="00696A38">
        <w:rPr>
          <w:rFonts w:ascii="Times New Roman" w:hAnsi="Times New Roman"/>
          <w:b/>
          <w:sz w:val="20"/>
          <w:szCs w:val="20"/>
        </w:rPr>
        <w:t>capacitação técnica e gerencial dos servidores públicos</w:t>
      </w:r>
      <w:r w:rsidRPr="00696A38">
        <w:rPr>
          <w:rFonts w:ascii="Times New Roman" w:hAnsi="Times New Roman"/>
          <w:sz w:val="20"/>
          <w:szCs w:val="20"/>
        </w:rPr>
        <w:t>, e redução dos controles burocráticos formalistas e ultrapassa</w:t>
      </w:r>
      <w:r w:rsidR="00007777" w:rsidRPr="00696A38">
        <w:rPr>
          <w:rFonts w:ascii="Times New Roman" w:hAnsi="Times New Roman"/>
          <w:sz w:val="20"/>
          <w:szCs w:val="20"/>
        </w:rPr>
        <w:t>dos (Conselheiro Rodrigo Loures, Ata da 20ª Reunião Plenária, 05/12/2006, p. 23-24, grifos meus)</w:t>
      </w:r>
    </w:p>
    <w:p w:rsidR="00007777" w:rsidRPr="00696A38" w:rsidRDefault="00144491" w:rsidP="00007777">
      <w:pPr>
        <w:spacing w:after="0" w:line="360" w:lineRule="auto"/>
        <w:ind w:firstLine="708"/>
        <w:jc w:val="both"/>
        <w:rPr>
          <w:rFonts w:ascii="Times New Roman" w:hAnsi="Times New Roman"/>
          <w:sz w:val="24"/>
          <w:szCs w:val="24"/>
        </w:rPr>
      </w:pPr>
      <w:r w:rsidRPr="00696A38">
        <w:rPr>
          <w:rFonts w:ascii="Times New Roman" w:hAnsi="Times New Roman"/>
          <w:sz w:val="24"/>
          <w:szCs w:val="24"/>
        </w:rPr>
        <w:t xml:space="preserve">O objetivo propalado era </w:t>
      </w:r>
      <w:r w:rsidR="007265CE" w:rsidRPr="00696A38">
        <w:rPr>
          <w:rFonts w:ascii="Times New Roman" w:hAnsi="Times New Roman"/>
          <w:sz w:val="24"/>
          <w:szCs w:val="24"/>
        </w:rPr>
        <w:t xml:space="preserve">também </w:t>
      </w:r>
      <w:r w:rsidRPr="00696A38">
        <w:rPr>
          <w:rFonts w:ascii="Times New Roman" w:hAnsi="Times New Roman"/>
          <w:sz w:val="24"/>
          <w:szCs w:val="24"/>
        </w:rPr>
        <w:t>criar mecanismos que possibilitassem maior “transparência” e “controle social” da e sobre a administração pública, tendo em vista aumentar a “governança” e a “governabilidade”</w:t>
      </w:r>
      <w:r w:rsidR="007265CE" w:rsidRPr="00696A38">
        <w:rPr>
          <w:rFonts w:ascii="Times New Roman" w:hAnsi="Times New Roman"/>
          <w:sz w:val="24"/>
          <w:szCs w:val="24"/>
        </w:rPr>
        <w:t xml:space="preserve">, isto é, aprofundar o projeto ideológico que procura desmobilizar a luta de classes, transformando as lutas emancipatórias para a </w:t>
      </w:r>
      <w:r w:rsidR="007265CE" w:rsidRPr="00696A38">
        <w:rPr>
          <w:rFonts w:ascii="Times New Roman" w:hAnsi="Times New Roman"/>
          <w:i/>
          <w:sz w:val="24"/>
          <w:szCs w:val="24"/>
        </w:rPr>
        <w:t>gestão de conflitos</w:t>
      </w:r>
      <w:r w:rsidR="007265CE" w:rsidRPr="00696A38">
        <w:rPr>
          <w:rFonts w:ascii="Times New Roman" w:hAnsi="Times New Roman"/>
          <w:sz w:val="24"/>
          <w:szCs w:val="24"/>
        </w:rPr>
        <w:t>, deslocando o eixo da militância social da luta de longo alcance (revolucionária) para ações pontuais, imediatas, de reforço das estruturas econômicas e de poder. É o fetiche da “participação” e do “controle social”, de “empoderamento” dos sujeitos sociais sem alterações nas correlações de forças</w:t>
      </w:r>
      <w:r w:rsidR="00DF4EAE" w:rsidRPr="00696A38">
        <w:rPr>
          <w:rFonts w:ascii="Times New Roman" w:hAnsi="Times New Roman"/>
          <w:i/>
          <w:sz w:val="24"/>
          <w:szCs w:val="24"/>
        </w:rPr>
        <w:t>porque não derivado das lutas sociais que incidem sobre tais relações</w:t>
      </w:r>
      <w:r w:rsidR="00DF4EAE" w:rsidRPr="00696A38">
        <w:rPr>
          <w:rFonts w:ascii="Times New Roman" w:hAnsi="Times New Roman"/>
          <w:sz w:val="24"/>
          <w:szCs w:val="24"/>
        </w:rPr>
        <w:t xml:space="preserve">, </w:t>
      </w:r>
      <w:r w:rsidR="007265CE" w:rsidRPr="00696A38">
        <w:rPr>
          <w:rFonts w:ascii="Times New Roman" w:hAnsi="Times New Roman"/>
          <w:sz w:val="24"/>
          <w:szCs w:val="24"/>
        </w:rPr>
        <w:t xml:space="preserve">mas, ao contrário, redesenhando o terreno do exercício da </w:t>
      </w:r>
      <w:r w:rsidR="00DF4EAE" w:rsidRPr="00696A38">
        <w:rPr>
          <w:rFonts w:ascii="Times New Roman" w:hAnsi="Times New Roman"/>
          <w:sz w:val="24"/>
          <w:szCs w:val="24"/>
        </w:rPr>
        <w:t xml:space="preserve">dominação e da </w:t>
      </w:r>
      <w:r w:rsidR="007265CE" w:rsidRPr="00696A38">
        <w:rPr>
          <w:rFonts w:ascii="Times New Roman" w:hAnsi="Times New Roman"/>
          <w:sz w:val="24"/>
          <w:szCs w:val="24"/>
        </w:rPr>
        <w:t>subalternização</w:t>
      </w:r>
      <w:r w:rsidR="00DF4EAE" w:rsidRPr="00696A38">
        <w:rPr>
          <w:rFonts w:ascii="Times New Roman" w:hAnsi="Times New Roman"/>
          <w:i/>
          <w:sz w:val="24"/>
          <w:szCs w:val="24"/>
        </w:rPr>
        <w:t>sob a bandeira “democrática”</w:t>
      </w:r>
      <w:r w:rsidR="00DF4EAE" w:rsidRPr="00696A38">
        <w:rPr>
          <w:rFonts w:ascii="Times New Roman" w:hAnsi="Times New Roman"/>
          <w:sz w:val="24"/>
          <w:szCs w:val="24"/>
        </w:rPr>
        <w:t>.</w:t>
      </w:r>
    </w:p>
    <w:p w:rsidR="00007777" w:rsidRPr="00696A38" w:rsidRDefault="00007777" w:rsidP="00007777">
      <w:pPr>
        <w:spacing w:line="360" w:lineRule="auto"/>
        <w:ind w:firstLine="708"/>
        <w:jc w:val="both"/>
        <w:rPr>
          <w:rFonts w:ascii="Times New Roman" w:hAnsi="Times New Roman"/>
        </w:rPr>
      </w:pPr>
      <w:r w:rsidRPr="00696A38">
        <w:rPr>
          <w:rFonts w:ascii="Times New Roman" w:hAnsi="Times New Roman"/>
          <w:sz w:val="24"/>
          <w:szCs w:val="24"/>
        </w:rPr>
        <w:t>Na mesma reunião plenária, o conselheiro José Antonio Moroni (INESC)</w:t>
      </w:r>
      <w:r w:rsidR="00922DF6" w:rsidRPr="00696A38">
        <w:rPr>
          <w:rFonts w:ascii="Times New Roman" w:hAnsi="Times New Roman"/>
          <w:sz w:val="24"/>
          <w:szCs w:val="24"/>
        </w:rPr>
        <w:t xml:space="preserve"> dizia que</w:t>
      </w:r>
    </w:p>
    <w:p w:rsidR="00007777" w:rsidRPr="00696A38" w:rsidRDefault="00007777" w:rsidP="00F36F11">
      <w:pPr>
        <w:spacing w:line="240" w:lineRule="auto"/>
        <w:ind w:left="2268"/>
        <w:jc w:val="both"/>
        <w:rPr>
          <w:rFonts w:ascii="Times New Roman" w:hAnsi="Times New Roman"/>
          <w:sz w:val="20"/>
          <w:szCs w:val="20"/>
        </w:rPr>
      </w:pPr>
      <w:r w:rsidRPr="00696A38">
        <w:rPr>
          <w:rFonts w:ascii="Times New Roman" w:hAnsi="Times New Roman"/>
          <w:sz w:val="20"/>
          <w:szCs w:val="20"/>
        </w:rPr>
        <w:t xml:space="preserve">Eu acho que além da questão do Estado que o Rodrigo colocou, eu acho que </w:t>
      </w:r>
      <w:r w:rsidRPr="00696A38">
        <w:rPr>
          <w:rFonts w:ascii="Times New Roman" w:hAnsi="Times New Roman"/>
          <w:b/>
          <w:sz w:val="20"/>
          <w:szCs w:val="20"/>
        </w:rPr>
        <w:t>o que está em jogo é a questão do poder, a forma de exercer o poder e quem exerce o poder, e os mecanismos que se tem de ter acesso a esse poder</w:t>
      </w:r>
      <w:r w:rsidRPr="00696A38">
        <w:rPr>
          <w:rFonts w:ascii="Times New Roman" w:hAnsi="Times New Roman"/>
          <w:sz w:val="20"/>
          <w:szCs w:val="20"/>
        </w:rPr>
        <w:t xml:space="preserve">. </w:t>
      </w:r>
      <w:r w:rsidR="00F36F11" w:rsidRPr="00696A38">
        <w:rPr>
          <w:rFonts w:ascii="Times New Roman" w:hAnsi="Times New Roman"/>
          <w:sz w:val="20"/>
          <w:szCs w:val="20"/>
        </w:rPr>
        <w:t xml:space="preserve">(...) A gente precisa se debruçar melhor sobre esse sistema descentralizado e participativo do qual, vamos dizer assim, </w:t>
      </w:r>
      <w:r w:rsidR="00F36F11" w:rsidRPr="00696A38">
        <w:rPr>
          <w:rFonts w:ascii="Times New Roman" w:hAnsi="Times New Roman"/>
          <w:b/>
          <w:sz w:val="20"/>
          <w:szCs w:val="20"/>
        </w:rPr>
        <w:t>têm os Conselhos e as conferências</w:t>
      </w:r>
      <w:r w:rsidR="00F36F11" w:rsidRPr="00696A38">
        <w:rPr>
          <w:rFonts w:ascii="Times New Roman" w:hAnsi="Times New Roman"/>
          <w:sz w:val="20"/>
          <w:szCs w:val="20"/>
        </w:rPr>
        <w:t>, mapear melhor esse Conselhos e ver também onde tem convergência, onde que tem sobreposição de atribuições e repensar toda essa arquitetura da participação. E isso para mim tem tudo a ver com [a] forma que se exerce o poder e quem exerce o poder, a gente precisa ver isso (idem, p. 27).</w:t>
      </w:r>
    </w:p>
    <w:p w:rsidR="00844A45" w:rsidRPr="00696A38" w:rsidRDefault="00844A45" w:rsidP="00844A45">
      <w:pPr>
        <w:spacing w:after="0" w:line="360" w:lineRule="auto"/>
        <w:ind w:firstLine="708"/>
        <w:jc w:val="both"/>
        <w:rPr>
          <w:rFonts w:ascii="Times New Roman" w:hAnsi="Times New Roman"/>
          <w:sz w:val="24"/>
          <w:szCs w:val="24"/>
        </w:rPr>
      </w:pPr>
      <w:r w:rsidRPr="00696A38">
        <w:rPr>
          <w:rFonts w:ascii="Times New Roman" w:hAnsi="Times New Roman"/>
          <w:sz w:val="24"/>
          <w:szCs w:val="24"/>
        </w:rPr>
        <w:t>Nos Enunciados, o âmbito do que “era preciso fazer” era amplo e contemplava uma gama tão grande de iniciativas que exig</w:t>
      </w:r>
      <w:r w:rsidR="00B0765E">
        <w:rPr>
          <w:rFonts w:ascii="Times New Roman" w:hAnsi="Times New Roman"/>
          <w:sz w:val="24"/>
          <w:szCs w:val="24"/>
        </w:rPr>
        <w:t>i</w:t>
      </w:r>
      <w:r w:rsidR="001730DC" w:rsidRPr="00696A38">
        <w:rPr>
          <w:rFonts w:ascii="Times New Roman" w:hAnsi="Times New Roman"/>
          <w:sz w:val="24"/>
          <w:szCs w:val="24"/>
        </w:rPr>
        <w:t>ria</w:t>
      </w:r>
      <w:r w:rsidRPr="00696A38">
        <w:rPr>
          <w:rFonts w:ascii="Times New Roman" w:hAnsi="Times New Roman"/>
          <w:sz w:val="24"/>
          <w:szCs w:val="24"/>
        </w:rPr>
        <w:t xml:space="preserve"> verificar o que foi realizado.</w:t>
      </w:r>
      <w:r w:rsidR="004F50B8" w:rsidRPr="00696A38">
        <w:rPr>
          <w:rFonts w:ascii="Times New Roman" w:hAnsi="Times New Roman"/>
          <w:sz w:val="24"/>
          <w:szCs w:val="24"/>
        </w:rPr>
        <w:t xml:space="preserve"> Tentaremos apenas mencionar, sumariamente, alguns temas </w:t>
      </w:r>
      <w:r w:rsidR="001730DC" w:rsidRPr="00696A38">
        <w:rPr>
          <w:rFonts w:ascii="Times New Roman" w:hAnsi="Times New Roman"/>
          <w:sz w:val="24"/>
          <w:szCs w:val="24"/>
        </w:rPr>
        <w:t xml:space="preserve">que </w:t>
      </w:r>
      <w:r w:rsidR="004F50B8" w:rsidRPr="00696A38">
        <w:rPr>
          <w:rFonts w:ascii="Times New Roman" w:hAnsi="Times New Roman"/>
          <w:sz w:val="24"/>
          <w:szCs w:val="24"/>
        </w:rPr>
        <w:t xml:space="preserve">ganharam relevância para o Conselho </w:t>
      </w:r>
      <w:r w:rsidR="001730DC" w:rsidRPr="00696A38">
        <w:rPr>
          <w:rFonts w:ascii="Times New Roman" w:hAnsi="Times New Roman"/>
          <w:sz w:val="24"/>
          <w:szCs w:val="24"/>
        </w:rPr>
        <w:t xml:space="preserve">e já </w:t>
      </w:r>
      <w:r w:rsidR="004F50B8" w:rsidRPr="00696A38">
        <w:rPr>
          <w:rFonts w:ascii="Times New Roman" w:hAnsi="Times New Roman"/>
          <w:sz w:val="24"/>
          <w:szCs w:val="24"/>
        </w:rPr>
        <w:t>m</w:t>
      </w:r>
      <w:r w:rsidR="001730DC" w:rsidRPr="00696A38">
        <w:rPr>
          <w:rFonts w:ascii="Times New Roman" w:hAnsi="Times New Roman"/>
          <w:sz w:val="24"/>
          <w:szCs w:val="24"/>
        </w:rPr>
        <w:t>encionamos alhures os</w:t>
      </w:r>
      <w:r w:rsidR="004F50B8" w:rsidRPr="00696A38">
        <w:rPr>
          <w:rFonts w:ascii="Times New Roman" w:hAnsi="Times New Roman"/>
          <w:sz w:val="24"/>
          <w:szCs w:val="24"/>
        </w:rPr>
        <w:t xml:space="preserve"> implementados como política p</w:t>
      </w:r>
      <w:r w:rsidR="001730DC" w:rsidRPr="00696A38">
        <w:rPr>
          <w:rFonts w:ascii="Times New Roman" w:hAnsi="Times New Roman"/>
          <w:sz w:val="24"/>
          <w:szCs w:val="24"/>
        </w:rPr>
        <w:t>ública (ver item 1.5.1).</w:t>
      </w:r>
    </w:p>
    <w:p w:rsidR="00481ACB" w:rsidRPr="00696A38" w:rsidRDefault="00481ACB" w:rsidP="00844A45">
      <w:pPr>
        <w:spacing w:after="0" w:line="360" w:lineRule="auto"/>
        <w:ind w:firstLine="708"/>
        <w:jc w:val="both"/>
        <w:rPr>
          <w:rFonts w:ascii="Times New Roman" w:hAnsi="Times New Roman"/>
          <w:sz w:val="24"/>
          <w:szCs w:val="24"/>
        </w:rPr>
      </w:pPr>
      <w:r w:rsidRPr="00696A38">
        <w:rPr>
          <w:rFonts w:ascii="Times New Roman" w:hAnsi="Times New Roman"/>
          <w:sz w:val="24"/>
          <w:szCs w:val="24"/>
        </w:rPr>
        <w:t>A temática da Reforma Política, principalmente após o escândalo do mensalão, tornou-se uma pauta recorrente nas discussões plen</w:t>
      </w:r>
      <w:r w:rsidR="00844A45" w:rsidRPr="00696A38">
        <w:rPr>
          <w:rFonts w:ascii="Times New Roman" w:hAnsi="Times New Roman"/>
          <w:sz w:val="24"/>
          <w:szCs w:val="24"/>
        </w:rPr>
        <w:t>árias.</w:t>
      </w:r>
      <w:r w:rsidRPr="00696A38">
        <w:rPr>
          <w:rFonts w:ascii="Times New Roman" w:hAnsi="Times New Roman"/>
          <w:sz w:val="24"/>
          <w:szCs w:val="24"/>
        </w:rPr>
        <w:t xml:space="preserve"> Mesmo em situações </w:t>
      </w:r>
      <w:r w:rsidR="00844A45" w:rsidRPr="00696A38">
        <w:rPr>
          <w:rFonts w:ascii="Times New Roman" w:hAnsi="Times New Roman"/>
          <w:sz w:val="24"/>
          <w:szCs w:val="24"/>
        </w:rPr>
        <w:t xml:space="preserve">em que a pauta a </w:t>
      </w:r>
      <w:r w:rsidRPr="00696A38">
        <w:rPr>
          <w:rFonts w:ascii="Times New Roman" w:hAnsi="Times New Roman"/>
          <w:sz w:val="24"/>
          <w:szCs w:val="24"/>
        </w:rPr>
        <w:t xml:space="preserve">ela não se referia, a discussão sempre voltava à tona. </w:t>
      </w:r>
      <w:r w:rsidR="00927BCF" w:rsidRPr="00696A38">
        <w:rPr>
          <w:rFonts w:ascii="Times New Roman" w:hAnsi="Times New Roman"/>
          <w:sz w:val="24"/>
          <w:szCs w:val="24"/>
        </w:rPr>
        <w:t>O mesmo ocorria com a temática da Reforma Tribut</w:t>
      </w:r>
      <w:r w:rsidR="00D87B10" w:rsidRPr="00696A38">
        <w:rPr>
          <w:rFonts w:ascii="Times New Roman" w:hAnsi="Times New Roman"/>
          <w:sz w:val="24"/>
          <w:szCs w:val="24"/>
        </w:rPr>
        <w:t>ária. Corriam</w:t>
      </w:r>
      <w:r w:rsidR="00927BCF" w:rsidRPr="00696A38">
        <w:rPr>
          <w:rFonts w:ascii="Times New Roman" w:hAnsi="Times New Roman"/>
          <w:sz w:val="24"/>
          <w:szCs w:val="24"/>
        </w:rPr>
        <w:t xml:space="preserve"> em paralelo, isto é, não expostos de forma tão enfática e </w:t>
      </w:r>
      <w:r w:rsidR="00D87B10" w:rsidRPr="00696A38">
        <w:rPr>
          <w:rFonts w:ascii="Times New Roman" w:hAnsi="Times New Roman"/>
          <w:sz w:val="24"/>
          <w:szCs w:val="24"/>
        </w:rPr>
        <w:t>relevante</w:t>
      </w:r>
      <w:r w:rsidR="00927BCF" w:rsidRPr="00696A38">
        <w:rPr>
          <w:rFonts w:ascii="Times New Roman" w:hAnsi="Times New Roman"/>
          <w:sz w:val="24"/>
          <w:szCs w:val="24"/>
        </w:rPr>
        <w:t xml:space="preserve"> quanto estes temas, as temáticas da Educaç</w:t>
      </w:r>
      <w:r w:rsidR="00844A45" w:rsidRPr="00696A38">
        <w:rPr>
          <w:rFonts w:ascii="Times New Roman" w:hAnsi="Times New Roman"/>
          <w:sz w:val="24"/>
          <w:szCs w:val="24"/>
        </w:rPr>
        <w:t>ão, da Infraestrutura</w:t>
      </w:r>
      <w:r w:rsidR="00A029AA" w:rsidRPr="00696A38">
        <w:rPr>
          <w:rFonts w:ascii="Times New Roman" w:hAnsi="Times New Roman"/>
          <w:sz w:val="24"/>
          <w:szCs w:val="24"/>
        </w:rPr>
        <w:t>,</w:t>
      </w:r>
      <w:r w:rsidR="00844A45" w:rsidRPr="00696A38">
        <w:rPr>
          <w:rFonts w:ascii="Times New Roman" w:hAnsi="Times New Roman"/>
          <w:sz w:val="24"/>
          <w:szCs w:val="24"/>
        </w:rPr>
        <w:t xml:space="preserve"> da Bioenergia </w:t>
      </w:r>
      <w:r w:rsidR="00A029AA" w:rsidRPr="00696A38">
        <w:rPr>
          <w:rFonts w:ascii="Times New Roman" w:hAnsi="Times New Roman"/>
          <w:sz w:val="24"/>
          <w:szCs w:val="24"/>
        </w:rPr>
        <w:t xml:space="preserve">e, após a crise de 2008, a </w:t>
      </w:r>
      <w:r w:rsidR="004A38F1" w:rsidRPr="00696A38">
        <w:rPr>
          <w:rFonts w:ascii="Times New Roman" w:hAnsi="Times New Roman"/>
          <w:sz w:val="24"/>
          <w:szCs w:val="24"/>
        </w:rPr>
        <w:t xml:space="preserve">busca pela </w:t>
      </w:r>
      <w:r w:rsidR="00A029AA" w:rsidRPr="00696A38">
        <w:rPr>
          <w:rFonts w:ascii="Times New Roman" w:hAnsi="Times New Roman"/>
          <w:sz w:val="24"/>
          <w:szCs w:val="24"/>
        </w:rPr>
        <w:t xml:space="preserve">oferta de Crédito, </w:t>
      </w:r>
      <w:r w:rsidR="00844A45" w:rsidRPr="00696A38">
        <w:rPr>
          <w:rFonts w:ascii="Times New Roman" w:hAnsi="Times New Roman"/>
          <w:sz w:val="24"/>
          <w:szCs w:val="24"/>
        </w:rPr>
        <w:t xml:space="preserve">foram bastante </w:t>
      </w:r>
      <w:r w:rsidR="00D87B10" w:rsidRPr="00696A38">
        <w:rPr>
          <w:rFonts w:ascii="Times New Roman" w:hAnsi="Times New Roman"/>
          <w:sz w:val="24"/>
          <w:szCs w:val="24"/>
        </w:rPr>
        <w:t>recorrente</w:t>
      </w:r>
      <w:r w:rsidR="00844A45" w:rsidRPr="00696A38">
        <w:rPr>
          <w:rFonts w:ascii="Times New Roman" w:hAnsi="Times New Roman"/>
          <w:sz w:val="24"/>
          <w:szCs w:val="24"/>
        </w:rPr>
        <w:t xml:space="preserve">s nos documentos e discussões plenárias. Pode-se dizer que as </w:t>
      </w:r>
      <w:r w:rsidR="004A38F1" w:rsidRPr="00696A38">
        <w:rPr>
          <w:rFonts w:ascii="Times New Roman" w:hAnsi="Times New Roman"/>
          <w:sz w:val="24"/>
          <w:szCs w:val="24"/>
        </w:rPr>
        <w:t>quatro</w:t>
      </w:r>
      <w:r w:rsidR="00844A45" w:rsidRPr="00696A38">
        <w:rPr>
          <w:rFonts w:ascii="Times New Roman" w:hAnsi="Times New Roman"/>
          <w:sz w:val="24"/>
          <w:szCs w:val="24"/>
        </w:rPr>
        <w:t xml:space="preserve"> últimas temáticas foram as que receberam, por parte das políticas públicas governamentais, maior atenção,</w:t>
      </w:r>
      <w:r w:rsidR="00951B5F" w:rsidRPr="00696A38">
        <w:rPr>
          <w:rFonts w:ascii="Times New Roman" w:hAnsi="Times New Roman"/>
          <w:sz w:val="24"/>
          <w:szCs w:val="24"/>
        </w:rPr>
        <w:t xml:space="preserve"> logicamente atendendo as requisições de ampliação dos investimentos e das margens de lucros pelo grande capital. No CDES, a alegação </w:t>
      </w:r>
      <w:r w:rsidR="00844A45" w:rsidRPr="00696A38">
        <w:rPr>
          <w:rFonts w:ascii="Times New Roman" w:hAnsi="Times New Roman"/>
          <w:sz w:val="24"/>
          <w:szCs w:val="24"/>
        </w:rPr>
        <w:t>apresentad</w:t>
      </w:r>
      <w:r w:rsidR="00951B5F" w:rsidRPr="00696A38">
        <w:rPr>
          <w:rFonts w:ascii="Times New Roman" w:hAnsi="Times New Roman"/>
          <w:sz w:val="24"/>
          <w:szCs w:val="24"/>
        </w:rPr>
        <w:t>a</w:t>
      </w:r>
      <w:r w:rsidR="00E61685" w:rsidRPr="00696A38">
        <w:rPr>
          <w:rFonts w:ascii="Times New Roman" w:hAnsi="Times New Roman"/>
          <w:sz w:val="24"/>
          <w:szCs w:val="24"/>
        </w:rPr>
        <w:t xml:space="preserve"> pelo governo era de que a Reforma </w:t>
      </w:r>
      <w:r w:rsidR="00844A45" w:rsidRPr="00696A38">
        <w:rPr>
          <w:rFonts w:ascii="Times New Roman" w:hAnsi="Times New Roman"/>
          <w:sz w:val="24"/>
          <w:szCs w:val="24"/>
        </w:rPr>
        <w:t>Tributária</w:t>
      </w:r>
      <w:r w:rsidR="00D87B10" w:rsidRPr="00696A38">
        <w:rPr>
          <w:rFonts w:ascii="Times New Roman" w:hAnsi="Times New Roman"/>
          <w:sz w:val="24"/>
          <w:szCs w:val="24"/>
        </w:rPr>
        <w:t>, remetida</w:t>
      </w:r>
      <w:r w:rsidR="00E61685" w:rsidRPr="00696A38">
        <w:rPr>
          <w:rFonts w:ascii="Times New Roman" w:hAnsi="Times New Roman"/>
          <w:sz w:val="24"/>
          <w:szCs w:val="24"/>
        </w:rPr>
        <w:t xml:space="preserve"> em 2007</w:t>
      </w:r>
      <w:r w:rsidR="00D87B10" w:rsidRPr="00696A38">
        <w:rPr>
          <w:rFonts w:ascii="Times New Roman" w:hAnsi="Times New Roman"/>
          <w:sz w:val="24"/>
          <w:szCs w:val="24"/>
        </w:rPr>
        <w:t>, aguardava os trabalhos</w:t>
      </w:r>
      <w:r w:rsidR="00844A45" w:rsidRPr="00696A38">
        <w:rPr>
          <w:rFonts w:ascii="Times New Roman" w:hAnsi="Times New Roman"/>
          <w:sz w:val="24"/>
          <w:szCs w:val="24"/>
        </w:rPr>
        <w:t xml:space="preserve"> do Congresso Nacional</w:t>
      </w:r>
      <w:r w:rsidR="00951B5F" w:rsidRPr="00696A38">
        <w:rPr>
          <w:rFonts w:ascii="Times New Roman" w:hAnsi="Times New Roman"/>
          <w:sz w:val="24"/>
          <w:szCs w:val="24"/>
        </w:rPr>
        <w:t xml:space="preserve"> e, principalmente o presidente Lula da Silv</w:t>
      </w:r>
      <w:r w:rsidR="008F0D33">
        <w:rPr>
          <w:rFonts w:ascii="Times New Roman" w:hAnsi="Times New Roman"/>
          <w:sz w:val="24"/>
          <w:szCs w:val="24"/>
        </w:rPr>
        <w:t>a</w:t>
      </w:r>
      <w:r w:rsidR="00951B5F" w:rsidRPr="00696A38">
        <w:rPr>
          <w:rFonts w:ascii="Times New Roman" w:hAnsi="Times New Roman"/>
          <w:sz w:val="24"/>
          <w:szCs w:val="24"/>
        </w:rPr>
        <w:t xml:space="preserve"> insistia que o debate era difícil</w:t>
      </w:r>
      <w:r w:rsidR="00A029AA" w:rsidRPr="00696A38">
        <w:rPr>
          <w:rFonts w:ascii="Times New Roman" w:hAnsi="Times New Roman"/>
          <w:sz w:val="24"/>
          <w:szCs w:val="24"/>
        </w:rPr>
        <w:t xml:space="preserve"> pois </w:t>
      </w:r>
      <w:r w:rsidR="00951B5F" w:rsidRPr="00696A38">
        <w:rPr>
          <w:rFonts w:ascii="Times New Roman" w:hAnsi="Times New Roman"/>
          <w:sz w:val="24"/>
          <w:szCs w:val="24"/>
        </w:rPr>
        <w:t>cada segmento queria aprovar a “sua própria reforma”.</w:t>
      </w:r>
      <w:r w:rsidR="003636D0" w:rsidRPr="00696A38">
        <w:rPr>
          <w:rStyle w:val="Refdenotaderodap"/>
          <w:rFonts w:ascii="Times New Roman" w:hAnsi="Times New Roman"/>
          <w:sz w:val="24"/>
          <w:szCs w:val="24"/>
        </w:rPr>
        <w:footnoteReference w:id="511"/>
      </w:r>
      <w:r w:rsidR="00951B5F" w:rsidRPr="00696A38">
        <w:rPr>
          <w:rFonts w:ascii="Times New Roman" w:hAnsi="Times New Roman"/>
          <w:sz w:val="24"/>
          <w:szCs w:val="24"/>
        </w:rPr>
        <w:t xml:space="preserve"> Mesmo assim</w:t>
      </w:r>
      <w:r w:rsidR="00844A45" w:rsidRPr="00696A38">
        <w:rPr>
          <w:rFonts w:ascii="Times New Roman" w:hAnsi="Times New Roman"/>
          <w:sz w:val="24"/>
          <w:szCs w:val="24"/>
        </w:rPr>
        <w:t xml:space="preserve">, os conselheiros </w:t>
      </w:r>
      <w:r w:rsidR="00951B5F" w:rsidRPr="00696A38">
        <w:rPr>
          <w:rFonts w:ascii="Times New Roman" w:hAnsi="Times New Roman"/>
          <w:sz w:val="24"/>
          <w:szCs w:val="24"/>
        </w:rPr>
        <w:t xml:space="preserve">continuavam pressionando </w:t>
      </w:r>
      <w:r w:rsidR="00844A45" w:rsidRPr="00696A38">
        <w:rPr>
          <w:rFonts w:ascii="Times New Roman" w:hAnsi="Times New Roman"/>
          <w:sz w:val="24"/>
          <w:szCs w:val="24"/>
        </w:rPr>
        <w:t xml:space="preserve">junto às autoridades </w:t>
      </w:r>
      <w:r w:rsidR="00951B5F" w:rsidRPr="00696A38">
        <w:rPr>
          <w:rFonts w:ascii="Times New Roman" w:hAnsi="Times New Roman"/>
          <w:sz w:val="24"/>
          <w:szCs w:val="24"/>
        </w:rPr>
        <w:t xml:space="preserve">do Executivo </w:t>
      </w:r>
      <w:r w:rsidR="00D87B10" w:rsidRPr="00696A38">
        <w:rPr>
          <w:rFonts w:ascii="Times New Roman" w:hAnsi="Times New Roman"/>
          <w:sz w:val="24"/>
          <w:szCs w:val="24"/>
        </w:rPr>
        <w:t xml:space="preserve">por </w:t>
      </w:r>
      <w:r w:rsidR="00844A45" w:rsidRPr="00696A38">
        <w:rPr>
          <w:rFonts w:ascii="Times New Roman" w:hAnsi="Times New Roman"/>
          <w:sz w:val="24"/>
          <w:szCs w:val="24"/>
        </w:rPr>
        <w:t>maior empenho para sua aprovação.</w:t>
      </w:r>
      <w:r w:rsidR="004F50B8" w:rsidRPr="00696A38">
        <w:rPr>
          <w:rFonts w:ascii="Times New Roman" w:hAnsi="Times New Roman"/>
          <w:sz w:val="24"/>
          <w:szCs w:val="24"/>
        </w:rPr>
        <w:t xml:space="preserve">Alguns itens da contrarreforma tributária foram atendidos apenas no governo de Dilma Rousseff como, por exemplo, a desoneração da folha de pagamento. </w:t>
      </w:r>
      <w:r w:rsidR="00E61685" w:rsidRPr="00696A38">
        <w:rPr>
          <w:rFonts w:ascii="Times New Roman" w:hAnsi="Times New Roman"/>
          <w:sz w:val="24"/>
          <w:szCs w:val="24"/>
        </w:rPr>
        <w:t>Quanto à Reforma Pol</w:t>
      </w:r>
      <w:r w:rsidR="00726DC2" w:rsidRPr="00696A38">
        <w:rPr>
          <w:rFonts w:ascii="Times New Roman" w:hAnsi="Times New Roman"/>
          <w:sz w:val="24"/>
          <w:szCs w:val="24"/>
        </w:rPr>
        <w:t xml:space="preserve">ítica, Lula declarava que ela teria </w:t>
      </w:r>
      <w:r w:rsidR="00543619" w:rsidRPr="00696A38">
        <w:rPr>
          <w:rFonts w:ascii="Times New Roman" w:hAnsi="Times New Roman"/>
          <w:sz w:val="24"/>
          <w:szCs w:val="24"/>
        </w:rPr>
        <w:t>que vir</w:t>
      </w:r>
      <w:r w:rsidR="00726DC2" w:rsidRPr="00696A38">
        <w:rPr>
          <w:rFonts w:ascii="Times New Roman" w:hAnsi="Times New Roman"/>
          <w:sz w:val="24"/>
          <w:szCs w:val="24"/>
        </w:rPr>
        <w:t xml:space="preserve"> d</w:t>
      </w:r>
      <w:r w:rsidR="00543619" w:rsidRPr="00696A38">
        <w:rPr>
          <w:rFonts w:ascii="Times New Roman" w:hAnsi="Times New Roman"/>
          <w:sz w:val="24"/>
          <w:szCs w:val="24"/>
        </w:rPr>
        <w:t>a</w:t>
      </w:r>
      <w:r w:rsidR="00726DC2" w:rsidRPr="00696A38">
        <w:rPr>
          <w:rFonts w:ascii="Times New Roman" w:hAnsi="Times New Roman"/>
          <w:sz w:val="24"/>
          <w:szCs w:val="24"/>
        </w:rPr>
        <w:t xml:space="preserve"> iniciativa do Congresso.</w:t>
      </w:r>
    </w:p>
    <w:p w:rsidR="00951B5F" w:rsidRPr="00696A38" w:rsidRDefault="00951B5F" w:rsidP="00844A45">
      <w:pPr>
        <w:spacing w:line="360" w:lineRule="auto"/>
        <w:ind w:firstLine="708"/>
        <w:jc w:val="both"/>
        <w:rPr>
          <w:rFonts w:ascii="Times New Roman" w:hAnsi="Times New Roman"/>
          <w:sz w:val="24"/>
          <w:szCs w:val="24"/>
        </w:rPr>
      </w:pPr>
      <w:r w:rsidRPr="00696A38">
        <w:rPr>
          <w:rFonts w:ascii="Times New Roman" w:hAnsi="Times New Roman"/>
          <w:sz w:val="24"/>
          <w:szCs w:val="24"/>
        </w:rPr>
        <w:t xml:space="preserve">Foi Tarso Genro, agora como Ministro da Justiça, na 23ª reunião plenária, em setembro de 2007, quem </w:t>
      </w:r>
      <w:r w:rsidR="00D87B10" w:rsidRPr="00696A38">
        <w:rPr>
          <w:rFonts w:ascii="Times New Roman" w:hAnsi="Times New Roman"/>
          <w:sz w:val="24"/>
          <w:szCs w:val="24"/>
        </w:rPr>
        <w:t>mais ressaltou a importância da AND e dos Enunciados na produção de políticas públicas. Disse ele:</w:t>
      </w:r>
    </w:p>
    <w:p w:rsidR="00D87B10" w:rsidRPr="00696A38" w:rsidRDefault="00D87B10" w:rsidP="00D87B10">
      <w:pPr>
        <w:spacing w:after="0" w:line="240" w:lineRule="auto"/>
        <w:ind w:left="2268"/>
        <w:jc w:val="both"/>
        <w:rPr>
          <w:rFonts w:ascii="Times New Roman" w:hAnsi="Times New Roman"/>
          <w:sz w:val="20"/>
          <w:szCs w:val="20"/>
        </w:rPr>
      </w:pPr>
      <w:r w:rsidRPr="00696A38">
        <w:rPr>
          <w:rFonts w:ascii="Times New Roman" w:hAnsi="Times New Roman"/>
          <w:sz w:val="20"/>
          <w:szCs w:val="20"/>
        </w:rPr>
        <w:t>E se nós vamos analisar os enunciados do Conselho, e vamos analisar os debates que nós fizemos aqui, os resultados dos Grupos de Trabalho, os Enunciados, a Agenda Nacional de Desenvolvimento, as propostas que saíram daqui, nós podemos bater no peito e ter um enorme orgulho de dizer que 80% dos Enunciados do Conselho de Desenvolvimento foram gradativamente emplacados pelo governo do Presidente Lula. Desde os investimentos massivos na infra-estrutura, à recomposição da nossa matriz energética; os investimentos pesados em habitação popular, a retomada do crescimento que nós falávamos aqui em 5% e tinham setores que queriam nos linchar lá fora. Hoje estamos pretendo chegar a 5,5%, 6%.</w:t>
      </w:r>
    </w:p>
    <w:p w:rsidR="00D87B10" w:rsidRPr="00696A38" w:rsidRDefault="00D87B10" w:rsidP="00D87B10">
      <w:pPr>
        <w:spacing w:after="0" w:line="240" w:lineRule="auto"/>
        <w:ind w:left="2268"/>
        <w:jc w:val="both"/>
        <w:rPr>
          <w:rFonts w:ascii="Times New Roman" w:hAnsi="Times New Roman"/>
          <w:sz w:val="20"/>
          <w:szCs w:val="20"/>
        </w:rPr>
      </w:pPr>
      <w:r w:rsidRPr="00696A38">
        <w:rPr>
          <w:rFonts w:ascii="Times New Roman" w:hAnsi="Times New Roman"/>
          <w:sz w:val="20"/>
          <w:szCs w:val="20"/>
        </w:rPr>
        <w:t>(...)</w:t>
      </w:r>
    </w:p>
    <w:p w:rsidR="00D87B10" w:rsidRPr="00696A38" w:rsidRDefault="00D87B10" w:rsidP="00D87B10">
      <w:pPr>
        <w:spacing w:line="240" w:lineRule="auto"/>
        <w:ind w:left="2268"/>
        <w:jc w:val="both"/>
        <w:rPr>
          <w:rFonts w:ascii="Times New Roman" w:hAnsi="Times New Roman"/>
          <w:sz w:val="20"/>
          <w:szCs w:val="20"/>
        </w:rPr>
      </w:pPr>
      <w:r w:rsidRPr="00696A38">
        <w:rPr>
          <w:rFonts w:ascii="Times New Roman" w:hAnsi="Times New Roman"/>
          <w:sz w:val="20"/>
          <w:szCs w:val="20"/>
        </w:rPr>
        <w:t>E vocês vão ver, mais uma vez, que a contribuição que saiu desse Conselho (...) aportaram uma enorme contribuição ao governo, não somente na questão da educação, do FUNDEB, da Reforma do Ensino Superior, do PROUNI, que foi debatido e discutido aqui, mas também em relação à segurança pública, que é uma questão chave para a formação de um Estado República, de uma vid</w:t>
      </w:r>
      <w:r w:rsidR="00726DC2" w:rsidRPr="00696A38">
        <w:rPr>
          <w:rFonts w:ascii="Times New Roman" w:hAnsi="Times New Roman"/>
          <w:sz w:val="20"/>
          <w:szCs w:val="20"/>
        </w:rPr>
        <w:t>a</w:t>
      </w:r>
      <w:r w:rsidRPr="00696A38">
        <w:rPr>
          <w:rFonts w:ascii="Times New Roman" w:hAnsi="Times New Roman"/>
          <w:sz w:val="20"/>
          <w:szCs w:val="20"/>
        </w:rPr>
        <w:t xml:space="preserve"> democrática para o nosso Pa</w:t>
      </w:r>
      <w:r w:rsidR="00726DC2" w:rsidRPr="00696A38">
        <w:rPr>
          <w:rFonts w:ascii="Times New Roman" w:hAnsi="Times New Roman"/>
          <w:sz w:val="20"/>
          <w:szCs w:val="20"/>
        </w:rPr>
        <w:t>ís (Ministro Tarso Genro, Ata da 23ª Reunião Plenária, 20/09/2007, p. 3-4).</w:t>
      </w:r>
    </w:p>
    <w:p w:rsidR="00927BCF" w:rsidRPr="00696A38" w:rsidRDefault="00726DC2" w:rsidP="00353A9B">
      <w:pPr>
        <w:spacing w:after="0" w:line="360" w:lineRule="auto"/>
        <w:ind w:firstLine="708"/>
        <w:jc w:val="both"/>
        <w:rPr>
          <w:rFonts w:ascii="Times New Roman" w:hAnsi="Times New Roman"/>
          <w:sz w:val="24"/>
          <w:szCs w:val="24"/>
        </w:rPr>
      </w:pPr>
      <w:r w:rsidRPr="00696A38">
        <w:rPr>
          <w:rFonts w:ascii="Times New Roman" w:hAnsi="Times New Roman"/>
          <w:sz w:val="24"/>
          <w:szCs w:val="24"/>
        </w:rPr>
        <w:t xml:space="preserve">Genro compareceu àquela reunião para expor </w:t>
      </w:r>
      <w:r w:rsidR="004F50B8" w:rsidRPr="00696A38">
        <w:rPr>
          <w:rFonts w:ascii="Times New Roman" w:hAnsi="Times New Roman"/>
          <w:sz w:val="24"/>
          <w:szCs w:val="24"/>
        </w:rPr>
        <w:t>em</w:t>
      </w:r>
      <w:r w:rsidRPr="00696A38">
        <w:rPr>
          <w:rFonts w:ascii="Times New Roman" w:hAnsi="Times New Roman"/>
          <w:sz w:val="24"/>
          <w:szCs w:val="24"/>
        </w:rPr>
        <w:t xml:space="preserve"> que consistia e as ações realizadas pelo Programa Nacional de Segurança Cidadã (PRONASCI). Segundo ele, os Enunciados do CDES “nortearam a elaboração do PRONASCI” (idem, p. 06),  sendo que alguns deles “foram transformados em programas dentro do PRONASCI” (idem).</w:t>
      </w:r>
      <w:r w:rsidR="004F50B8" w:rsidRPr="00696A38">
        <w:rPr>
          <w:rFonts w:ascii="Times New Roman" w:hAnsi="Times New Roman"/>
          <w:sz w:val="24"/>
          <w:szCs w:val="24"/>
        </w:rPr>
        <w:t xml:space="preserve"> O ministro se esforçava em trazer para plenária alguns Enunciados do CDES e, em seguida, comparava</w:t>
      </w:r>
      <w:r w:rsidR="004A38F1" w:rsidRPr="00696A38">
        <w:rPr>
          <w:rFonts w:ascii="Times New Roman" w:hAnsi="Times New Roman"/>
          <w:sz w:val="24"/>
          <w:szCs w:val="24"/>
        </w:rPr>
        <w:t>-os</w:t>
      </w:r>
      <w:r w:rsidR="004F50B8" w:rsidRPr="00696A38">
        <w:rPr>
          <w:rFonts w:ascii="Times New Roman" w:hAnsi="Times New Roman"/>
          <w:sz w:val="24"/>
          <w:szCs w:val="24"/>
        </w:rPr>
        <w:t xml:space="preserve"> com as ações promovidas pelo programa.  </w:t>
      </w:r>
    </w:p>
    <w:p w:rsidR="00353A9B" w:rsidRPr="00696A38" w:rsidRDefault="00353A9B" w:rsidP="00353A9B">
      <w:pPr>
        <w:spacing w:after="0" w:line="360" w:lineRule="auto"/>
        <w:ind w:firstLine="708"/>
        <w:jc w:val="both"/>
        <w:rPr>
          <w:rFonts w:ascii="Times New Roman" w:hAnsi="Times New Roman"/>
          <w:sz w:val="24"/>
          <w:szCs w:val="24"/>
        </w:rPr>
      </w:pPr>
      <w:r w:rsidRPr="00696A38">
        <w:rPr>
          <w:rFonts w:ascii="Times New Roman" w:hAnsi="Times New Roman"/>
          <w:sz w:val="24"/>
          <w:szCs w:val="24"/>
        </w:rPr>
        <w:t xml:space="preserve">De qualquer forma, é muito difícil mensurar, sem cair no </w:t>
      </w:r>
      <w:r w:rsidR="001730DC" w:rsidRPr="00696A38">
        <w:rPr>
          <w:rFonts w:ascii="Times New Roman" w:hAnsi="Times New Roman"/>
          <w:sz w:val="24"/>
          <w:szCs w:val="24"/>
        </w:rPr>
        <w:t>lugar de</w:t>
      </w:r>
      <w:r w:rsidRPr="00696A38">
        <w:rPr>
          <w:rFonts w:ascii="Times New Roman" w:hAnsi="Times New Roman"/>
          <w:sz w:val="24"/>
          <w:szCs w:val="24"/>
        </w:rPr>
        <w:t xml:space="preserve"> legitimador do Conselho por quem o organizou desde o início, a efetividade da AND e dos Enunciados como requisitos de implantação de políticas públicas. O que nos cabe aqui é, a partir dos dados coletados e organizados, saber quais ou </w:t>
      </w:r>
      <w:r w:rsidR="001730DC" w:rsidRPr="00696A38">
        <w:rPr>
          <w:rFonts w:ascii="Times New Roman" w:hAnsi="Times New Roman"/>
          <w:sz w:val="24"/>
          <w:szCs w:val="24"/>
        </w:rPr>
        <w:t xml:space="preserve">quantas </w:t>
      </w:r>
      <w:r w:rsidRPr="00696A38">
        <w:rPr>
          <w:rFonts w:ascii="Times New Roman" w:hAnsi="Times New Roman"/>
          <w:sz w:val="24"/>
          <w:szCs w:val="24"/>
        </w:rPr>
        <w:t>propostas estavam vinculados aos interesses empresariais, às reivindicações de setores “distributivistas” ou a ambos, tendo em vista a interlocução programática dos segmentos que se alocavam no CDES.</w:t>
      </w:r>
    </w:p>
    <w:p w:rsidR="006B333A" w:rsidRPr="00696A38" w:rsidRDefault="00353A9B" w:rsidP="006B333A">
      <w:pPr>
        <w:spacing w:after="0" w:line="360" w:lineRule="auto"/>
        <w:ind w:firstLine="708"/>
        <w:jc w:val="both"/>
        <w:rPr>
          <w:rFonts w:ascii="Times New Roman" w:hAnsi="Times New Roman"/>
          <w:sz w:val="24"/>
          <w:szCs w:val="24"/>
        </w:rPr>
      </w:pPr>
      <w:r w:rsidRPr="00696A38">
        <w:rPr>
          <w:rFonts w:ascii="Times New Roman" w:hAnsi="Times New Roman"/>
          <w:sz w:val="24"/>
          <w:szCs w:val="24"/>
        </w:rPr>
        <w:t>Como dissemos, os Enunciados deriva</w:t>
      </w:r>
      <w:r w:rsidR="004A38F1" w:rsidRPr="00696A38">
        <w:rPr>
          <w:rFonts w:ascii="Times New Roman" w:hAnsi="Times New Roman"/>
          <w:sz w:val="24"/>
          <w:szCs w:val="24"/>
        </w:rPr>
        <w:t>ra</w:t>
      </w:r>
      <w:r w:rsidRPr="00696A38">
        <w:rPr>
          <w:rFonts w:ascii="Times New Roman" w:hAnsi="Times New Roman"/>
          <w:sz w:val="24"/>
          <w:szCs w:val="24"/>
        </w:rPr>
        <w:t>m da AND</w:t>
      </w:r>
      <w:r w:rsidR="004958D5" w:rsidRPr="00696A38">
        <w:rPr>
          <w:rFonts w:ascii="Times New Roman" w:hAnsi="Times New Roman"/>
          <w:sz w:val="24"/>
          <w:szCs w:val="24"/>
        </w:rPr>
        <w:t xml:space="preserve">, isto é, a FGV-RJ e os conselheiros compuseram um conjunto de metas e objetivos a serem alcançados a partir dos Objetivos e Diretrizes Estratégicas expostas na AND. Já afirmamos que </w:t>
      </w:r>
      <w:r w:rsidR="001730DC" w:rsidRPr="00696A38">
        <w:rPr>
          <w:rFonts w:ascii="Times New Roman" w:hAnsi="Times New Roman"/>
          <w:sz w:val="24"/>
          <w:szCs w:val="24"/>
        </w:rPr>
        <w:t>n</w:t>
      </w:r>
      <w:r w:rsidR="004958D5" w:rsidRPr="00696A38">
        <w:rPr>
          <w:rFonts w:ascii="Times New Roman" w:hAnsi="Times New Roman"/>
          <w:sz w:val="24"/>
          <w:szCs w:val="24"/>
        </w:rPr>
        <w:t>a Agenda</w:t>
      </w:r>
      <w:r w:rsidR="008C384D">
        <w:rPr>
          <w:rFonts w:ascii="Times New Roman" w:hAnsi="Times New Roman"/>
          <w:sz w:val="24"/>
          <w:szCs w:val="24"/>
        </w:rPr>
        <w:t xml:space="preserve"> predominaram</w:t>
      </w:r>
      <w:r w:rsidR="001730DC" w:rsidRPr="00696A38">
        <w:rPr>
          <w:rFonts w:ascii="Times New Roman" w:hAnsi="Times New Roman"/>
          <w:sz w:val="24"/>
          <w:szCs w:val="24"/>
        </w:rPr>
        <w:t xml:space="preserve"> as pautas oriundas das entidades patronais </w:t>
      </w:r>
      <w:r w:rsidR="003F701B" w:rsidRPr="00696A38">
        <w:rPr>
          <w:rFonts w:ascii="Times New Roman" w:hAnsi="Times New Roman"/>
          <w:sz w:val="24"/>
          <w:szCs w:val="24"/>
        </w:rPr>
        <w:t xml:space="preserve">cujas atividades setoriais estavam </w:t>
      </w:r>
      <w:r w:rsidR="001730DC" w:rsidRPr="00696A38">
        <w:rPr>
          <w:rFonts w:ascii="Times New Roman" w:hAnsi="Times New Roman"/>
          <w:sz w:val="24"/>
          <w:szCs w:val="24"/>
        </w:rPr>
        <w:t>diretamente vinculadas ao capital produtor de valor.</w:t>
      </w:r>
      <w:r w:rsidR="003F701B" w:rsidRPr="00696A38">
        <w:rPr>
          <w:rFonts w:ascii="Times New Roman" w:hAnsi="Times New Roman"/>
          <w:sz w:val="24"/>
          <w:szCs w:val="24"/>
        </w:rPr>
        <w:t>Não seria necessário muito esforço analítico para inferir que os Enunciados corrobora</w:t>
      </w:r>
      <w:r w:rsidR="006B333A" w:rsidRPr="00696A38">
        <w:rPr>
          <w:rFonts w:ascii="Times New Roman" w:hAnsi="Times New Roman"/>
          <w:sz w:val="24"/>
          <w:szCs w:val="24"/>
        </w:rPr>
        <w:t>ra</w:t>
      </w:r>
      <w:r w:rsidR="003F701B" w:rsidRPr="00696A38">
        <w:rPr>
          <w:rFonts w:ascii="Times New Roman" w:hAnsi="Times New Roman"/>
          <w:sz w:val="24"/>
          <w:szCs w:val="24"/>
        </w:rPr>
        <w:t xml:space="preserve">m com as orientações gerais da AND e que, portanto, o espaço relativo ao atendimento das reivindicações oriundas dos setores populares </w:t>
      </w:r>
      <w:r w:rsidR="00FB75F5">
        <w:rPr>
          <w:rFonts w:ascii="Times New Roman" w:hAnsi="Times New Roman"/>
          <w:sz w:val="24"/>
          <w:szCs w:val="24"/>
        </w:rPr>
        <w:t>foi</w:t>
      </w:r>
      <w:r w:rsidR="003F701B" w:rsidRPr="00696A38">
        <w:rPr>
          <w:rFonts w:ascii="Times New Roman" w:hAnsi="Times New Roman"/>
          <w:sz w:val="24"/>
          <w:szCs w:val="24"/>
        </w:rPr>
        <w:t xml:space="preserve"> mínimo. Porém, se atentarmos para as possibilidades de combinações de enunciados que provavelmente atendam as aspirações distributivas (“sensibilidade petista”) e as demandas empresariais, o número de enunciados se eleva. </w:t>
      </w:r>
      <w:r w:rsidR="00E86A0D" w:rsidRPr="00696A38">
        <w:rPr>
          <w:rFonts w:ascii="Times New Roman" w:hAnsi="Times New Roman"/>
          <w:sz w:val="24"/>
          <w:szCs w:val="24"/>
        </w:rPr>
        <w:t xml:space="preserve">De novo, a hegemonia pressupõe concessões. </w:t>
      </w:r>
    </w:p>
    <w:p w:rsidR="00353A9B" w:rsidRDefault="00E86A0D" w:rsidP="00684F8A">
      <w:pPr>
        <w:spacing w:line="360" w:lineRule="auto"/>
        <w:ind w:firstLine="708"/>
        <w:jc w:val="both"/>
        <w:rPr>
          <w:rFonts w:ascii="Times New Roman" w:hAnsi="Times New Roman"/>
          <w:color w:val="FF0000"/>
          <w:sz w:val="24"/>
          <w:szCs w:val="24"/>
        </w:rPr>
      </w:pPr>
      <w:r w:rsidRPr="00696A38">
        <w:rPr>
          <w:rFonts w:ascii="Times New Roman" w:hAnsi="Times New Roman"/>
          <w:sz w:val="24"/>
          <w:szCs w:val="24"/>
        </w:rPr>
        <w:t>Entretanto, é</w:t>
      </w:r>
      <w:r w:rsidR="003F701B" w:rsidRPr="00696A38">
        <w:rPr>
          <w:rFonts w:ascii="Times New Roman" w:hAnsi="Times New Roman"/>
          <w:sz w:val="24"/>
          <w:szCs w:val="24"/>
        </w:rPr>
        <w:t xml:space="preserve"> mister reconhecer, de fato, a preponderância de enunciados que apenas ou tão-somente se vincula</w:t>
      </w:r>
      <w:r w:rsidR="00A62A89" w:rsidRPr="00696A38">
        <w:rPr>
          <w:rFonts w:ascii="Times New Roman" w:hAnsi="Times New Roman"/>
          <w:sz w:val="24"/>
          <w:szCs w:val="24"/>
        </w:rPr>
        <w:t>va</w:t>
      </w:r>
      <w:r w:rsidR="003F701B" w:rsidRPr="00696A38">
        <w:rPr>
          <w:rFonts w:ascii="Times New Roman" w:hAnsi="Times New Roman"/>
          <w:sz w:val="24"/>
          <w:szCs w:val="24"/>
        </w:rPr>
        <w:t xml:space="preserve">m às prerrogativas do grande capital. </w:t>
      </w:r>
      <w:r w:rsidR="008A5F17" w:rsidRPr="00696A38">
        <w:rPr>
          <w:rFonts w:ascii="Times New Roman" w:hAnsi="Times New Roman"/>
          <w:sz w:val="24"/>
          <w:szCs w:val="24"/>
        </w:rPr>
        <w:t>Desta maneira,</w:t>
      </w:r>
      <w:r w:rsidR="003F701B" w:rsidRPr="00696A38">
        <w:rPr>
          <w:rFonts w:ascii="Times New Roman" w:hAnsi="Times New Roman"/>
          <w:sz w:val="24"/>
          <w:szCs w:val="24"/>
        </w:rPr>
        <w:t xml:space="preserve"> torna-se bastante complicado classificar este ou aquele enunciado como desviante do atendimento ao grande capital</w:t>
      </w:r>
      <w:r w:rsidRPr="00696A38">
        <w:rPr>
          <w:rFonts w:ascii="Times New Roman" w:hAnsi="Times New Roman"/>
          <w:sz w:val="24"/>
          <w:szCs w:val="24"/>
        </w:rPr>
        <w:t xml:space="preserve">, mesmo àqueles que, </w:t>
      </w:r>
      <w:r w:rsidR="008A5F17" w:rsidRPr="00696A38">
        <w:rPr>
          <w:rFonts w:ascii="Times New Roman" w:hAnsi="Times New Roman"/>
          <w:sz w:val="24"/>
          <w:szCs w:val="24"/>
        </w:rPr>
        <w:t xml:space="preserve">por </w:t>
      </w:r>
      <w:r w:rsidR="00A62A89" w:rsidRPr="00696A38">
        <w:rPr>
          <w:rFonts w:ascii="Times New Roman" w:hAnsi="Times New Roman"/>
          <w:sz w:val="24"/>
          <w:szCs w:val="24"/>
        </w:rPr>
        <w:t>filiação</w:t>
      </w:r>
      <w:r w:rsidR="008A5F17" w:rsidRPr="00696A38">
        <w:rPr>
          <w:rFonts w:ascii="Times New Roman" w:hAnsi="Times New Roman"/>
          <w:sz w:val="24"/>
          <w:szCs w:val="24"/>
        </w:rPr>
        <w:t xml:space="preserve"> histórica</w:t>
      </w:r>
      <w:r w:rsidRPr="00696A38">
        <w:rPr>
          <w:rFonts w:ascii="Times New Roman" w:hAnsi="Times New Roman"/>
          <w:sz w:val="24"/>
          <w:szCs w:val="24"/>
        </w:rPr>
        <w:t>, p</w:t>
      </w:r>
      <w:r w:rsidR="008C384D">
        <w:rPr>
          <w:rFonts w:ascii="Times New Roman" w:hAnsi="Times New Roman"/>
          <w:sz w:val="24"/>
          <w:szCs w:val="24"/>
        </w:rPr>
        <w:t>o</w:t>
      </w:r>
      <w:r w:rsidR="00A62A89" w:rsidRPr="00696A38">
        <w:rPr>
          <w:rFonts w:ascii="Times New Roman" w:hAnsi="Times New Roman"/>
          <w:sz w:val="24"/>
          <w:szCs w:val="24"/>
        </w:rPr>
        <w:t>de</w:t>
      </w:r>
      <w:r w:rsidR="006B333A" w:rsidRPr="00696A38">
        <w:rPr>
          <w:rFonts w:ascii="Times New Roman" w:hAnsi="Times New Roman"/>
          <w:sz w:val="24"/>
          <w:szCs w:val="24"/>
        </w:rPr>
        <w:t>riam</w:t>
      </w:r>
      <w:r w:rsidRPr="00696A38">
        <w:rPr>
          <w:rFonts w:ascii="Times New Roman" w:hAnsi="Times New Roman"/>
          <w:sz w:val="24"/>
          <w:szCs w:val="24"/>
        </w:rPr>
        <w:t>estar mais próximos das reivindicações do campo popular (educação, saneamento básico, valorização do salário mínimo, aperfeiçoamento do SUS, equacionar déficit habitacional, reforma agrária, dentre outros)</w:t>
      </w:r>
      <w:r w:rsidR="00A62A89" w:rsidRPr="00696A38">
        <w:rPr>
          <w:rFonts w:ascii="Times New Roman" w:hAnsi="Times New Roman"/>
          <w:sz w:val="24"/>
          <w:szCs w:val="24"/>
        </w:rPr>
        <w:t>tendo em vista que</w:t>
      </w:r>
      <w:r w:rsidR="003F701B" w:rsidRPr="00696A38">
        <w:rPr>
          <w:rFonts w:ascii="Times New Roman" w:hAnsi="Times New Roman"/>
          <w:sz w:val="24"/>
          <w:szCs w:val="24"/>
        </w:rPr>
        <w:t xml:space="preserve">, no CDES, a questão do </w:t>
      </w:r>
      <w:r w:rsidRPr="00696A38">
        <w:rPr>
          <w:rFonts w:ascii="Times New Roman" w:hAnsi="Times New Roman"/>
          <w:sz w:val="24"/>
          <w:szCs w:val="24"/>
        </w:rPr>
        <w:t>“</w:t>
      </w:r>
      <w:r w:rsidR="003F701B" w:rsidRPr="00696A38">
        <w:rPr>
          <w:rFonts w:ascii="Times New Roman" w:hAnsi="Times New Roman"/>
          <w:sz w:val="24"/>
          <w:szCs w:val="24"/>
        </w:rPr>
        <w:t xml:space="preserve">desenvolvimento </w:t>
      </w:r>
      <w:r w:rsidRPr="00696A38">
        <w:rPr>
          <w:rFonts w:ascii="Times New Roman" w:hAnsi="Times New Roman"/>
          <w:sz w:val="24"/>
          <w:szCs w:val="24"/>
        </w:rPr>
        <w:t xml:space="preserve">com equidade” </w:t>
      </w:r>
      <w:r w:rsidR="00A62A89" w:rsidRPr="00696A38">
        <w:rPr>
          <w:rFonts w:ascii="Times New Roman" w:hAnsi="Times New Roman"/>
          <w:sz w:val="24"/>
          <w:szCs w:val="24"/>
        </w:rPr>
        <w:t>foi pensada, debatida e</w:t>
      </w:r>
      <w:r w:rsidRPr="00696A38">
        <w:rPr>
          <w:rFonts w:ascii="Times New Roman" w:hAnsi="Times New Roman"/>
          <w:sz w:val="24"/>
          <w:szCs w:val="24"/>
        </w:rPr>
        <w:t xml:space="preserve">programaticamente “concertada” </w:t>
      </w:r>
      <w:r w:rsidR="003F701B" w:rsidRPr="00696A38">
        <w:rPr>
          <w:rFonts w:ascii="Times New Roman" w:hAnsi="Times New Roman"/>
          <w:sz w:val="24"/>
          <w:szCs w:val="24"/>
        </w:rPr>
        <w:t xml:space="preserve">a partir </w:t>
      </w:r>
      <w:r w:rsidRPr="00696A38">
        <w:rPr>
          <w:rFonts w:ascii="Times New Roman" w:hAnsi="Times New Roman"/>
          <w:sz w:val="24"/>
          <w:szCs w:val="24"/>
        </w:rPr>
        <w:t>de uma lógica imperativa do capital</w:t>
      </w:r>
      <w:r w:rsidR="003A59D3" w:rsidRPr="00696A38">
        <w:rPr>
          <w:rFonts w:ascii="Times New Roman" w:hAnsi="Times New Roman"/>
          <w:sz w:val="24"/>
          <w:szCs w:val="24"/>
        </w:rPr>
        <w:t xml:space="preserve">. </w:t>
      </w:r>
      <w:r w:rsidR="00A62A89" w:rsidRPr="00696A38">
        <w:rPr>
          <w:rFonts w:ascii="Times New Roman" w:hAnsi="Times New Roman"/>
          <w:sz w:val="24"/>
          <w:szCs w:val="24"/>
        </w:rPr>
        <w:t>“</w:t>
      </w:r>
      <w:r w:rsidR="003A59D3" w:rsidRPr="00696A38">
        <w:rPr>
          <w:rFonts w:ascii="Times New Roman" w:hAnsi="Times New Roman"/>
          <w:sz w:val="24"/>
          <w:szCs w:val="24"/>
        </w:rPr>
        <w:t>I</w:t>
      </w:r>
      <w:r w:rsidR="00A62A89" w:rsidRPr="00696A38">
        <w:rPr>
          <w:rFonts w:ascii="Times New Roman" w:hAnsi="Times New Roman"/>
          <w:sz w:val="24"/>
          <w:szCs w:val="24"/>
        </w:rPr>
        <w:t>mperativ</w:t>
      </w:r>
      <w:r w:rsidR="009E7A73">
        <w:rPr>
          <w:rFonts w:ascii="Times New Roman" w:hAnsi="Times New Roman"/>
          <w:sz w:val="24"/>
          <w:szCs w:val="24"/>
        </w:rPr>
        <w:t>a</w:t>
      </w:r>
      <w:r w:rsidR="00A62A89" w:rsidRPr="00696A38">
        <w:rPr>
          <w:rFonts w:ascii="Times New Roman" w:hAnsi="Times New Roman"/>
          <w:sz w:val="24"/>
          <w:szCs w:val="24"/>
        </w:rPr>
        <w:t xml:space="preserve">” não se traduz em autocracia, mas às </w:t>
      </w:r>
      <w:r w:rsidR="00A62A89" w:rsidRPr="00696A38">
        <w:rPr>
          <w:rFonts w:ascii="Times New Roman" w:hAnsi="Times New Roman"/>
          <w:i/>
          <w:sz w:val="24"/>
          <w:szCs w:val="24"/>
        </w:rPr>
        <w:t>exigências</w:t>
      </w:r>
      <w:r w:rsidR="003A59D3" w:rsidRPr="00696A38">
        <w:rPr>
          <w:rFonts w:ascii="Times New Roman" w:hAnsi="Times New Roman"/>
          <w:i/>
          <w:sz w:val="24"/>
          <w:szCs w:val="24"/>
        </w:rPr>
        <w:t xml:space="preserve"> inelimináveise impostergáveis </w:t>
      </w:r>
      <w:r w:rsidR="00A62A89" w:rsidRPr="00696A38">
        <w:rPr>
          <w:rFonts w:ascii="Times New Roman" w:hAnsi="Times New Roman"/>
          <w:sz w:val="24"/>
          <w:szCs w:val="24"/>
        </w:rPr>
        <w:t xml:space="preserve">de ampliação e aprofundamento da reprodução das relações sociais capitalistas e </w:t>
      </w:r>
      <w:r w:rsidR="003A59D3" w:rsidRPr="00696A38">
        <w:rPr>
          <w:rFonts w:ascii="Times New Roman" w:hAnsi="Times New Roman"/>
          <w:sz w:val="24"/>
          <w:szCs w:val="24"/>
        </w:rPr>
        <w:t xml:space="preserve">de </w:t>
      </w:r>
      <w:r w:rsidR="00A62A89" w:rsidRPr="00696A38">
        <w:rPr>
          <w:rFonts w:ascii="Times New Roman" w:hAnsi="Times New Roman"/>
          <w:sz w:val="24"/>
          <w:szCs w:val="24"/>
        </w:rPr>
        <w:t xml:space="preserve">mercantilização da vida social, sob a cimentação </w:t>
      </w:r>
      <w:r w:rsidR="003A59D3" w:rsidRPr="00696A38">
        <w:rPr>
          <w:rFonts w:ascii="Times New Roman" w:hAnsi="Times New Roman"/>
          <w:sz w:val="24"/>
          <w:szCs w:val="24"/>
        </w:rPr>
        <w:t>de um p</w:t>
      </w:r>
      <w:r w:rsidR="00645741" w:rsidRPr="00696A38">
        <w:rPr>
          <w:rFonts w:ascii="Times New Roman" w:hAnsi="Times New Roman"/>
          <w:sz w:val="24"/>
          <w:szCs w:val="24"/>
        </w:rPr>
        <w:t>rojeto onde as burguesias possuía</w:t>
      </w:r>
      <w:r w:rsidR="006B333A" w:rsidRPr="00696A38">
        <w:rPr>
          <w:rFonts w:ascii="Times New Roman" w:hAnsi="Times New Roman"/>
          <w:sz w:val="24"/>
          <w:szCs w:val="24"/>
        </w:rPr>
        <w:t xml:space="preserve">m um peso forte, </w:t>
      </w:r>
      <w:r w:rsidR="006B333A" w:rsidRPr="00696A38">
        <w:rPr>
          <w:rFonts w:ascii="Times New Roman" w:hAnsi="Times New Roman"/>
          <w:i/>
          <w:sz w:val="24"/>
          <w:szCs w:val="24"/>
        </w:rPr>
        <w:t>mas obviamente não podiam conduzi-lo com exasperação</w:t>
      </w:r>
      <w:r w:rsidR="006B333A" w:rsidRPr="00696A38">
        <w:rPr>
          <w:rFonts w:ascii="Times New Roman" w:hAnsi="Times New Roman"/>
          <w:sz w:val="24"/>
          <w:szCs w:val="24"/>
        </w:rPr>
        <w:t xml:space="preserve">, isto é, </w:t>
      </w:r>
      <w:r w:rsidR="00190EDD" w:rsidRPr="00696A38">
        <w:rPr>
          <w:rFonts w:ascii="Times New Roman" w:hAnsi="Times New Roman"/>
          <w:sz w:val="24"/>
          <w:szCs w:val="24"/>
        </w:rPr>
        <w:t xml:space="preserve">não podiam </w:t>
      </w:r>
      <w:r w:rsidR="003A59D3" w:rsidRPr="00696A38">
        <w:rPr>
          <w:rFonts w:ascii="Times New Roman" w:hAnsi="Times New Roman"/>
          <w:sz w:val="24"/>
          <w:szCs w:val="24"/>
        </w:rPr>
        <w:t xml:space="preserve">solicitar </w:t>
      </w:r>
      <w:r w:rsidR="00645741" w:rsidRPr="00696A38">
        <w:rPr>
          <w:rFonts w:ascii="Times New Roman" w:hAnsi="Times New Roman"/>
          <w:sz w:val="24"/>
          <w:szCs w:val="24"/>
        </w:rPr>
        <w:t>um domínio exclusivo</w:t>
      </w:r>
      <w:r w:rsidR="003A59D3" w:rsidRPr="00696A38">
        <w:rPr>
          <w:rFonts w:ascii="Times New Roman" w:hAnsi="Times New Roman"/>
          <w:sz w:val="24"/>
          <w:szCs w:val="24"/>
        </w:rPr>
        <w:t>.</w:t>
      </w:r>
    </w:p>
    <w:p w:rsidR="008938AD" w:rsidRPr="00BE1119" w:rsidRDefault="00AA63B1" w:rsidP="00F957AD">
      <w:pPr>
        <w:spacing w:line="360" w:lineRule="auto"/>
        <w:ind w:firstLine="708"/>
        <w:jc w:val="both"/>
        <w:rPr>
          <w:rFonts w:ascii="Times New Roman" w:hAnsi="Times New Roman"/>
          <w:b/>
          <w:color w:val="262626"/>
          <w:sz w:val="24"/>
          <w:szCs w:val="24"/>
        </w:rPr>
      </w:pPr>
      <w:r>
        <w:rPr>
          <w:rFonts w:ascii="Times New Roman" w:hAnsi="Times New Roman"/>
          <w:b/>
          <w:color w:val="262626"/>
          <w:sz w:val="24"/>
          <w:szCs w:val="24"/>
        </w:rPr>
        <w:t>3</w:t>
      </w:r>
      <w:r w:rsidR="00752C15">
        <w:rPr>
          <w:rFonts w:ascii="Times New Roman" w:hAnsi="Times New Roman"/>
          <w:b/>
          <w:color w:val="262626"/>
          <w:sz w:val="24"/>
          <w:szCs w:val="24"/>
        </w:rPr>
        <w:t>.7 – Conclusão</w:t>
      </w:r>
    </w:p>
    <w:p w:rsidR="008938AD" w:rsidRDefault="008938AD" w:rsidP="008938AD">
      <w:pPr>
        <w:autoSpaceDE w:val="0"/>
        <w:autoSpaceDN w:val="0"/>
        <w:adjustRightInd w:val="0"/>
        <w:spacing w:after="0" w:line="360" w:lineRule="auto"/>
        <w:jc w:val="both"/>
        <w:rPr>
          <w:rFonts w:ascii="Times New Roman" w:hAnsi="Times New Roman"/>
          <w:color w:val="262626"/>
          <w:sz w:val="24"/>
          <w:szCs w:val="24"/>
        </w:rPr>
      </w:pPr>
      <w:r>
        <w:rPr>
          <w:rFonts w:ascii="Times New Roman" w:hAnsi="Times New Roman"/>
          <w:color w:val="262626"/>
          <w:sz w:val="24"/>
          <w:szCs w:val="24"/>
        </w:rPr>
        <w:tab/>
        <w:t xml:space="preserve"> A hipótese utilizada neste capitulo, aludida sumariamente no capítulo 2, foi a de que o conteúdo programático do CDES, em especial no que tange à maneira dispensada à questão da “equidade”, buscava se credenciar com aquilo se convencionou intitular como </w:t>
      </w:r>
      <w:r w:rsidRPr="00447E2F">
        <w:rPr>
          <w:rFonts w:ascii="Times New Roman" w:hAnsi="Times New Roman"/>
          <w:i/>
          <w:color w:val="262626"/>
          <w:sz w:val="24"/>
          <w:szCs w:val="24"/>
        </w:rPr>
        <w:t>proposta social-liberal</w:t>
      </w:r>
      <w:r>
        <w:rPr>
          <w:rFonts w:ascii="Times New Roman" w:hAnsi="Times New Roman"/>
          <w:color w:val="262626"/>
          <w:sz w:val="24"/>
          <w:szCs w:val="24"/>
        </w:rPr>
        <w:t>. No âmbito da AND, contudo, uma gama de proposições e encaminhamentos para o desenvolvimento do capitalismo no Brasil foi posta em evidência, não como produto da manifestação individual ou de um grupo restrito de conselheiros, mas emanado do Conselho enquanto intelectual coletivo e, portanto, como resultado de diretrizes resolutivas debatidas, produzidas, aceitas e assumidas pelo conjunto dos que as elaborou.</w:t>
      </w:r>
    </w:p>
    <w:p w:rsidR="008938AD" w:rsidRDefault="008938AD" w:rsidP="008938AD">
      <w:pPr>
        <w:autoSpaceDE w:val="0"/>
        <w:autoSpaceDN w:val="0"/>
        <w:adjustRightInd w:val="0"/>
        <w:spacing w:after="0" w:line="360" w:lineRule="auto"/>
        <w:jc w:val="both"/>
        <w:rPr>
          <w:rFonts w:ascii="Times New Roman" w:hAnsi="Times New Roman"/>
          <w:color w:val="262626"/>
          <w:sz w:val="24"/>
          <w:szCs w:val="24"/>
        </w:rPr>
      </w:pPr>
      <w:r>
        <w:rPr>
          <w:rFonts w:ascii="Times New Roman" w:hAnsi="Times New Roman"/>
          <w:color w:val="262626"/>
          <w:sz w:val="24"/>
          <w:szCs w:val="24"/>
        </w:rPr>
        <w:tab/>
        <w:t xml:space="preserve"> A afirmação de que o CDES deliberava como ator coletivo pode ser encarado, no âmbito mais imediato e concreto, como uma constatação de sua função institucional e normativa-legal.  Não é disso </w:t>
      </w:r>
      <w:r w:rsidR="00F200D3">
        <w:rPr>
          <w:rFonts w:ascii="Times New Roman" w:hAnsi="Times New Roman"/>
          <w:color w:val="262626"/>
          <w:sz w:val="24"/>
          <w:szCs w:val="24"/>
        </w:rPr>
        <w:t xml:space="preserve">de </w:t>
      </w:r>
      <w:r>
        <w:rPr>
          <w:rFonts w:ascii="Times New Roman" w:hAnsi="Times New Roman"/>
          <w:color w:val="262626"/>
          <w:sz w:val="24"/>
          <w:szCs w:val="24"/>
        </w:rPr>
        <w:t xml:space="preserve">que se trata, neste momento. Como intelectual coletivo, o CDES precisava elaborar indicações, propostas e acordos calcados em uma </w:t>
      </w:r>
      <w:r w:rsidRPr="00D03242">
        <w:rPr>
          <w:rFonts w:ascii="Times New Roman" w:hAnsi="Times New Roman"/>
          <w:i/>
          <w:color w:val="262626"/>
          <w:sz w:val="24"/>
          <w:szCs w:val="24"/>
        </w:rPr>
        <w:t>vontade política coletiva sob uma direção hegemônica</w:t>
      </w:r>
      <w:r>
        <w:rPr>
          <w:rFonts w:ascii="Times New Roman" w:hAnsi="Times New Roman"/>
          <w:color w:val="262626"/>
          <w:sz w:val="24"/>
          <w:szCs w:val="24"/>
        </w:rPr>
        <w:t xml:space="preserve"> e não como resultado de um somatório de vontades individuais e de forma caótica, desordenada, desarticulada. Era a expressão da construção ativa da busca da produção de uma “vontade coletiva”, derivada não de seu caráter “popular”, mas de seu conteúdo e direção claramente empresarial, como força imaterial em potencial (tanto hegemônica, isto é, de convencimento ativo, quanto também um dos locais mais importantes da expressão do dissenso controlado), porque promotora da constituição de um pretendido bloco social ainda em consolidação, abrigando grupos e segmentos sociais diversos.</w:t>
      </w:r>
    </w:p>
    <w:p w:rsidR="008C384D" w:rsidRDefault="008938AD" w:rsidP="008C384D">
      <w:pPr>
        <w:autoSpaceDE w:val="0"/>
        <w:autoSpaceDN w:val="0"/>
        <w:adjustRightInd w:val="0"/>
        <w:spacing w:after="0" w:line="360" w:lineRule="auto"/>
        <w:ind w:firstLine="708"/>
        <w:jc w:val="both"/>
        <w:rPr>
          <w:rFonts w:ascii="Times New Roman" w:hAnsi="Times New Roman"/>
          <w:color w:val="262626"/>
          <w:sz w:val="24"/>
          <w:szCs w:val="24"/>
        </w:rPr>
      </w:pPr>
      <w:r>
        <w:rPr>
          <w:rFonts w:ascii="Times New Roman" w:hAnsi="Times New Roman"/>
          <w:color w:val="262626"/>
          <w:sz w:val="24"/>
          <w:szCs w:val="24"/>
        </w:rPr>
        <w:t xml:space="preserve">Uma das peculiaridades do CDES, como aparato de hegemonia, ao lado de muitos outros, se expressava pela dimensão da conexão orgânica do mundo da produção, circulação e expansão do valor com o mundo da produção, organização e circulação das ideias políticas e econômicas dominantes por meio da </w:t>
      </w:r>
      <w:r>
        <w:rPr>
          <w:rFonts w:ascii="Times New Roman" w:hAnsi="Times New Roman"/>
          <w:i/>
          <w:color w:val="262626"/>
          <w:sz w:val="24"/>
          <w:szCs w:val="24"/>
        </w:rPr>
        <w:t xml:space="preserve">mediação </w:t>
      </w:r>
      <w:r>
        <w:rPr>
          <w:rFonts w:ascii="Times New Roman" w:hAnsi="Times New Roman"/>
          <w:color w:val="262626"/>
          <w:sz w:val="24"/>
          <w:szCs w:val="24"/>
        </w:rPr>
        <w:t xml:space="preserve">dos aparelhos privados de hegemonia da sociedade civil das frações burguesas, sobretudo. </w:t>
      </w:r>
    </w:p>
    <w:p w:rsidR="008938AD" w:rsidRDefault="008938AD" w:rsidP="008938AD">
      <w:pPr>
        <w:autoSpaceDE w:val="0"/>
        <w:autoSpaceDN w:val="0"/>
        <w:adjustRightInd w:val="0"/>
        <w:spacing w:line="360" w:lineRule="auto"/>
        <w:ind w:firstLine="708"/>
        <w:jc w:val="both"/>
        <w:rPr>
          <w:rFonts w:ascii="Times New Roman" w:hAnsi="Times New Roman"/>
          <w:color w:val="262626"/>
          <w:sz w:val="24"/>
          <w:szCs w:val="24"/>
        </w:rPr>
      </w:pPr>
      <w:r>
        <w:rPr>
          <w:rFonts w:ascii="Times New Roman" w:hAnsi="Times New Roman"/>
          <w:color w:val="262626"/>
          <w:sz w:val="24"/>
          <w:szCs w:val="24"/>
        </w:rPr>
        <w:t xml:space="preserve">Nesse caso, eram os proprietários de meios de produção – ou seus prepostos – operando simultaneamente na estrutura econômica e na superestrutura política e ideológica: eram intelectuais orgânicos </w:t>
      </w:r>
      <w:r>
        <w:rPr>
          <w:rFonts w:ascii="Times New Roman" w:hAnsi="Times New Roman"/>
          <w:i/>
          <w:color w:val="262626"/>
          <w:sz w:val="24"/>
          <w:szCs w:val="24"/>
        </w:rPr>
        <w:t>par excellence.</w:t>
      </w:r>
      <w:r>
        <w:rPr>
          <w:rFonts w:ascii="Times New Roman" w:hAnsi="Times New Roman"/>
          <w:color w:val="262626"/>
          <w:sz w:val="24"/>
          <w:szCs w:val="24"/>
        </w:rPr>
        <w:t xml:space="preserve"> Complementarmente, havia a preciosa </w:t>
      </w:r>
      <w:r w:rsidRPr="006E31AE">
        <w:rPr>
          <w:rFonts w:ascii="Times New Roman" w:hAnsi="Times New Roman"/>
          <w:color w:val="262626"/>
          <w:sz w:val="24"/>
          <w:szCs w:val="24"/>
        </w:rPr>
        <w:t>contribuição</w:t>
      </w:r>
      <w:r>
        <w:rPr>
          <w:rFonts w:ascii="Times New Roman" w:hAnsi="Times New Roman"/>
          <w:color w:val="262626"/>
          <w:sz w:val="24"/>
          <w:szCs w:val="24"/>
        </w:rPr>
        <w:t xml:space="preserve"> de intelectuais orgânicos por adesão (principalmente de ex-sindicalistas e acadêmicos, mas também de lideranças de ONGs e outros “novos” movimentos sociais), operadores ideológicos da superestrutura, apartados diretamente do domínio econômico, mas preparados para criar uma consciência comum às classes e frações de classe em presença, dando-lhes homogeneidade ideológica e uma concepção de mundo adequada aos seus interesses. Gramsci os denominava de “intelectuais de tipo urbano”:</w:t>
      </w:r>
    </w:p>
    <w:p w:rsidR="008938AD" w:rsidRDefault="008938AD" w:rsidP="008938AD">
      <w:pPr>
        <w:autoSpaceDE w:val="0"/>
        <w:autoSpaceDN w:val="0"/>
        <w:adjustRightInd w:val="0"/>
        <w:spacing w:line="240" w:lineRule="auto"/>
        <w:ind w:left="2268"/>
        <w:jc w:val="both"/>
        <w:rPr>
          <w:rFonts w:ascii="Times New Roman" w:hAnsi="Times New Roman"/>
          <w:color w:val="262626"/>
          <w:sz w:val="20"/>
          <w:szCs w:val="20"/>
        </w:rPr>
      </w:pPr>
      <w:r w:rsidRPr="008E358A">
        <w:rPr>
          <w:rFonts w:ascii="Times New Roman" w:hAnsi="Times New Roman"/>
          <w:color w:val="262626"/>
          <w:sz w:val="20"/>
          <w:szCs w:val="20"/>
        </w:rPr>
        <w:t xml:space="preserve">Os intelectuais de tipo urbano cresceram junto com a indústria e são ligados às suas vicissitudes. A sua função pode ser comparada à dos oficiais subalternos no exército: não possuem nenhuma iniciativa autônoma na elaboração dos planos de construção; colocam em relação, articulando-a, a massa instrumental com o empresário, elaboram a execução imediata do plano de produção estabelecido pelo estado-maior da indústria, controlando suas fases executivas elementares. Na média geral, os intelectuais urbanos são bastante estandardizados; </w:t>
      </w:r>
      <w:r w:rsidRPr="00955F73">
        <w:rPr>
          <w:rFonts w:ascii="Times New Roman" w:hAnsi="Times New Roman"/>
          <w:i/>
          <w:color w:val="262626"/>
          <w:sz w:val="20"/>
          <w:szCs w:val="20"/>
        </w:rPr>
        <w:t>os altos intelectuais urbanos confundem-se cada vez mais com o estado-maior industrial propriamente dito</w:t>
      </w:r>
      <w:r>
        <w:rPr>
          <w:rFonts w:ascii="Times New Roman" w:hAnsi="Times New Roman"/>
          <w:color w:val="262626"/>
          <w:sz w:val="20"/>
          <w:szCs w:val="20"/>
        </w:rPr>
        <w:t>.</w:t>
      </w:r>
      <w:r>
        <w:rPr>
          <w:rStyle w:val="Refdenotaderodap"/>
          <w:rFonts w:ascii="Times New Roman" w:hAnsi="Times New Roman"/>
          <w:color w:val="262626"/>
          <w:sz w:val="20"/>
          <w:szCs w:val="20"/>
        </w:rPr>
        <w:footnoteReference w:id="512"/>
      </w:r>
    </w:p>
    <w:p w:rsidR="008938AD" w:rsidRDefault="008938AD" w:rsidP="008938AD">
      <w:pPr>
        <w:autoSpaceDE w:val="0"/>
        <w:autoSpaceDN w:val="0"/>
        <w:adjustRightInd w:val="0"/>
        <w:spacing w:after="0" w:line="360" w:lineRule="auto"/>
        <w:jc w:val="both"/>
        <w:rPr>
          <w:rFonts w:ascii="Times New Roman" w:hAnsi="Times New Roman"/>
          <w:color w:val="262626"/>
          <w:sz w:val="24"/>
          <w:szCs w:val="24"/>
        </w:rPr>
      </w:pPr>
      <w:r>
        <w:rPr>
          <w:rFonts w:ascii="Times New Roman" w:hAnsi="Times New Roman"/>
          <w:color w:val="262626"/>
          <w:sz w:val="24"/>
          <w:szCs w:val="24"/>
        </w:rPr>
        <w:tab/>
        <w:t xml:space="preserve">A proposta social-liberal que atravessava e compunha o arcabouço teórico, ou melhor, as premissas ideológicas e o conteúdo programático do CDES eram, em geral, comungadas por todos os conselheiros, sendo para tanto necessária a absoluta ausência de convocação e ingresso de lideranças de base social autenticamente popular </w:t>
      </w:r>
      <w:r>
        <w:rPr>
          <w:rFonts w:ascii="Times New Roman" w:hAnsi="Times New Roman"/>
          <w:i/>
          <w:color w:val="262626"/>
          <w:sz w:val="24"/>
          <w:szCs w:val="24"/>
        </w:rPr>
        <w:t xml:space="preserve">e sem controles institucionais (autônomas) </w:t>
      </w:r>
      <w:r>
        <w:rPr>
          <w:rFonts w:ascii="Times New Roman" w:hAnsi="Times New Roman"/>
          <w:color w:val="262626"/>
          <w:sz w:val="24"/>
          <w:szCs w:val="24"/>
        </w:rPr>
        <w:t>contrárias ou mesmo questionadoras a um projeto de revitalização e expansão dramática das bases econômico-sociais de desenvolvimento capitalista e inserção, nas margens, de desconfiguradas reivindicações de redistribuição da riqueza e da renda soci</w:t>
      </w:r>
      <w:r w:rsidR="003474CF">
        <w:rPr>
          <w:rFonts w:ascii="Times New Roman" w:hAnsi="Times New Roman"/>
          <w:color w:val="262626"/>
          <w:sz w:val="24"/>
          <w:szCs w:val="24"/>
        </w:rPr>
        <w:t>al. A inexistência de um contra</w:t>
      </w:r>
      <w:r>
        <w:rPr>
          <w:rFonts w:ascii="Times New Roman" w:hAnsi="Times New Roman"/>
          <w:color w:val="262626"/>
          <w:sz w:val="24"/>
          <w:szCs w:val="24"/>
        </w:rPr>
        <w:t>poder efetivo em atuação retirava a possibilidade de atribuir ao Conselho qualquer coloração democrática. O CDES, com seus substratos ideológicos burgueses e arremedos de procedimentos participativos, era uma arena de encontro e convergência não de contrários, mas de “integrados”, no dizer de Bourdieu:</w:t>
      </w:r>
    </w:p>
    <w:p w:rsidR="008938AD" w:rsidRPr="006063FD" w:rsidRDefault="008938AD" w:rsidP="008938AD">
      <w:pPr>
        <w:autoSpaceDE w:val="0"/>
        <w:autoSpaceDN w:val="0"/>
        <w:adjustRightInd w:val="0"/>
        <w:spacing w:line="240" w:lineRule="auto"/>
        <w:ind w:left="2268"/>
        <w:jc w:val="both"/>
        <w:rPr>
          <w:rFonts w:ascii="Times New Roman" w:hAnsi="Times New Roman"/>
          <w:color w:val="262626"/>
          <w:sz w:val="20"/>
          <w:szCs w:val="20"/>
        </w:rPr>
      </w:pPr>
      <w:r w:rsidRPr="006063FD">
        <w:rPr>
          <w:rFonts w:ascii="Times New Roman" w:hAnsi="Times New Roman"/>
          <w:color w:val="262626"/>
          <w:sz w:val="20"/>
          <w:szCs w:val="20"/>
        </w:rPr>
        <w:t>Há muitos “integrados</w:t>
      </w:r>
      <w:r>
        <w:rPr>
          <w:rFonts w:ascii="Times New Roman" w:hAnsi="Times New Roman"/>
          <w:color w:val="262626"/>
          <w:sz w:val="20"/>
          <w:szCs w:val="20"/>
        </w:rPr>
        <w:t>”</w:t>
      </w:r>
      <w:r w:rsidRPr="006063FD">
        <w:rPr>
          <w:rFonts w:ascii="Times New Roman" w:hAnsi="Times New Roman"/>
          <w:color w:val="262626"/>
          <w:sz w:val="20"/>
          <w:szCs w:val="20"/>
        </w:rPr>
        <w:t>, efetivamente. E a força da nova ordem dominante é que ela soube encontrar os meios específicos de “integrar” – em certos casos, pode-se dizer de comprar , em outros de seduzir – um número cada vez maior de intelectuais, e isso no mundo inteiro. Esses “integrados” continuam frequentemente a se imaginarem como críticos (ou, simplesmente, de esquerda), segundo o modelo antigo. Isso contribui para dar uma grande eficácia simbólica à sua ação em favor da ordem estabelecida.</w:t>
      </w:r>
      <w:r>
        <w:rPr>
          <w:rStyle w:val="Refdenotaderodap"/>
          <w:rFonts w:ascii="Times New Roman" w:hAnsi="Times New Roman"/>
          <w:color w:val="262626"/>
          <w:sz w:val="20"/>
          <w:szCs w:val="20"/>
        </w:rPr>
        <w:footnoteReference w:id="513"/>
      </w:r>
    </w:p>
    <w:p w:rsidR="008938AD" w:rsidRPr="00BD268A" w:rsidRDefault="008938AD" w:rsidP="008938AD">
      <w:pPr>
        <w:autoSpaceDE w:val="0"/>
        <w:autoSpaceDN w:val="0"/>
        <w:adjustRightInd w:val="0"/>
        <w:spacing w:after="0" w:line="360" w:lineRule="auto"/>
        <w:ind w:firstLine="708"/>
        <w:jc w:val="both"/>
        <w:rPr>
          <w:rFonts w:ascii="Times New Roman" w:hAnsi="Times New Roman"/>
          <w:color w:val="262626"/>
          <w:sz w:val="24"/>
          <w:szCs w:val="24"/>
        </w:rPr>
      </w:pPr>
      <w:r>
        <w:rPr>
          <w:rFonts w:ascii="Times New Roman" w:hAnsi="Times New Roman"/>
          <w:color w:val="262626"/>
          <w:sz w:val="24"/>
          <w:szCs w:val="24"/>
        </w:rPr>
        <w:t xml:space="preserve">A suposta heterogeneidade </w:t>
      </w:r>
      <w:r w:rsidR="00CA0999">
        <w:rPr>
          <w:rFonts w:ascii="Times New Roman" w:hAnsi="Times New Roman"/>
          <w:sz w:val="24"/>
          <w:szCs w:val="24"/>
        </w:rPr>
        <w:t>so</w:t>
      </w:r>
      <w:r>
        <w:rPr>
          <w:rFonts w:ascii="Times New Roman" w:hAnsi="Times New Roman"/>
          <w:sz w:val="24"/>
          <w:szCs w:val="24"/>
        </w:rPr>
        <w:t>ciopolítica</w:t>
      </w:r>
      <w:r>
        <w:rPr>
          <w:rFonts w:ascii="Times New Roman" w:hAnsi="Times New Roman"/>
          <w:color w:val="262626"/>
          <w:sz w:val="24"/>
          <w:szCs w:val="24"/>
        </w:rPr>
        <w:t xml:space="preserve"> do CDES, tantas vezes homenageada pelo seu principal mentor ideológico, o secretário-executivo Tarso Genro, como sendo tradução de uma </w:t>
      </w:r>
      <w:r>
        <w:rPr>
          <w:rFonts w:ascii="Times New Roman" w:hAnsi="Times New Roman"/>
          <w:sz w:val="24"/>
          <w:szCs w:val="24"/>
        </w:rPr>
        <w:t>“experiência revolucionária na democracia brasileira”</w:t>
      </w:r>
      <w:r>
        <w:rPr>
          <w:rFonts w:ascii="Times New Roman" w:hAnsi="Times New Roman"/>
          <w:color w:val="262626"/>
          <w:sz w:val="24"/>
          <w:szCs w:val="24"/>
        </w:rPr>
        <w:t xml:space="preserve">, procurou ser fundada e mantida sob um corpo de conselheiros cujo leque de opções, </w:t>
      </w:r>
      <w:r>
        <w:rPr>
          <w:rFonts w:ascii="Times New Roman" w:hAnsi="Times New Roman"/>
          <w:i/>
          <w:color w:val="262626"/>
          <w:sz w:val="24"/>
          <w:szCs w:val="24"/>
        </w:rPr>
        <w:t>a priori</w:t>
      </w:r>
      <w:r>
        <w:rPr>
          <w:rFonts w:ascii="Times New Roman" w:hAnsi="Times New Roman"/>
          <w:color w:val="262626"/>
          <w:sz w:val="24"/>
          <w:szCs w:val="24"/>
        </w:rPr>
        <w:t xml:space="preserve">, se coadunava com a manutenção do </w:t>
      </w:r>
      <w:r>
        <w:rPr>
          <w:rFonts w:ascii="Times New Roman" w:hAnsi="Times New Roman"/>
          <w:i/>
          <w:color w:val="262626"/>
          <w:sz w:val="24"/>
          <w:szCs w:val="24"/>
        </w:rPr>
        <w:t>status quo</w:t>
      </w:r>
      <w:r>
        <w:rPr>
          <w:rFonts w:ascii="Times New Roman" w:hAnsi="Times New Roman"/>
          <w:color w:val="262626"/>
          <w:sz w:val="24"/>
          <w:szCs w:val="24"/>
        </w:rPr>
        <w:t xml:space="preserve">: eles não foram “convencidos”, </w:t>
      </w:r>
      <w:r w:rsidRPr="0035230A">
        <w:rPr>
          <w:rFonts w:ascii="Times New Roman" w:hAnsi="Times New Roman"/>
          <w:i/>
          <w:color w:val="262626"/>
          <w:sz w:val="24"/>
          <w:szCs w:val="24"/>
        </w:rPr>
        <w:t>no CDES</w:t>
      </w:r>
      <w:r>
        <w:rPr>
          <w:rFonts w:ascii="Times New Roman" w:hAnsi="Times New Roman"/>
          <w:color w:val="262626"/>
          <w:sz w:val="24"/>
          <w:szCs w:val="24"/>
        </w:rPr>
        <w:t xml:space="preserve">, de que a remoção de barreiras para o “desenvolvimento sustentável” do capitalismo no Brasil fosse exigir mais mercado, ou melhor, a adoção de medidas e propostas que retirassem os entraves (jurídicos, políticos, econômicos) da expansão das relações de produção capitalistas, conjugado com um nível de regulação estatal (“parceria”), como condição </w:t>
      </w:r>
      <w:r>
        <w:rPr>
          <w:rFonts w:ascii="Times New Roman" w:hAnsi="Times New Roman"/>
          <w:i/>
          <w:color w:val="262626"/>
          <w:sz w:val="24"/>
          <w:szCs w:val="24"/>
        </w:rPr>
        <w:t>sine qua non</w:t>
      </w:r>
      <w:r>
        <w:rPr>
          <w:rFonts w:ascii="Times New Roman" w:hAnsi="Times New Roman"/>
          <w:color w:val="262626"/>
          <w:sz w:val="24"/>
          <w:szCs w:val="24"/>
        </w:rPr>
        <w:t xml:space="preserve"> para a melhoria das condições de vida dos mais pobres. Os termos e o teor dos elementos contratuais que compunham o pacto precisavam ser acordados no CDES – o que demandava reiterados reforços e aperfeiçoamentos posteriores – mas havia, antes disso, um consenso, uma confiança, uma adesão subjacente, um compartilhamento de expectativas e de visão de mundo, sem os quais a “concertação” não teria a menor chance de êxito.</w:t>
      </w:r>
      <w:r>
        <w:rPr>
          <w:rStyle w:val="Refdenotaderodap"/>
          <w:rFonts w:ascii="Times New Roman" w:hAnsi="Times New Roman"/>
          <w:color w:val="262626"/>
          <w:sz w:val="24"/>
          <w:szCs w:val="24"/>
        </w:rPr>
        <w:footnoteReference w:id="514"/>
      </w:r>
    </w:p>
    <w:p w:rsidR="008938AD" w:rsidRDefault="008938AD" w:rsidP="008938AD">
      <w:pPr>
        <w:autoSpaceDE w:val="0"/>
        <w:autoSpaceDN w:val="0"/>
        <w:adjustRightInd w:val="0"/>
        <w:spacing w:after="0" w:line="360" w:lineRule="auto"/>
        <w:ind w:firstLine="708"/>
        <w:jc w:val="both"/>
        <w:rPr>
          <w:rFonts w:ascii="Times New Roman" w:hAnsi="Times New Roman"/>
          <w:color w:val="262626"/>
          <w:sz w:val="24"/>
          <w:szCs w:val="24"/>
        </w:rPr>
      </w:pPr>
      <w:r>
        <w:rPr>
          <w:rFonts w:ascii="Times New Roman" w:hAnsi="Times New Roman"/>
          <w:color w:val="262626"/>
          <w:sz w:val="24"/>
          <w:szCs w:val="24"/>
        </w:rPr>
        <w:t xml:space="preserve">A situação de “integrados”, em sua maioria, adveio das suas condições de lideranças de entidades da sociedade civil, formuladoras e difusoras da solução social-liberal para os graves problemas existentes na realidade brasileira. Com relação às organizações associativas do empresariado presentes no CDES, tratava-se de uma teia de aparelhos privados de hegemonia significativamente entrelaçada, de novos e antigos formatos associativos, mas com vastíssimos recursos materiais e humanos, atuantes em todo território nacional e mesmo com conexões internacionais, alguns com profunda e histórica vinculação e atuação junto às agências do Estado restrito e, o essencial, com um projeto de intervenção que ultrapassava o âmbito econômico e corporativo. </w:t>
      </w:r>
    </w:p>
    <w:p w:rsidR="008938AD" w:rsidRDefault="008938AD" w:rsidP="008938AD">
      <w:pPr>
        <w:autoSpaceDE w:val="0"/>
        <w:autoSpaceDN w:val="0"/>
        <w:adjustRightInd w:val="0"/>
        <w:spacing w:line="360" w:lineRule="auto"/>
        <w:ind w:firstLine="708"/>
        <w:jc w:val="both"/>
        <w:rPr>
          <w:rFonts w:ascii="Times New Roman" w:hAnsi="Times New Roman"/>
          <w:color w:val="262626"/>
          <w:sz w:val="24"/>
          <w:szCs w:val="24"/>
        </w:rPr>
      </w:pPr>
      <w:r>
        <w:rPr>
          <w:rFonts w:ascii="Times New Roman" w:hAnsi="Times New Roman"/>
          <w:color w:val="262626"/>
          <w:sz w:val="24"/>
          <w:szCs w:val="24"/>
        </w:rPr>
        <w:t>Nesse ponto em especial, junto a entidades empresariais nem tão recentes (como o Instituto Liberal, o PNBE e o IEDI), outras nascentes nas décadas de 1990 e 2000 (Instituto Ethos, Movimento Brasil Competitivo, Fundação Dom Cabral, Movimento Todos pela Educação, dentre outras), aliadas às corporativas e paralelas (</w:t>
      </w:r>
      <w:r w:rsidR="000834BC">
        <w:rPr>
          <w:rFonts w:ascii="Times New Roman" w:hAnsi="Times New Roman"/>
          <w:color w:val="262626"/>
          <w:sz w:val="24"/>
          <w:szCs w:val="24"/>
        </w:rPr>
        <w:t>FIESP</w:t>
      </w:r>
      <w:r>
        <w:rPr>
          <w:rFonts w:ascii="Times New Roman" w:hAnsi="Times New Roman"/>
          <w:color w:val="262626"/>
          <w:sz w:val="24"/>
          <w:szCs w:val="24"/>
        </w:rPr>
        <w:t>, Firjan, CNDI, ABIDB, ANFAVEA, ABINEE, ABIT, etc), todas representadas no CDES por conselheiros-empresários que nelas transitavam, era evidente a formulação e divulgação de uma plataforma ético-política social-liberal que se pretendia hegemônica e, para tanto, precisava converter-se em política de Estado. Segundo Rodrigo Castelo,</w:t>
      </w:r>
    </w:p>
    <w:p w:rsidR="008938AD" w:rsidRPr="006231D4" w:rsidRDefault="008938AD" w:rsidP="008938AD">
      <w:pPr>
        <w:autoSpaceDE w:val="0"/>
        <w:autoSpaceDN w:val="0"/>
        <w:adjustRightInd w:val="0"/>
        <w:spacing w:line="240" w:lineRule="auto"/>
        <w:ind w:left="2268"/>
        <w:jc w:val="both"/>
        <w:rPr>
          <w:rFonts w:ascii="Times New Roman" w:hAnsi="Times New Roman"/>
          <w:color w:val="262626"/>
          <w:sz w:val="20"/>
          <w:szCs w:val="20"/>
        </w:rPr>
      </w:pPr>
      <w:r w:rsidRPr="006231D4">
        <w:rPr>
          <w:rFonts w:ascii="Times New Roman" w:hAnsi="Times New Roman"/>
          <w:color w:val="262626"/>
          <w:sz w:val="20"/>
          <w:szCs w:val="20"/>
        </w:rPr>
        <w:t xml:space="preserve">A ideologia social-liberal é produzida e difundida por uma ampla rede de aparelhos privados de hegemonia: agências multilaterais de desenvolvimento, organizações não governamentais, fundações filantrópicas laicas e religiosas, mídias impressas e televisivas, intelectuais tradicionais e orgânicos da direita, bem como egressos da esquerda, e </w:t>
      </w:r>
      <w:r w:rsidRPr="006231D4">
        <w:rPr>
          <w:rFonts w:ascii="Times New Roman" w:hAnsi="Times New Roman"/>
          <w:i/>
          <w:color w:val="262626"/>
          <w:sz w:val="20"/>
          <w:szCs w:val="20"/>
        </w:rPr>
        <w:t>business men</w:t>
      </w:r>
      <w:r w:rsidRPr="006231D4">
        <w:rPr>
          <w:rFonts w:ascii="Times New Roman" w:hAnsi="Times New Roman"/>
          <w:color w:val="262626"/>
          <w:sz w:val="20"/>
          <w:szCs w:val="20"/>
        </w:rPr>
        <w:t>.</w:t>
      </w:r>
      <w:r>
        <w:rPr>
          <w:rStyle w:val="Refdenotaderodap"/>
          <w:rFonts w:ascii="Times New Roman" w:hAnsi="Times New Roman"/>
          <w:color w:val="262626"/>
          <w:sz w:val="20"/>
          <w:szCs w:val="20"/>
        </w:rPr>
        <w:footnoteReference w:id="515"/>
      </w:r>
    </w:p>
    <w:p w:rsidR="008938AD" w:rsidRDefault="008938AD" w:rsidP="008938AD">
      <w:pPr>
        <w:autoSpaceDE w:val="0"/>
        <w:autoSpaceDN w:val="0"/>
        <w:adjustRightInd w:val="0"/>
        <w:spacing w:after="0" w:line="360" w:lineRule="auto"/>
        <w:ind w:firstLine="708"/>
        <w:jc w:val="both"/>
        <w:rPr>
          <w:rFonts w:ascii="Times New Roman" w:hAnsi="Times New Roman"/>
          <w:color w:val="262626"/>
          <w:sz w:val="24"/>
          <w:szCs w:val="24"/>
        </w:rPr>
      </w:pPr>
      <w:r>
        <w:rPr>
          <w:rFonts w:ascii="Times New Roman" w:hAnsi="Times New Roman"/>
          <w:color w:val="262626"/>
          <w:sz w:val="24"/>
          <w:szCs w:val="24"/>
        </w:rPr>
        <w:t xml:space="preserve">O CDES era um dos canais, no interior do aparato estatal, de sustentação, (re)formulação, (re)modelamento e de divulgação da ideologia social-liberal </w:t>
      </w:r>
      <w:r w:rsidRPr="00EE79CC">
        <w:rPr>
          <w:rFonts w:ascii="Times New Roman" w:hAnsi="Times New Roman"/>
          <w:i/>
          <w:color w:val="262626"/>
          <w:sz w:val="24"/>
          <w:szCs w:val="24"/>
        </w:rPr>
        <w:t>sob a hegemonia da visão de mundo cara às entidades e associações empresariais da sociedade civil</w:t>
      </w:r>
      <w:r>
        <w:rPr>
          <w:rFonts w:ascii="Times New Roman" w:hAnsi="Times New Roman"/>
          <w:color w:val="262626"/>
          <w:sz w:val="24"/>
          <w:szCs w:val="24"/>
        </w:rPr>
        <w:t>.</w:t>
      </w:r>
    </w:p>
    <w:p w:rsidR="008938AD" w:rsidRPr="00696A38" w:rsidRDefault="008938AD" w:rsidP="008938AD">
      <w:pPr>
        <w:autoSpaceDE w:val="0"/>
        <w:autoSpaceDN w:val="0"/>
        <w:adjustRightInd w:val="0"/>
        <w:spacing w:after="0" w:line="360" w:lineRule="auto"/>
        <w:ind w:firstLine="708"/>
        <w:jc w:val="both"/>
        <w:rPr>
          <w:rFonts w:ascii="Times New Roman" w:hAnsi="Times New Roman"/>
          <w:sz w:val="24"/>
          <w:szCs w:val="24"/>
        </w:rPr>
      </w:pPr>
      <w:r w:rsidRPr="00696A38">
        <w:rPr>
          <w:rFonts w:ascii="Times New Roman" w:hAnsi="Times New Roman"/>
          <w:sz w:val="24"/>
          <w:szCs w:val="24"/>
        </w:rPr>
        <w:t>Este capítulo não se dedicou a traduzir um tratado sobre o que o CDES pensava acerca do “desenvolvimento com equidade”. Ele se orientou a expor algumas das principais controvérsias nele contidas durante o primeiro governo Lula da Silva. A que atravessou todo o período foi, sem dúvida, entre os conselheiros e a gestão da condução da política econômica representada nas plenárias pelas figuras de Palocci e Meirelles. Vimos que a questão do “desenvolvimento”</w:t>
      </w:r>
      <w:r w:rsidR="008F17BD" w:rsidRPr="00696A38">
        <w:rPr>
          <w:rFonts w:ascii="Times New Roman" w:hAnsi="Times New Roman"/>
          <w:sz w:val="24"/>
          <w:szCs w:val="24"/>
        </w:rPr>
        <w:t>,</w:t>
      </w:r>
      <w:r w:rsidRPr="00696A38">
        <w:rPr>
          <w:rFonts w:ascii="Times New Roman" w:hAnsi="Times New Roman"/>
          <w:sz w:val="24"/>
          <w:szCs w:val="24"/>
        </w:rPr>
        <w:t xml:space="preserve"> tanto reclamada</w:t>
      </w:r>
      <w:r w:rsidR="008F17BD" w:rsidRPr="00696A38">
        <w:rPr>
          <w:rFonts w:ascii="Times New Roman" w:hAnsi="Times New Roman"/>
          <w:sz w:val="24"/>
          <w:szCs w:val="24"/>
        </w:rPr>
        <w:t>,</w:t>
      </w:r>
      <w:r w:rsidRPr="00696A38">
        <w:rPr>
          <w:rFonts w:ascii="Times New Roman" w:hAnsi="Times New Roman"/>
          <w:sz w:val="24"/>
          <w:szCs w:val="24"/>
        </w:rPr>
        <w:t xml:space="preserve"> não se fidelizava aos fundamentos teóricos cepalinos de Celso Furtado</w:t>
      </w:r>
      <w:r w:rsidR="008F17BD" w:rsidRPr="00696A38">
        <w:rPr>
          <w:rFonts w:ascii="Times New Roman" w:hAnsi="Times New Roman"/>
          <w:sz w:val="24"/>
          <w:szCs w:val="24"/>
        </w:rPr>
        <w:t xml:space="preserve"> que o Conselho dizia ser referência</w:t>
      </w:r>
      <w:r w:rsidRPr="00696A38">
        <w:rPr>
          <w:rFonts w:ascii="Times New Roman" w:hAnsi="Times New Roman"/>
          <w:sz w:val="24"/>
          <w:szCs w:val="24"/>
        </w:rPr>
        <w:t>: a estabilidade econômica e a manutenção das contrarreformas seria</w:t>
      </w:r>
      <w:r w:rsidR="00C92890" w:rsidRPr="00696A38">
        <w:rPr>
          <w:rFonts w:ascii="Times New Roman" w:hAnsi="Times New Roman"/>
          <w:sz w:val="24"/>
          <w:szCs w:val="24"/>
        </w:rPr>
        <w:t>m</w:t>
      </w:r>
      <w:r w:rsidRPr="00696A38">
        <w:rPr>
          <w:rFonts w:ascii="Times New Roman" w:hAnsi="Times New Roman"/>
          <w:sz w:val="24"/>
          <w:szCs w:val="24"/>
        </w:rPr>
        <w:t xml:space="preserve"> suficiente</w:t>
      </w:r>
      <w:r w:rsidR="00C92890" w:rsidRPr="00696A38">
        <w:rPr>
          <w:rFonts w:ascii="Times New Roman" w:hAnsi="Times New Roman"/>
          <w:sz w:val="24"/>
          <w:szCs w:val="24"/>
        </w:rPr>
        <w:t>s</w:t>
      </w:r>
      <w:r w:rsidRPr="00696A38">
        <w:rPr>
          <w:rFonts w:ascii="Times New Roman" w:hAnsi="Times New Roman"/>
          <w:sz w:val="24"/>
          <w:szCs w:val="24"/>
        </w:rPr>
        <w:t xml:space="preserve"> se o cresci</w:t>
      </w:r>
      <w:r w:rsidR="00C92890" w:rsidRPr="00696A38">
        <w:rPr>
          <w:rFonts w:ascii="Times New Roman" w:hAnsi="Times New Roman"/>
          <w:sz w:val="24"/>
          <w:szCs w:val="24"/>
        </w:rPr>
        <w:t xml:space="preserve">mento econômico resvalasse na </w:t>
      </w:r>
      <w:r w:rsidRPr="00696A38">
        <w:rPr>
          <w:rFonts w:ascii="Times New Roman" w:hAnsi="Times New Roman"/>
          <w:sz w:val="24"/>
          <w:szCs w:val="24"/>
        </w:rPr>
        <w:t xml:space="preserve">distribuição da renda efetivada por políticas que garantissem o fortalecimento e aquecimento do mercado interno, isto é, as demandas empresariais. </w:t>
      </w:r>
      <w:r w:rsidR="00C92890" w:rsidRPr="00696A38">
        <w:rPr>
          <w:rFonts w:ascii="Times New Roman" w:hAnsi="Times New Roman"/>
          <w:sz w:val="24"/>
          <w:szCs w:val="24"/>
        </w:rPr>
        <w:t>No Conselho, o</w:t>
      </w:r>
      <w:r w:rsidRPr="00696A38">
        <w:rPr>
          <w:rFonts w:ascii="Times New Roman" w:hAnsi="Times New Roman"/>
          <w:sz w:val="24"/>
          <w:szCs w:val="24"/>
        </w:rPr>
        <w:t xml:space="preserve"> combate à ortodoxia palocciana estava, como vimos, entre “fogo amigo”: reconhecia-se o êxito até então assegurado pela política econômica, mas era tempo de avançar, afrouxando os instrumentos de contenção dos agentes econômicos produtores de valor (juros altos, c</w:t>
      </w:r>
      <w:r w:rsidR="004640A8" w:rsidRPr="00696A38">
        <w:rPr>
          <w:rFonts w:ascii="Times New Roman" w:hAnsi="Times New Roman"/>
          <w:sz w:val="24"/>
          <w:szCs w:val="24"/>
        </w:rPr>
        <w:t>â</w:t>
      </w:r>
      <w:r w:rsidRPr="00696A38">
        <w:rPr>
          <w:rFonts w:ascii="Times New Roman" w:hAnsi="Times New Roman"/>
          <w:sz w:val="24"/>
          <w:szCs w:val="24"/>
        </w:rPr>
        <w:t xml:space="preserve">mbio sobrevalorizado, elevados </w:t>
      </w:r>
      <w:r w:rsidRPr="00696A38">
        <w:rPr>
          <w:rFonts w:ascii="Times New Roman" w:hAnsi="Times New Roman"/>
          <w:i/>
          <w:sz w:val="24"/>
          <w:szCs w:val="24"/>
        </w:rPr>
        <w:t>spreads</w:t>
      </w:r>
      <w:r w:rsidRPr="00696A38">
        <w:rPr>
          <w:rFonts w:ascii="Times New Roman" w:hAnsi="Times New Roman"/>
          <w:sz w:val="24"/>
          <w:szCs w:val="24"/>
        </w:rPr>
        <w:t xml:space="preserve"> bancários, etc). A pauta era assegurada e defendida pelo grande capital produtor de valor, mas vinha acompanhada e endossada pelos setores da cúpula da burocracia sindical e pelos intelectuais social-liberais. Este debate atravessou todo o primeiro governo Lula da Silva até a retirada de Palocci em março de 2006.</w:t>
      </w:r>
    </w:p>
    <w:p w:rsidR="008938AD" w:rsidRPr="00696A38" w:rsidRDefault="008938AD" w:rsidP="008938AD">
      <w:pPr>
        <w:autoSpaceDE w:val="0"/>
        <w:autoSpaceDN w:val="0"/>
        <w:adjustRightInd w:val="0"/>
        <w:spacing w:after="0" w:line="360" w:lineRule="auto"/>
        <w:ind w:firstLine="708"/>
        <w:jc w:val="both"/>
        <w:rPr>
          <w:rFonts w:ascii="Times New Roman" w:hAnsi="Times New Roman"/>
          <w:sz w:val="24"/>
          <w:szCs w:val="24"/>
        </w:rPr>
      </w:pPr>
      <w:r w:rsidRPr="00696A38">
        <w:rPr>
          <w:rFonts w:ascii="Times New Roman" w:hAnsi="Times New Roman"/>
          <w:sz w:val="24"/>
          <w:szCs w:val="24"/>
        </w:rPr>
        <w:t>A segunda grande contenda ocorreu entre junho 2004 e maio de 2005. Foi evidente que o</w:t>
      </w:r>
      <w:r w:rsidR="00C92890" w:rsidRPr="00696A38">
        <w:rPr>
          <w:rFonts w:ascii="Times New Roman" w:hAnsi="Times New Roman"/>
          <w:sz w:val="24"/>
          <w:szCs w:val="24"/>
        </w:rPr>
        <w:t>s setores ligados ao</w:t>
      </w:r>
      <w:r w:rsidRPr="00696A38">
        <w:rPr>
          <w:rFonts w:ascii="Times New Roman" w:hAnsi="Times New Roman"/>
          <w:sz w:val="24"/>
          <w:szCs w:val="24"/>
        </w:rPr>
        <w:t xml:space="preserve"> grande capital produtor de valor, organizado em seus aparel</w:t>
      </w:r>
      <w:r w:rsidR="00C92890" w:rsidRPr="00696A38">
        <w:rPr>
          <w:rFonts w:ascii="Times New Roman" w:hAnsi="Times New Roman"/>
          <w:sz w:val="24"/>
          <w:szCs w:val="24"/>
        </w:rPr>
        <w:t>hos privados de hegemonia, deram</w:t>
      </w:r>
      <w:r w:rsidRPr="00696A38">
        <w:rPr>
          <w:rFonts w:ascii="Times New Roman" w:hAnsi="Times New Roman"/>
          <w:sz w:val="24"/>
          <w:szCs w:val="24"/>
        </w:rPr>
        <w:t xml:space="preserve"> a</w:t>
      </w:r>
      <w:r w:rsidR="007A48DD">
        <w:rPr>
          <w:rFonts w:ascii="Times New Roman" w:hAnsi="Times New Roman"/>
          <w:sz w:val="24"/>
          <w:szCs w:val="24"/>
        </w:rPr>
        <w:t xml:space="preserve"> direção e os limites do debate em face</w:t>
      </w:r>
      <w:r w:rsidRPr="00696A38">
        <w:rPr>
          <w:rFonts w:ascii="Times New Roman" w:hAnsi="Times New Roman"/>
          <w:sz w:val="24"/>
          <w:szCs w:val="24"/>
        </w:rPr>
        <w:t xml:space="preserve"> aos demais segmentos representados no Conselho. Não houve adesão do capital monetário à ampliação do Conselho Monetário Nacional, mas grandes empresários não banqueiros como Jorge Gerdau e Abílio Diniz expressaram, em plenária, posições contrárias à ampliação, mostrando que </w:t>
      </w:r>
      <w:r w:rsidR="00840DC2" w:rsidRPr="00696A38">
        <w:rPr>
          <w:rFonts w:ascii="Times New Roman" w:hAnsi="Times New Roman"/>
          <w:sz w:val="24"/>
          <w:szCs w:val="24"/>
        </w:rPr>
        <w:t xml:space="preserve">os setores que compõem as </w:t>
      </w:r>
      <w:r w:rsidRPr="00696A38">
        <w:rPr>
          <w:rFonts w:ascii="Times New Roman" w:hAnsi="Times New Roman"/>
          <w:sz w:val="24"/>
          <w:szCs w:val="24"/>
        </w:rPr>
        <w:t xml:space="preserve">frações </w:t>
      </w:r>
      <w:r w:rsidR="00840DC2" w:rsidRPr="00696A38">
        <w:rPr>
          <w:rFonts w:ascii="Times New Roman" w:hAnsi="Times New Roman"/>
          <w:sz w:val="24"/>
          <w:szCs w:val="24"/>
        </w:rPr>
        <w:t xml:space="preserve">do capital não são um bloco monolítico e não necessariamente formam uma ação conjunta coesa. Isto não invalidou, porém, a </w:t>
      </w:r>
      <w:r w:rsidR="00C92890" w:rsidRPr="00696A38">
        <w:rPr>
          <w:rFonts w:ascii="Times New Roman" w:hAnsi="Times New Roman"/>
          <w:i/>
          <w:sz w:val="24"/>
          <w:szCs w:val="24"/>
        </w:rPr>
        <w:t xml:space="preserve">montagem </w:t>
      </w:r>
      <w:r w:rsidR="00C92890" w:rsidRPr="00696A38">
        <w:rPr>
          <w:rFonts w:ascii="Times New Roman" w:hAnsi="Times New Roman"/>
          <w:sz w:val="24"/>
          <w:szCs w:val="24"/>
        </w:rPr>
        <w:t xml:space="preserve">da </w:t>
      </w:r>
      <w:r w:rsidR="00840DC2" w:rsidRPr="00696A38">
        <w:rPr>
          <w:rFonts w:ascii="Times New Roman" w:hAnsi="Times New Roman"/>
          <w:sz w:val="24"/>
          <w:szCs w:val="24"/>
        </w:rPr>
        <w:t>direção dada pelo grande capital produtor de valor ao conjunto dos debates, mobilizações e pressões frente às entidades empresariais e aos segmentos presentes no CDES, e frente à SEDES e ao Executivo.</w:t>
      </w:r>
      <w:r w:rsidRPr="00696A38">
        <w:rPr>
          <w:rFonts w:ascii="Times New Roman" w:hAnsi="Times New Roman"/>
          <w:sz w:val="24"/>
          <w:szCs w:val="24"/>
        </w:rPr>
        <w:t xml:space="preserve">  A CUT e todos os demais segmentos não empresariais defenderam a proposta pela via da “democratização das decisões” no seio do núcleo formulador das metas inflacionárias</w:t>
      </w:r>
      <w:r w:rsidR="004F253C" w:rsidRPr="00696A38">
        <w:rPr>
          <w:rFonts w:ascii="Times New Roman" w:hAnsi="Times New Roman"/>
          <w:sz w:val="24"/>
          <w:szCs w:val="24"/>
        </w:rPr>
        <w:t xml:space="preserve"> (CMN)</w:t>
      </w:r>
      <w:r w:rsidRPr="00696A38">
        <w:rPr>
          <w:rFonts w:ascii="Times New Roman" w:hAnsi="Times New Roman"/>
          <w:sz w:val="24"/>
          <w:szCs w:val="24"/>
        </w:rPr>
        <w:t xml:space="preserve">, aderindo à pauta empresarial e, inclusive, organizando-se </w:t>
      </w:r>
      <w:r w:rsidR="004F253C" w:rsidRPr="00696A38">
        <w:rPr>
          <w:rFonts w:ascii="Times New Roman" w:hAnsi="Times New Roman"/>
          <w:sz w:val="24"/>
          <w:szCs w:val="24"/>
        </w:rPr>
        <w:t xml:space="preserve">em </w:t>
      </w:r>
      <w:r w:rsidRPr="00696A38">
        <w:rPr>
          <w:rFonts w:ascii="Times New Roman" w:hAnsi="Times New Roman"/>
          <w:sz w:val="24"/>
          <w:szCs w:val="24"/>
        </w:rPr>
        <w:t xml:space="preserve">eventos públicos, mobilizações, declarações e entrevistas nos grandes meios de divulgação </w:t>
      </w:r>
      <w:r w:rsidR="000A3B7E" w:rsidRPr="00696A38">
        <w:rPr>
          <w:rFonts w:ascii="Times New Roman" w:hAnsi="Times New Roman"/>
          <w:sz w:val="24"/>
          <w:szCs w:val="24"/>
        </w:rPr>
        <w:t xml:space="preserve">de mãos dadas com as lideranças empresariais, exigindo a </w:t>
      </w:r>
      <w:r w:rsidRPr="00696A38">
        <w:rPr>
          <w:rFonts w:ascii="Times New Roman" w:hAnsi="Times New Roman"/>
          <w:sz w:val="24"/>
          <w:szCs w:val="24"/>
        </w:rPr>
        <w:t>necessidade d</w:t>
      </w:r>
      <w:r w:rsidR="000A3B7E" w:rsidRPr="00696A38">
        <w:rPr>
          <w:rFonts w:ascii="Times New Roman" w:hAnsi="Times New Roman"/>
          <w:sz w:val="24"/>
          <w:szCs w:val="24"/>
        </w:rPr>
        <w:t>e implantação da</w:t>
      </w:r>
      <w:r w:rsidRPr="00696A38">
        <w:rPr>
          <w:rFonts w:ascii="Times New Roman" w:hAnsi="Times New Roman"/>
          <w:sz w:val="24"/>
          <w:szCs w:val="24"/>
        </w:rPr>
        <w:t xml:space="preserve"> proposta “pró-desenvolvimentista”.</w:t>
      </w:r>
    </w:p>
    <w:p w:rsidR="00C96BAC" w:rsidRPr="00696A38" w:rsidRDefault="008938AD" w:rsidP="008938AD">
      <w:pPr>
        <w:autoSpaceDE w:val="0"/>
        <w:autoSpaceDN w:val="0"/>
        <w:adjustRightInd w:val="0"/>
        <w:spacing w:after="0" w:line="360" w:lineRule="auto"/>
        <w:ind w:firstLine="708"/>
        <w:jc w:val="both"/>
        <w:rPr>
          <w:rFonts w:ascii="Times New Roman" w:hAnsi="Times New Roman"/>
          <w:sz w:val="24"/>
          <w:szCs w:val="24"/>
        </w:rPr>
      </w:pPr>
      <w:r w:rsidRPr="00696A38">
        <w:rPr>
          <w:rFonts w:ascii="Times New Roman" w:hAnsi="Times New Roman"/>
          <w:sz w:val="24"/>
          <w:szCs w:val="24"/>
        </w:rPr>
        <w:t xml:space="preserve">Os Documentos de Orientação Estratégica (Cartas de Concertação, Agenda Nacional de Desenvolvimento e Enunciados Estratégicos para o Desenvolvimento), expostos e analisados neste capítulo, pretenderam revelar </w:t>
      </w:r>
      <w:r w:rsidRPr="00696A38">
        <w:rPr>
          <w:rFonts w:ascii="Times New Roman" w:hAnsi="Times New Roman"/>
          <w:i/>
          <w:sz w:val="24"/>
          <w:szCs w:val="24"/>
        </w:rPr>
        <w:t>as resultantes</w:t>
      </w:r>
      <w:r w:rsidRPr="00696A38">
        <w:rPr>
          <w:rFonts w:ascii="Times New Roman" w:hAnsi="Times New Roman"/>
          <w:sz w:val="24"/>
          <w:szCs w:val="24"/>
        </w:rPr>
        <w:t xml:space="preserve"> do exercício de operacionalização d</w:t>
      </w:r>
      <w:r w:rsidR="008C384D">
        <w:rPr>
          <w:rFonts w:ascii="Times New Roman" w:hAnsi="Times New Roman"/>
          <w:sz w:val="24"/>
          <w:szCs w:val="24"/>
        </w:rPr>
        <w:t>o</w:t>
      </w:r>
      <w:r w:rsidR="004B78A3" w:rsidRPr="00696A38">
        <w:rPr>
          <w:rFonts w:ascii="Times New Roman" w:hAnsi="Times New Roman"/>
          <w:sz w:val="24"/>
          <w:szCs w:val="24"/>
        </w:rPr>
        <w:t xml:space="preserve"> erguimento da</w:t>
      </w:r>
      <w:r w:rsidRPr="00696A38">
        <w:rPr>
          <w:rFonts w:ascii="Times New Roman" w:hAnsi="Times New Roman"/>
          <w:sz w:val="24"/>
          <w:szCs w:val="24"/>
        </w:rPr>
        <w:t xml:space="preserve"> hegemonia do grande capital produtor de valor. De novo, não visualizamos nenhuma medida de oposição ao capital monetário, exceto um certo “</w:t>
      </w:r>
      <w:r w:rsidRPr="00696A38">
        <w:rPr>
          <w:rFonts w:ascii="Times New Roman" w:hAnsi="Times New Roman"/>
          <w:i/>
          <w:sz w:val="24"/>
          <w:szCs w:val="24"/>
        </w:rPr>
        <w:t>constrangimento</w:t>
      </w:r>
      <w:r w:rsidRPr="00696A38">
        <w:rPr>
          <w:rFonts w:ascii="Times New Roman" w:hAnsi="Times New Roman"/>
          <w:sz w:val="24"/>
          <w:szCs w:val="24"/>
        </w:rPr>
        <w:t xml:space="preserve">” em seu escopo de atuação,surgida na 2ª, 3ª e 5ª Cartas de Concertação, </w:t>
      </w:r>
      <w:r w:rsidR="000A3B7E" w:rsidRPr="00696A38">
        <w:rPr>
          <w:rFonts w:ascii="Times New Roman" w:hAnsi="Times New Roman"/>
          <w:sz w:val="24"/>
          <w:szCs w:val="24"/>
        </w:rPr>
        <w:t xml:space="preserve">expostos </w:t>
      </w:r>
      <w:r w:rsidRPr="00696A38">
        <w:rPr>
          <w:rFonts w:ascii="Times New Roman" w:hAnsi="Times New Roman"/>
          <w:sz w:val="24"/>
          <w:szCs w:val="24"/>
        </w:rPr>
        <w:t>nos termos de “</w:t>
      </w:r>
      <w:r w:rsidRPr="00696A38">
        <w:rPr>
          <w:rFonts w:ascii="Times New Roman" w:hAnsi="Times New Roman"/>
          <w:i/>
          <w:sz w:val="24"/>
          <w:szCs w:val="24"/>
        </w:rPr>
        <w:t>o sistema financeiro deve ser agente da produção e do desenvolvimento</w:t>
      </w:r>
      <w:r w:rsidRPr="00696A38">
        <w:rPr>
          <w:rFonts w:ascii="Times New Roman" w:hAnsi="Times New Roman"/>
          <w:sz w:val="24"/>
          <w:szCs w:val="24"/>
        </w:rPr>
        <w:t xml:space="preserve">”. Entretanto, pela análise da AND e dos Enunciados, muitas diretrizes, metas e objetivos a serem alcançados se relacionavam diretamente à expansão do capital produtivo e estavam umbilicalmente ligadas às demandas dos aparelhos privados de hegemonia empresariais representativas deste capital. Cabe relembrar que, pelo fato de seus capitais estarem intimamente entrelaçados, o atendimento da expansão das margens de lucro de uma fração corresponde ao atendimento de todas as demais. Como já disse, não há, nesta dinâmica, uma relação de soma-zero. Desde incentivos educacionais, </w:t>
      </w:r>
      <w:r w:rsidR="004B78A3" w:rsidRPr="00696A38">
        <w:rPr>
          <w:rFonts w:ascii="Times New Roman" w:hAnsi="Times New Roman"/>
          <w:sz w:val="24"/>
          <w:szCs w:val="24"/>
        </w:rPr>
        <w:t xml:space="preserve">política de </w:t>
      </w:r>
      <w:r w:rsidRPr="00696A38">
        <w:rPr>
          <w:rFonts w:ascii="Times New Roman" w:hAnsi="Times New Roman"/>
          <w:sz w:val="24"/>
          <w:szCs w:val="24"/>
        </w:rPr>
        <w:t xml:space="preserve">aumento real do salário mínimo, programas de transferências de renda,  os programas habitacionais por interesse social (MCMV), saneamento básico, etc, todos estes programas voltados para a classe trabalhadora imprescindem do capital monetário. </w:t>
      </w:r>
    </w:p>
    <w:p w:rsidR="00617961" w:rsidRDefault="008938AD" w:rsidP="008938AD">
      <w:pPr>
        <w:autoSpaceDE w:val="0"/>
        <w:autoSpaceDN w:val="0"/>
        <w:adjustRightInd w:val="0"/>
        <w:spacing w:after="0" w:line="360" w:lineRule="auto"/>
        <w:ind w:firstLine="708"/>
        <w:jc w:val="both"/>
        <w:rPr>
          <w:rFonts w:ascii="Times New Roman" w:hAnsi="Times New Roman"/>
          <w:sz w:val="24"/>
          <w:szCs w:val="24"/>
        </w:rPr>
      </w:pPr>
      <w:r w:rsidRPr="00696A38">
        <w:rPr>
          <w:rFonts w:ascii="Times New Roman" w:hAnsi="Times New Roman"/>
          <w:sz w:val="24"/>
          <w:szCs w:val="24"/>
        </w:rPr>
        <w:t xml:space="preserve">Contudo, no plano político-ideológico, ou melhor, nas táticas organizativas e mobilizadoras da ação empresarial, as entidades </w:t>
      </w:r>
      <w:r w:rsidR="004B78A3" w:rsidRPr="00696A38">
        <w:rPr>
          <w:rFonts w:ascii="Times New Roman" w:hAnsi="Times New Roman"/>
          <w:sz w:val="24"/>
          <w:szCs w:val="24"/>
        </w:rPr>
        <w:t xml:space="preserve">dos setores econômicos </w:t>
      </w:r>
      <w:r w:rsidRPr="00696A38">
        <w:rPr>
          <w:rFonts w:ascii="Times New Roman" w:hAnsi="Times New Roman"/>
          <w:sz w:val="24"/>
          <w:szCs w:val="24"/>
        </w:rPr>
        <w:t>coligadas ao capi</w:t>
      </w:r>
      <w:r w:rsidR="00C96BAC" w:rsidRPr="00696A38">
        <w:rPr>
          <w:rFonts w:ascii="Times New Roman" w:hAnsi="Times New Roman"/>
          <w:sz w:val="24"/>
          <w:szCs w:val="24"/>
        </w:rPr>
        <w:t>tal produtivo, não apenas pelo peso da</w:t>
      </w:r>
      <w:r w:rsidRPr="00696A38">
        <w:rPr>
          <w:rFonts w:ascii="Times New Roman" w:hAnsi="Times New Roman"/>
          <w:sz w:val="24"/>
          <w:szCs w:val="24"/>
        </w:rPr>
        <w:t xml:space="preserve"> representação numérica, mas também pelos progr</w:t>
      </w:r>
      <w:r w:rsidR="004B78A3" w:rsidRPr="00696A38">
        <w:rPr>
          <w:rFonts w:ascii="Times New Roman" w:hAnsi="Times New Roman"/>
          <w:sz w:val="24"/>
          <w:szCs w:val="24"/>
        </w:rPr>
        <w:t xml:space="preserve">amas advindos de suas entidades (plasmados nos principais documentos do Conselho), </w:t>
      </w:r>
      <w:r w:rsidRPr="00696A38">
        <w:rPr>
          <w:rFonts w:ascii="Times New Roman" w:hAnsi="Times New Roman"/>
          <w:sz w:val="24"/>
          <w:szCs w:val="24"/>
        </w:rPr>
        <w:t>encontraram no CDES espaço adequado para a</w:t>
      </w:r>
      <w:r w:rsidR="00523BB6">
        <w:rPr>
          <w:rFonts w:ascii="Times New Roman" w:hAnsi="Times New Roman"/>
          <w:sz w:val="24"/>
          <w:szCs w:val="24"/>
        </w:rPr>
        <w:t>aglut</w:t>
      </w:r>
      <w:r w:rsidR="00C02D4E" w:rsidRPr="00696A38">
        <w:rPr>
          <w:rFonts w:ascii="Times New Roman" w:hAnsi="Times New Roman"/>
          <w:sz w:val="24"/>
          <w:szCs w:val="24"/>
        </w:rPr>
        <w:t>inação seletiva ressignificada das pautas distributiva</w:t>
      </w:r>
      <w:r w:rsidR="00924F64">
        <w:rPr>
          <w:rFonts w:ascii="Times New Roman" w:hAnsi="Times New Roman"/>
          <w:sz w:val="24"/>
          <w:szCs w:val="24"/>
        </w:rPr>
        <w:t>s</w:t>
      </w:r>
      <w:r w:rsidR="00C02D4E" w:rsidRPr="00696A38">
        <w:rPr>
          <w:rFonts w:ascii="Times New Roman" w:hAnsi="Times New Roman"/>
          <w:sz w:val="24"/>
          <w:szCs w:val="24"/>
        </w:rPr>
        <w:t xml:space="preserve"> e ponto de encontro das demandas setoriais dos capitais representados. Esta interseção de pautas  foi, contudo, dirigida pelo grande capital produtor de valor</w:t>
      </w:r>
      <w:r w:rsidR="000A3B7E" w:rsidRPr="00696A38">
        <w:rPr>
          <w:rFonts w:ascii="Times New Roman" w:hAnsi="Times New Roman"/>
          <w:sz w:val="24"/>
          <w:szCs w:val="24"/>
        </w:rPr>
        <w:t>, com vistas ao maior acesso e manejo ao fundo público</w:t>
      </w:r>
      <w:r w:rsidRPr="00696A38">
        <w:rPr>
          <w:rFonts w:ascii="Times New Roman" w:hAnsi="Times New Roman"/>
          <w:sz w:val="24"/>
          <w:szCs w:val="24"/>
        </w:rPr>
        <w:t xml:space="preserve">. Este projeto não </w:t>
      </w:r>
      <w:r w:rsidR="00C02D4E" w:rsidRPr="00696A38">
        <w:rPr>
          <w:rFonts w:ascii="Times New Roman" w:hAnsi="Times New Roman"/>
          <w:sz w:val="24"/>
          <w:szCs w:val="24"/>
        </w:rPr>
        <w:t xml:space="preserve">visava a </w:t>
      </w:r>
      <w:r w:rsidRPr="00696A38">
        <w:rPr>
          <w:rFonts w:ascii="Times New Roman" w:hAnsi="Times New Roman"/>
          <w:sz w:val="24"/>
          <w:szCs w:val="24"/>
        </w:rPr>
        <w:t>expul</w:t>
      </w:r>
      <w:r w:rsidR="00C02D4E" w:rsidRPr="00696A38">
        <w:rPr>
          <w:rFonts w:ascii="Times New Roman" w:hAnsi="Times New Roman"/>
          <w:sz w:val="24"/>
          <w:szCs w:val="24"/>
        </w:rPr>
        <w:t>são d</w:t>
      </w:r>
      <w:r w:rsidRPr="00696A38">
        <w:rPr>
          <w:rFonts w:ascii="Times New Roman" w:hAnsi="Times New Roman"/>
          <w:sz w:val="24"/>
          <w:szCs w:val="24"/>
        </w:rPr>
        <w:t xml:space="preserve">o capital portador de juros, mas não o </w:t>
      </w:r>
      <w:r w:rsidR="00C02D4E" w:rsidRPr="00696A38">
        <w:rPr>
          <w:rFonts w:ascii="Times New Roman" w:hAnsi="Times New Roman"/>
          <w:sz w:val="24"/>
          <w:szCs w:val="24"/>
        </w:rPr>
        <w:t>punha</w:t>
      </w:r>
      <w:r w:rsidRPr="00696A38">
        <w:rPr>
          <w:rFonts w:ascii="Times New Roman" w:hAnsi="Times New Roman"/>
          <w:sz w:val="24"/>
          <w:szCs w:val="24"/>
        </w:rPr>
        <w:t xml:space="preserve"> em lugar de supremacia: </w:t>
      </w:r>
      <w:r w:rsidRPr="00696A38">
        <w:rPr>
          <w:rFonts w:ascii="Times New Roman" w:hAnsi="Times New Roman"/>
          <w:i/>
          <w:sz w:val="24"/>
          <w:szCs w:val="24"/>
        </w:rPr>
        <w:t>no CDES</w:t>
      </w:r>
      <w:r w:rsidRPr="00696A38">
        <w:rPr>
          <w:rFonts w:ascii="Times New Roman" w:hAnsi="Times New Roman"/>
          <w:sz w:val="24"/>
          <w:szCs w:val="24"/>
        </w:rPr>
        <w:t xml:space="preserve">, as “burguesias produtivas”, aliadas ao operador político e </w:t>
      </w:r>
      <w:r w:rsidR="000A3B7E" w:rsidRPr="00696A38">
        <w:rPr>
          <w:rFonts w:ascii="Times New Roman" w:hAnsi="Times New Roman"/>
          <w:sz w:val="24"/>
          <w:szCs w:val="24"/>
        </w:rPr>
        <w:t>prepostos adjacentes, estabelecia</w:t>
      </w:r>
      <w:r w:rsidRPr="00696A38">
        <w:rPr>
          <w:rFonts w:ascii="Times New Roman" w:hAnsi="Times New Roman"/>
          <w:sz w:val="24"/>
          <w:szCs w:val="24"/>
        </w:rPr>
        <w:t>m seu “condomínio”, mas o faz</w:t>
      </w:r>
      <w:r w:rsidR="000A3B7E" w:rsidRPr="00696A38">
        <w:rPr>
          <w:rFonts w:ascii="Times New Roman" w:hAnsi="Times New Roman"/>
          <w:sz w:val="24"/>
          <w:szCs w:val="24"/>
        </w:rPr>
        <w:t>ia</w:t>
      </w:r>
      <w:r w:rsidRPr="00696A38">
        <w:rPr>
          <w:rFonts w:ascii="Times New Roman" w:hAnsi="Times New Roman"/>
          <w:sz w:val="24"/>
          <w:szCs w:val="24"/>
        </w:rPr>
        <w:t>m exatamente porque não se aproxima</w:t>
      </w:r>
      <w:r w:rsidR="000A3B7E" w:rsidRPr="00696A38">
        <w:rPr>
          <w:rFonts w:ascii="Times New Roman" w:hAnsi="Times New Roman"/>
          <w:sz w:val="24"/>
          <w:szCs w:val="24"/>
        </w:rPr>
        <w:t>va</w:t>
      </w:r>
      <w:r w:rsidRPr="00696A38">
        <w:rPr>
          <w:rFonts w:ascii="Times New Roman" w:hAnsi="Times New Roman"/>
          <w:sz w:val="24"/>
          <w:szCs w:val="24"/>
        </w:rPr>
        <w:t>m ou ameaçam o “núcleo do poder” estatal. Tanto assim o é que suas demandas são atendidas, mas de formas parcela</w:t>
      </w:r>
      <w:r w:rsidR="000A3B7E" w:rsidRPr="00696A38">
        <w:rPr>
          <w:rFonts w:ascii="Times New Roman" w:hAnsi="Times New Roman"/>
          <w:sz w:val="24"/>
          <w:szCs w:val="24"/>
        </w:rPr>
        <w:t>das, fragmentadas, combinadas com outras</w:t>
      </w:r>
      <w:r w:rsidRPr="00696A38">
        <w:rPr>
          <w:rFonts w:ascii="Times New Roman" w:hAnsi="Times New Roman"/>
          <w:sz w:val="24"/>
          <w:szCs w:val="24"/>
        </w:rPr>
        <w:t>, a “conta-gotas”, etc.</w:t>
      </w:r>
    </w:p>
    <w:p w:rsidR="008938AD" w:rsidRPr="00696A38" w:rsidRDefault="00617961" w:rsidP="008938AD">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No</w:t>
      </w:r>
      <w:r w:rsidR="00D66C2E">
        <w:rPr>
          <w:rFonts w:ascii="Times New Roman" w:hAnsi="Times New Roman"/>
          <w:sz w:val="24"/>
          <w:szCs w:val="24"/>
        </w:rPr>
        <w:t xml:space="preserve"> processo d</w:t>
      </w:r>
      <w:r>
        <w:rPr>
          <w:rFonts w:ascii="Times New Roman" w:hAnsi="Times New Roman"/>
          <w:sz w:val="24"/>
          <w:szCs w:val="24"/>
        </w:rPr>
        <w:t>e</w:t>
      </w:r>
      <w:r w:rsidR="00C02D4E" w:rsidRPr="00696A38">
        <w:rPr>
          <w:rFonts w:ascii="Times New Roman" w:hAnsi="Times New Roman"/>
          <w:sz w:val="24"/>
          <w:szCs w:val="24"/>
        </w:rPr>
        <w:t xml:space="preserve">direção hegemônica a que nos referimos, é importante enfatizar, </w:t>
      </w:r>
      <w:r w:rsidR="00D66C2E">
        <w:rPr>
          <w:rFonts w:ascii="Times New Roman" w:hAnsi="Times New Roman"/>
          <w:sz w:val="24"/>
          <w:szCs w:val="24"/>
        </w:rPr>
        <w:t>era</w:t>
      </w:r>
      <w:r>
        <w:rPr>
          <w:rFonts w:ascii="Times New Roman" w:hAnsi="Times New Roman"/>
          <w:sz w:val="24"/>
          <w:szCs w:val="24"/>
        </w:rPr>
        <w:t xml:space="preserve"> importante e</w:t>
      </w:r>
      <w:r w:rsidR="00D66C2E">
        <w:rPr>
          <w:rFonts w:ascii="Times New Roman" w:hAnsi="Times New Roman"/>
          <w:sz w:val="24"/>
          <w:szCs w:val="24"/>
        </w:rPr>
        <w:t xml:space="preserve"> funcional </w:t>
      </w:r>
      <w:r w:rsidR="00C02D4E" w:rsidRPr="00696A38">
        <w:rPr>
          <w:rFonts w:ascii="Times New Roman" w:hAnsi="Times New Roman"/>
          <w:sz w:val="24"/>
          <w:szCs w:val="24"/>
        </w:rPr>
        <w:t>que não trouxesse claramente a força do grupo social hegemônico, não apenas porque estava em operação o exercício de montagem dessa direção, mas também porque</w:t>
      </w:r>
      <w:r w:rsidR="0023553E" w:rsidRPr="00696A38">
        <w:rPr>
          <w:rFonts w:ascii="Times New Roman" w:hAnsi="Times New Roman"/>
          <w:sz w:val="24"/>
          <w:szCs w:val="24"/>
        </w:rPr>
        <w:t xml:space="preserve"> a apresentação de tal força</w:t>
      </w:r>
      <w:r w:rsidR="00C02D4E" w:rsidRPr="00696A38">
        <w:rPr>
          <w:rFonts w:ascii="Times New Roman" w:hAnsi="Times New Roman"/>
          <w:sz w:val="24"/>
          <w:szCs w:val="24"/>
        </w:rPr>
        <w:t xml:space="preserve"> poderia desfigurar, esvaziar ou deslegitimar o Conselho como espaço </w:t>
      </w:r>
      <w:r w:rsidR="0023553E" w:rsidRPr="00696A38">
        <w:rPr>
          <w:rFonts w:ascii="Times New Roman" w:hAnsi="Times New Roman"/>
          <w:sz w:val="24"/>
          <w:szCs w:val="24"/>
        </w:rPr>
        <w:t xml:space="preserve">autoproclamado </w:t>
      </w:r>
      <w:r w:rsidR="00C02D4E" w:rsidRPr="00696A38">
        <w:rPr>
          <w:rFonts w:ascii="Times New Roman" w:hAnsi="Times New Roman"/>
          <w:sz w:val="24"/>
          <w:szCs w:val="24"/>
        </w:rPr>
        <w:t>“democrático”</w:t>
      </w:r>
      <w:r w:rsidR="0023553E" w:rsidRPr="00696A38">
        <w:rPr>
          <w:rFonts w:ascii="Times New Roman" w:hAnsi="Times New Roman"/>
          <w:sz w:val="24"/>
          <w:szCs w:val="24"/>
        </w:rPr>
        <w:t xml:space="preserve">, “pactuador”, “concertacionista”, ideário que de fato dava coesão interna aos distintos grupos sociais. Este ideário delimitava a intensidade e o alcance da direção da hegemonia do grande capital produtor de valor, ao mesmo tempo em que impulsionava o projeto de sociabilidade do grande capital em geral: era preciso construir uma “democracia” “dialógica”, </w:t>
      </w:r>
      <w:r w:rsidR="00F32689" w:rsidRPr="00696A38">
        <w:rPr>
          <w:rFonts w:ascii="Times New Roman" w:hAnsi="Times New Roman"/>
          <w:sz w:val="24"/>
          <w:szCs w:val="24"/>
        </w:rPr>
        <w:t xml:space="preserve">“híbrida”, </w:t>
      </w:r>
      <w:r w:rsidR="0023553E" w:rsidRPr="00696A38">
        <w:rPr>
          <w:rFonts w:ascii="Times New Roman" w:hAnsi="Times New Roman"/>
          <w:sz w:val="24"/>
          <w:szCs w:val="24"/>
        </w:rPr>
        <w:t>“participativa”, “concertacionista” como aprofundamento e aprimoramento da vida política do país, sem contudo tocar no elemento principal que o organizava e</w:t>
      </w:r>
      <w:r w:rsidR="00F32689" w:rsidRPr="00696A38">
        <w:rPr>
          <w:rFonts w:ascii="Times New Roman" w:hAnsi="Times New Roman"/>
          <w:sz w:val="24"/>
          <w:szCs w:val="24"/>
        </w:rPr>
        <w:t xml:space="preserve"> que</w:t>
      </w:r>
      <w:r w:rsidR="0023553E" w:rsidRPr="00696A38">
        <w:rPr>
          <w:rFonts w:ascii="Times New Roman" w:hAnsi="Times New Roman"/>
          <w:sz w:val="24"/>
          <w:szCs w:val="24"/>
        </w:rPr>
        <w:t>, ao fim ao cabo, era sua razão de ser</w:t>
      </w:r>
      <w:r w:rsidR="005D22D7">
        <w:rPr>
          <w:rFonts w:ascii="Times New Roman" w:hAnsi="Times New Roman"/>
          <w:sz w:val="24"/>
          <w:szCs w:val="24"/>
        </w:rPr>
        <w:t>:</w:t>
      </w:r>
      <w:r w:rsidR="00F32689" w:rsidRPr="00696A38">
        <w:rPr>
          <w:rFonts w:ascii="Times New Roman" w:hAnsi="Times New Roman"/>
          <w:sz w:val="24"/>
          <w:szCs w:val="24"/>
        </w:rPr>
        <w:t xml:space="preserve"> inverter o que </w:t>
      </w:r>
      <w:r w:rsidR="00317D03">
        <w:rPr>
          <w:rFonts w:ascii="Times New Roman" w:hAnsi="Times New Roman"/>
          <w:sz w:val="24"/>
          <w:szCs w:val="24"/>
        </w:rPr>
        <w:t>era</w:t>
      </w:r>
      <w:r w:rsidR="00F32689" w:rsidRPr="00696A38">
        <w:rPr>
          <w:rFonts w:ascii="Times New Roman" w:hAnsi="Times New Roman"/>
          <w:sz w:val="24"/>
          <w:szCs w:val="24"/>
        </w:rPr>
        <w:t xml:space="preserve"> maioria no mundo real em minoria representada e o que </w:t>
      </w:r>
      <w:r w:rsidR="00317D03">
        <w:rPr>
          <w:rFonts w:ascii="Times New Roman" w:hAnsi="Times New Roman"/>
          <w:sz w:val="24"/>
          <w:szCs w:val="24"/>
        </w:rPr>
        <w:t xml:space="preserve">era minoria no mundo real </w:t>
      </w:r>
      <w:r w:rsidR="00635D49">
        <w:rPr>
          <w:rFonts w:ascii="Times New Roman" w:hAnsi="Times New Roman"/>
          <w:sz w:val="24"/>
          <w:szCs w:val="24"/>
        </w:rPr>
        <w:t>em</w:t>
      </w:r>
      <w:r w:rsidR="00F32689" w:rsidRPr="00696A38">
        <w:rPr>
          <w:rFonts w:ascii="Times New Roman" w:hAnsi="Times New Roman"/>
          <w:sz w:val="24"/>
          <w:szCs w:val="24"/>
        </w:rPr>
        <w:t xml:space="preserve"> maioria</w:t>
      </w:r>
      <w:r w:rsidR="00635D49">
        <w:rPr>
          <w:rFonts w:ascii="Times New Roman" w:hAnsi="Times New Roman"/>
          <w:sz w:val="24"/>
          <w:szCs w:val="24"/>
        </w:rPr>
        <w:t xml:space="preserve"> no CDES</w:t>
      </w:r>
      <w:r w:rsidR="00F32689" w:rsidRPr="00696A38">
        <w:rPr>
          <w:rFonts w:ascii="Times New Roman" w:hAnsi="Times New Roman"/>
          <w:sz w:val="24"/>
          <w:szCs w:val="24"/>
        </w:rPr>
        <w:t xml:space="preserve">, não apenas numérica, mas programática, isto é, </w:t>
      </w:r>
      <w:r w:rsidR="00F32689" w:rsidRPr="00696A38">
        <w:rPr>
          <w:rFonts w:ascii="Times New Roman" w:hAnsi="Times New Roman"/>
          <w:i/>
          <w:sz w:val="24"/>
          <w:szCs w:val="24"/>
        </w:rPr>
        <w:t xml:space="preserve">um dos </w:t>
      </w:r>
      <w:r w:rsidR="00F32689" w:rsidRPr="00696A38">
        <w:rPr>
          <w:rFonts w:ascii="Times New Roman" w:hAnsi="Times New Roman"/>
          <w:sz w:val="24"/>
          <w:szCs w:val="24"/>
        </w:rPr>
        <w:t>constructos de</w:t>
      </w:r>
      <w:r w:rsidR="00073884" w:rsidRPr="00696A38">
        <w:rPr>
          <w:rFonts w:ascii="Times New Roman" w:hAnsi="Times New Roman"/>
          <w:sz w:val="24"/>
          <w:szCs w:val="24"/>
        </w:rPr>
        <w:t xml:space="preserve"> operacionalização (fazer-se) da</w:t>
      </w:r>
      <w:r w:rsidR="00F32689" w:rsidRPr="00696A38">
        <w:rPr>
          <w:rFonts w:ascii="Times New Roman" w:hAnsi="Times New Roman"/>
          <w:sz w:val="24"/>
          <w:szCs w:val="24"/>
        </w:rPr>
        <w:t xml:space="preserve"> hegemonia do grande capital.</w:t>
      </w:r>
    </w:p>
    <w:p w:rsidR="008938AD" w:rsidRPr="00696A38" w:rsidRDefault="008938AD" w:rsidP="008938AD">
      <w:pPr>
        <w:autoSpaceDE w:val="0"/>
        <w:autoSpaceDN w:val="0"/>
        <w:adjustRightInd w:val="0"/>
        <w:spacing w:after="0" w:line="360" w:lineRule="auto"/>
        <w:ind w:firstLine="708"/>
        <w:jc w:val="both"/>
        <w:rPr>
          <w:rFonts w:ascii="Times New Roman" w:hAnsi="Times New Roman"/>
          <w:sz w:val="24"/>
          <w:szCs w:val="24"/>
        </w:rPr>
      </w:pPr>
      <w:r w:rsidRPr="00696A38">
        <w:rPr>
          <w:rFonts w:ascii="Times New Roman" w:hAnsi="Times New Roman"/>
          <w:sz w:val="24"/>
          <w:szCs w:val="24"/>
        </w:rPr>
        <w:t>O CDES não foi decisivo para a correlação de forças entre as frações das classes dominantes. Ele não foi criado e operado para ser um lugar em que o capital produtor valor alçasse à posição de fração dirigente no</w:t>
      </w:r>
      <w:r w:rsidR="00317D03">
        <w:rPr>
          <w:rFonts w:ascii="Times New Roman" w:hAnsi="Times New Roman"/>
          <w:sz w:val="24"/>
          <w:szCs w:val="24"/>
        </w:rPr>
        <w:t xml:space="preserve"> seio do</w:t>
      </w:r>
      <w:r w:rsidRPr="00696A38">
        <w:rPr>
          <w:rFonts w:ascii="Times New Roman" w:hAnsi="Times New Roman"/>
          <w:sz w:val="24"/>
          <w:szCs w:val="24"/>
        </w:rPr>
        <w:t xml:space="preserve"> bloco no poder. Sobre es</w:t>
      </w:r>
      <w:r w:rsidR="007A574B" w:rsidRPr="00696A38">
        <w:rPr>
          <w:rFonts w:ascii="Times New Roman" w:hAnsi="Times New Roman"/>
          <w:sz w:val="24"/>
          <w:szCs w:val="24"/>
        </w:rPr>
        <w:t>s</w:t>
      </w:r>
      <w:r w:rsidRPr="00696A38">
        <w:rPr>
          <w:rFonts w:ascii="Times New Roman" w:hAnsi="Times New Roman"/>
          <w:sz w:val="24"/>
          <w:szCs w:val="24"/>
        </w:rPr>
        <w:t>e tema</w:t>
      </w:r>
      <w:r w:rsidR="000A3B7E" w:rsidRPr="00696A38">
        <w:rPr>
          <w:rFonts w:ascii="Times New Roman" w:hAnsi="Times New Roman"/>
          <w:sz w:val="24"/>
          <w:szCs w:val="24"/>
        </w:rPr>
        <w:t>,</w:t>
      </w:r>
      <w:r w:rsidRPr="00696A38">
        <w:rPr>
          <w:rFonts w:ascii="Times New Roman" w:hAnsi="Times New Roman"/>
          <w:sz w:val="24"/>
          <w:szCs w:val="24"/>
        </w:rPr>
        <w:t xml:space="preserve"> seu papel </w:t>
      </w:r>
      <w:r w:rsidR="000A3B7E" w:rsidRPr="00696A38">
        <w:rPr>
          <w:rFonts w:ascii="Times New Roman" w:hAnsi="Times New Roman"/>
          <w:sz w:val="24"/>
          <w:szCs w:val="24"/>
        </w:rPr>
        <w:t>revelou</w:t>
      </w:r>
      <w:r w:rsidRPr="00696A38">
        <w:rPr>
          <w:rFonts w:ascii="Times New Roman" w:hAnsi="Times New Roman"/>
          <w:sz w:val="24"/>
          <w:szCs w:val="24"/>
        </w:rPr>
        <w:t xml:space="preserve"> importância na medida em que </w:t>
      </w:r>
      <w:r w:rsidR="000A3B7E" w:rsidRPr="00696A38">
        <w:rPr>
          <w:rFonts w:ascii="Times New Roman" w:hAnsi="Times New Roman"/>
          <w:i/>
          <w:sz w:val="24"/>
          <w:szCs w:val="24"/>
        </w:rPr>
        <w:t>contribuiu</w:t>
      </w:r>
      <w:r w:rsidR="000A3B7E" w:rsidRPr="00696A38">
        <w:rPr>
          <w:rFonts w:ascii="Times New Roman" w:hAnsi="Times New Roman"/>
          <w:sz w:val="24"/>
          <w:szCs w:val="24"/>
        </w:rPr>
        <w:t xml:space="preserve"> para </w:t>
      </w:r>
      <w:r w:rsidR="007A574B" w:rsidRPr="00696A38">
        <w:rPr>
          <w:rFonts w:ascii="Times New Roman" w:hAnsi="Times New Roman"/>
          <w:sz w:val="24"/>
          <w:szCs w:val="24"/>
        </w:rPr>
        <w:t>nutrir</w:t>
      </w:r>
      <w:r w:rsidR="000A3B7E" w:rsidRPr="00696A38">
        <w:rPr>
          <w:rFonts w:ascii="Times New Roman" w:hAnsi="Times New Roman"/>
          <w:sz w:val="24"/>
          <w:szCs w:val="24"/>
        </w:rPr>
        <w:t xml:space="preserve"> uma pedagogia que ensinasse os próprios </w:t>
      </w:r>
      <w:r w:rsidRPr="00696A38">
        <w:rPr>
          <w:rFonts w:ascii="Times New Roman" w:hAnsi="Times New Roman"/>
          <w:sz w:val="24"/>
          <w:szCs w:val="24"/>
        </w:rPr>
        <w:t>setores dominantes a acordarem entre si e a acordar</w:t>
      </w:r>
      <w:r w:rsidR="007A574B" w:rsidRPr="00696A38">
        <w:rPr>
          <w:rFonts w:ascii="Times New Roman" w:hAnsi="Times New Roman"/>
          <w:sz w:val="24"/>
          <w:szCs w:val="24"/>
        </w:rPr>
        <w:t>em entre si</w:t>
      </w:r>
      <w:r w:rsidR="004B78A3" w:rsidRPr="00696A38">
        <w:rPr>
          <w:rFonts w:ascii="Times New Roman" w:hAnsi="Times New Roman"/>
          <w:sz w:val="24"/>
          <w:szCs w:val="24"/>
        </w:rPr>
        <w:t>per</w:t>
      </w:r>
      <w:r w:rsidRPr="00696A38">
        <w:rPr>
          <w:rFonts w:ascii="Times New Roman" w:hAnsi="Times New Roman"/>
          <w:sz w:val="24"/>
          <w:szCs w:val="24"/>
        </w:rPr>
        <w:t xml:space="preserve">ante os dominados e, fundamentalmente, </w:t>
      </w:r>
      <w:r w:rsidR="007A574B" w:rsidRPr="00696A38">
        <w:rPr>
          <w:rFonts w:ascii="Times New Roman" w:hAnsi="Times New Roman"/>
          <w:sz w:val="24"/>
          <w:szCs w:val="24"/>
        </w:rPr>
        <w:t>uma pedagogia que reforçava nos dominados o exercício da abdicação</w:t>
      </w:r>
      <w:r w:rsidRPr="00696A38">
        <w:rPr>
          <w:rFonts w:ascii="Times New Roman" w:hAnsi="Times New Roman"/>
          <w:sz w:val="24"/>
          <w:szCs w:val="24"/>
        </w:rPr>
        <w:t xml:space="preserve">da luta de classes </w:t>
      </w:r>
      <w:r w:rsidR="007A574B" w:rsidRPr="00696A38">
        <w:rPr>
          <w:rFonts w:ascii="Times New Roman" w:hAnsi="Times New Roman"/>
          <w:sz w:val="24"/>
          <w:szCs w:val="24"/>
        </w:rPr>
        <w:t>em favor da pactuação</w:t>
      </w:r>
      <w:r w:rsidRPr="00696A38">
        <w:rPr>
          <w:rFonts w:ascii="Times New Roman" w:hAnsi="Times New Roman"/>
          <w:sz w:val="24"/>
          <w:szCs w:val="24"/>
        </w:rPr>
        <w:t xml:space="preserve"> com os dominantes, sob a orientação </w:t>
      </w:r>
      <w:r w:rsidR="006F7603" w:rsidRPr="00696A38">
        <w:rPr>
          <w:rFonts w:ascii="Times New Roman" w:hAnsi="Times New Roman"/>
          <w:sz w:val="24"/>
          <w:szCs w:val="24"/>
        </w:rPr>
        <w:t xml:space="preserve">e esforço </w:t>
      </w:r>
      <w:r w:rsidRPr="00696A38">
        <w:rPr>
          <w:rFonts w:ascii="Times New Roman" w:hAnsi="Times New Roman"/>
          <w:sz w:val="24"/>
          <w:szCs w:val="24"/>
        </w:rPr>
        <w:t xml:space="preserve">de seu novo operador político. Isto lhe atribuiu um “formato democrático” </w:t>
      </w:r>
      <w:r w:rsidRPr="00696A38">
        <w:rPr>
          <w:rFonts w:ascii="Times New Roman" w:hAnsi="Times New Roman"/>
          <w:i/>
          <w:sz w:val="24"/>
          <w:szCs w:val="24"/>
        </w:rPr>
        <w:t xml:space="preserve">sui generis, </w:t>
      </w:r>
      <w:r w:rsidRPr="00696A38">
        <w:rPr>
          <w:rFonts w:ascii="Times New Roman" w:hAnsi="Times New Roman"/>
          <w:sz w:val="24"/>
          <w:szCs w:val="24"/>
        </w:rPr>
        <w:t>isto é, uma democracia capturada pelos grandes capitalistas, sob um experimento político inovador, capaz de refinar a hegemonia política, de promover deslocamentos de posições antes mais difíceis ou impossíveis de se</w:t>
      </w:r>
      <w:r w:rsidR="006F7603" w:rsidRPr="00696A38">
        <w:rPr>
          <w:rFonts w:ascii="Times New Roman" w:hAnsi="Times New Roman"/>
          <w:sz w:val="24"/>
          <w:szCs w:val="24"/>
        </w:rPr>
        <w:t>rem realizadas</w:t>
      </w:r>
      <w:r w:rsidRPr="00696A38">
        <w:rPr>
          <w:rFonts w:ascii="Times New Roman" w:hAnsi="Times New Roman"/>
          <w:sz w:val="24"/>
          <w:szCs w:val="24"/>
        </w:rPr>
        <w:t xml:space="preserve"> e, sobretudo, de garantir que a plura</w:t>
      </w:r>
      <w:r w:rsidR="006F7603" w:rsidRPr="00696A38">
        <w:rPr>
          <w:rFonts w:ascii="Times New Roman" w:hAnsi="Times New Roman"/>
          <w:sz w:val="24"/>
          <w:szCs w:val="24"/>
        </w:rPr>
        <w:t>lidade da sociedade civil estivesse</w:t>
      </w:r>
      <w:r w:rsidRPr="00696A38">
        <w:rPr>
          <w:rFonts w:ascii="Times New Roman" w:hAnsi="Times New Roman"/>
          <w:sz w:val="24"/>
          <w:szCs w:val="24"/>
        </w:rPr>
        <w:t xml:space="preserve"> presente para que a concertação (a hegemonia) </w:t>
      </w:r>
      <w:r w:rsidR="006F7603" w:rsidRPr="00696A38">
        <w:rPr>
          <w:rFonts w:ascii="Times New Roman" w:hAnsi="Times New Roman"/>
          <w:sz w:val="24"/>
          <w:szCs w:val="24"/>
        </w:rPr>
        <w:t>fosse</w:t>
      </w:r>
      <w:r w:rsidRPr="00696A38">
        <w:rPr>
          <w:rFonts w:ascii="Times New Roman" w:hAnsi="Times New Roman"/>
          <w:sz w:val="24"/>
          <w:szCs w:val="24"/>
        </w:rPr>
        <w:t xml:space="preserve"> exercida de cima par</w:t>
      </w:r>
      <w:r w:rsidR="007A574B" w:rsidRPr="00696A38">
        <w:rPr>
          <w:rFonts w:ascii="Times New Roman" w:hAnsi="Times New Roman"/>
          <w:sz w:val="24"/>
          <w:szCs w:val="24"/>
        </w:rPr>
        <w:t>a baixo, em nome do aprimoramento da</w:t>
      </w:r>
      <w:r w:rsidRPr="00696A38">
        <w:rPr>
          <w:rFonts w:ascii="Times New Roman" w:hAnsi="Times New Roman"/>
          <w:sz w:val="24"/>
          <w:szCs w:val="24"/>
        </w:rPr>
        <w:t xml:space="preserve"> “democracia”</w:t>
      </w:r>
      <w:r w:rsidR="003A5ACA" w:rsidRPr="00696A38">
        <w:rPr>
          <w:rFonts w:ascii="Times New Roman" w:hAnsi="Times New Roman"/>
          <w:sz w:val="24"/>
          <w:szCs w:val="24"/>
        </w:rPr>
        <w:t>, e com um componente po</w:t>
      </w:r>
      <w:r w:rsidR="007A574B" w:rsidRPr="00696A38">
        <w:rPr>
          <w:rFonts w:ascii="Times New Roman" w:hAnsi="Times New Roman"/>
          <w:sz w:val="24"/>
          <w:szCs w:val="24"/>
        </w:rPr>
        <w:t>pular completamente desfigurado.</w:t>
      </w:r>
    </w:p>
    <w:p w:rsidR="00752C15" w:rsidRDefault="00752C15"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617961" w:rsidRDefault="00617961" w:rsidP="00617961">
      <w:pPr>
        <w:tabs>
          <w:tab w:val="left" w:pos="0"/>
        </w:tabs>
        <w:spacing w:after="0"/>
        <w:jc w:val="both"/>
        <w:rPr>
          <w:rFonts w:ascii="Times New Roman" w:hAnsi="Times New Roman"/>
          <w:b/>
          <w:sz w:val="24"/>
          <w:szCs w:val="24"/>
        </w:rPr>
      </w:pPr>
    </w:p>
    <w:p w:rsidR="00837AC8" w:rsidRDefault="001730DC" w:rsidP="00430F38">
      <w:pPr>
        <w:tabs>
          <w:tab w:val="left" w:pos="0"/>
        </w:tabs>
        <w:spacing w:after="0"/>
        <w:jc w:val="center"/>
        <w:rPr>
          <w:rFonts w:ascii="Times New Roman" w:hAnsi="Times New Roman"/>
          <w:b/>
          <w:sz w:val="24"/>
          <w:szCs w:val="24"/>
        </w:rPr>
      </w:pPr>
      <w:r>
        <w:rPr>
          <w:rFonts w:ascii="Times New Roman" w:hAnsi="Times New Roman"/>
          <w:b/>
          <w:sz w:val="24"/>
          <w:szCs w:val="24"/>
        </w:rPr>
        <w:t>C</w:t>
      </w:r>
      <w:r w:rsidR="00430F38">
        <w:rPr>
          <w:rFonts w:ascii="Times New Roman" w:hAnsi="Times New Roman"/>
          <w:b/>
          <w:sz w:val="24"/>
          <w:szCs w:val="24"/>
        </w:rPr>
        <w:t>APÍTULO 4 – O CDES DIANTE DA CRISE ECONÔMICA: CÂMARA DE GESTÃO PARA O CAPITAL E CANAL DE SUBSUNÇÃO REAL DOS TRABALHADORES (2007-2010)</w:t>
      </w:r>
    </w:p>
    <w:p w:rsidR="00837AC8" w:rsidRPr="00D34973" w:rsidRDefault="00837AC8" w:rsidP="00837AC8">
      <w:pPr>
        <w:tabs>
          <w:tab w:val="left" w:pos="0"/>
        </w:tabs>
        <w:jc w:val="center"/>
        <w:rPr>
          <w:rFonts w:ascii="Times New Roman" w:hAnsi="Times New Roman"/>
          <w:b/>
          <w:sz w:val="24"/>
          <w:szCs w:val="24"/>
        </w:rPr>
      </w:pPr>
    </w:p>
    <w:p w:rsidR="00837AC8" w:rsidRDefault="00837AC8" w:rsidP="00837AC8">
      <w:pPr>
        <w:spacing w:after="0"/>
        <w:ind w:left="2268"/>
        <w:jc w:val="right"/>
        <w:rPr>
          <w:rFonts w:ascii="Times New Roman" w:hAnsi="Times New Roman"/>
          <w:i/>
          <w:sz w:val="20"/>
          <w:szCs w:val="20"/>
        </w:rPr>
      </w:pPr>
      <w:r>
        <w:rPr>
          <w:rFonts w:ascii="Times New Roman" w:hAnsi="Times New Roman"/>
          <w:i/>
          <w:sz w:val="20"/>
          <w:szCs w:val="20"/>
        </w:rPr>
        <w:t>As pessoas falam da carga tributária, mas não falam dos ganhos.</w:t>
      </w:r>
    </w:p>
    <w:p w:rsidR="00837AC8" w:rsidRDefault="00837AC8" w:rsidP="00837AC8">
      <w:pPr>
        <w:spacing w:after="0"/>
        <w:ind w:left="2268"/>
        <w:jc w:val="right"/>
        <w:rPr>
          <w:rFonts w:ascii="Times New Roman" w:hAnsi="Times New Roman"/>
          <w:i/>
          <w:sz w:val="20"/>
          <w:szCs w:val="20"/>
        </w:rPr>
      </w:pPr>
      <w:r>
        <w:rPr>
          <w:rFonts w:ascii="Times New Roman" w:hAnsi="Times New Roman"/>
          <w:i/>
          <w:sz w:val="20"/>
          <w:szCs w:val="20"/>
        </w:rPr>
        <w:t>Ninguém fala quanto as empresas estão ganhando, quanto os</w:t>
      </w:r>
    </w:p>
    <w:p w:rsidR="00837AC8" w:rsidRDefault="00837AC8" w:rsidP="00837AC8">
      <w:pPr>
        <w:spacing w:after="0"/>
        <w:ind w:left="2268"/>
        <w:jc w:val="right"/>
        <w:rPr>
          <w:rFonts w:ascii="Times New Roman" w:hAnsi="Times New Roman"/>
          <w:i/>
          <w:sz w:val="20"/>
          <w:szCs w:val="20"/>
        </w:rPr>
      </w:pPr>
      <w:r>
        <w:rPr>
          <w:rFonts w:ascii="Times New Roman" w:hAnsi="Times New Roman"/>
          <w:i/>
          <w:sz w:val="20"/>
          <w:szCs w:val="20"/>
        </w:rPr>
        <w:t>bancos estão ganhando, o quanto a massa salarial está subindo.</w:t>
      </w:r>
    </w:p>
    <w:p w:rsidR="00837AC8" w:rsidRDefault="00837AC8" w:rsidP="00837AC8">
      <w:pPr>
        <w:spacing w:after="0"/>
        <w:ind w:left="2268"/>
        <w:jc w:val="right"/>
        <w:rPr>
          <w:rFonts w:ascii="Times New Roman" w:hAnsi="Times New Roman"/>
          <w:i/>
          <w:sz w:val="20"/>
          <w:szCs w:val="20"/>
        </w:rPr>
      </w:pPr>
      <w:r>
        <w:rPr>
          <w:rFonts w:ascii="Times New Roman" w:hAnsi="Times New Roman"/>
          <w:i/>
          <w:sz w:val="20"/>
          <w:szCs w:val="20"/>
        </w:rPr>
        <w:t>Ora, se vai tudo bem na economia, a empresa vai ganhar mais,</w:t>
      </w:r>
    </w:p>
    <w:p w:rsidR="00837AC8" w:rsidRDefault="00837AC8" w:rsidP="00837AC8">
      <w:pPr>
        <w:spacing w:after="0"/>
        <w:ind w:left="2268"/>
        <w:jc w:val="right"/>
        <w:rPr>
          <w:rFonts w:ascii="Times New Roman" w:hAnsi="Times New Roman"/>
          <w:i/>
          <w:sz w:val="20"/>
          <w:szCs w:val="20"/>
        </w:rPr>
      </w:pPr>
      <w:r>
        <w:rPr>
          <w:rFonts w:ascii="Times New Roman" w:hAnsi="Times New Roman"/>
          <w:i/>
          <w:sz w:val="20"/>
          <w:szCs w:val="20"/>
        </w:rPr>
        <w:t>O governo vai arrecadar mais, os trabalhadores vão ganhar mais,</w:t>
      </w:r>
    </w:p>
    <w:p w:rsidR="00837AC8" w:rsidRDefault="00837AC8" w:rsidP="00837AC8">
      <w:pPr>
        <w:ind w:left="2268"/>
        <w:jc w:val="right"/>
        <w:rPr>
          <w:rFonts w:ascii="Times New Roman" w:hAnsi="Times New Roman"/>
          <w:i/>
          <w:sz w:val="20"/>
          <w:szCs w:val="20"/>
        </w:rPr>
      </w:pPr>
      <w:r>
        <w:rPr>
          <w:rFonts w:ascii="Times New Roman" w:hAnsi="Times New Roman"/>
          <w:i/>
          <w:sz w:val="20"/>
          <w:szCs w:val="20"/>
        </w:rPr>
        <w:t>todo mundo vai ganhar mais.</w:t>
      </w:r>
      <w:r w:rsidRPr="003F6F30">
        <w:rPr>
          <w:rFonts w:ascii="Times New Roman" w:hAnsi="Times New Roman"/>
          <w:sz w:val="20"/>
          <w:szCs w:val="20"/>
        </w:rPr>
        <w:t>(</w:t>
      </w:r>
      <w:r>
        <w:rPr>
          <w:rFonts w:ascii="Times New Roman" w:hAnsi="Times New Roman"/>
          <w:sz w:val="20"/>
          <w:szCs w:val="20"/>
        </w:rPr>
        <w:t>Discurso do Presidente Lula da Silva na 23</w:t>
      </w:r>
      <w:r w:rsidRPr="003F6F30">
        <w:rPr>
          <w:rFonts w:ascii="Times New Roman" w:hAnsi="Times New Roman"/>
          <w:sz w:val="20"/>
          <w:szCs w:val="20"/>
        </w:rPr>
        <w:t xml:space="preserve">ª Reunião Plenária do CDES, </w:t>
      </w:r>
      <w:r>
        <w:rPr>
          <w:rFonts w:ascii="Times New Roman" w:hAnsi="Times New Roman"/>
          <w:sz w:val="20"/>
          <w:szCs w:val="20"/>
        </w:rPr>
        <w:t>20</w:t>
      </w:r>
      <w:r w:rsidRPr="003F6F30">
        <w:rPr>
          <w:rFonts w:ascii="Times New Roman" w:hAnsi="Times New Roman"/>
          <w:sz w:val="20"/>
          <w:szCs w:val="20"/>
        </w:rPr>
        <w:t>/</w:t>
      </w:r>
      <w:r>
        <w:rPr>
          <w:rFonts w:ascii="Times New Roman" w:hAnsi="Times New Roman"/>
          <w:sz w:val="20"/>
          <w:szCs w:val="20"/>
        </w:rPr>
        <w:t>09</w:t>
      </w:r>
      <w:r w:rsidRPr="003F6F30">
        <w:rPr>
          <w:rFonts w:ascii="Times New Roman" w:hAnsi="Times New Roman"/>
          <w:sz w:val="20"/>
          <w:szCs w:val="20"/>
        </w:rPr>
        <w:t>/20</w:t>
      </w:r>
      <w:r>
        <w:rPr>
          <w:rFonts w:ascii="Times New Roman" w:hAnsi="Times New Roman"/>
          <w:sz w:val="20"/>
          <w:szCs w:val="20"/>
        </w:rPr>
        <w:t>07</w:t>
      </w:r>
      <w:r w:rsidRPr="003F6F30">
        <w:rPr>
          <w:rFonts w:ascii="Times New Roman" w:hAnsi="Times New Roman"/>
          <w:sz w:val="20"/>
          <w:szCs w:val="20"/>
        </w:rPr>
        <w:t>)</w:t>
      </w:r>
      <w:r>
        <w:rPr>
          <w:rFonts w:ascii="Times New Roman" w:hAnsi="Times New Roman"/>
          <w:sz w:val="20"/>
          <w:szCs w:val="20"/>
        </w:rPr>
        <w:t>.</w:t>
      </w:r>
    </w:p>
    <w:p w:rsidR="00837AC8" w:rsidRDefault="00837AC8" w:rsidP="00837AC8">
      <w:pPr>
        <w:spacing w:after="0"/>
        <w:ind w:left="2268"/>
        <w:jc w:val="right"/>
        <w:rPr>
          <w:rFonts w:ascii="Times New Roman" w:hAnsi="Times New Roman"/>
          <w:sz w:val="20"/>
          <w:szCs w:val="20"/>
        </w:rPr>
      </w:pPr>
      <w:r w:rsidRPr="00416DBE">
        <w:rPr>
          <w:rFonts w:ascii="Times New Roman" w:hAnsi="Times New Roman"/>
          <w:i/>
          <w:sz w:val="20"/>
          <w:szCs w:val="20"/>
        </w:rPr>
        <w:t>Oito anos depois, a gente pega o jornal Valor e vê que as economias de capital aberto, Guido [Mantega], nunca ganharam tanto dinheiro na história do Brasil, como ganharam no meu governo. A gente conversa com os empresários das construtoras brasileiras, a gente conversa com os empresários do setor imobiliário, e eles nunca ganharam tanto dinheiro, nunca tiveram tanto trabalho, nunca tiveram tanta falta de mão de obra, nunca tiveram tanta encomenda como eles têm hoje. Alguns se dão ao luxo de não querer pegar mais encomenda pequena, é um trabalho...</w:t>
      </w:r>
      <w:r w:rsidRPr="003F6F30">
        <w:rPr>
          <w:rFonts w:ascii="Times New Roman" w:hAnsi="Times New Roman"/>
          <w:sz w:val="20"/>
          <w:szCs w:val="20"/>
        </w:rPr>
        <w:t>(</w:t>
      </w:r>
      <w:r>
        <w:rPr>
          <w:rFonts w:ascii="Times New Roman" w:hAnsi="Times New Roman"/>
          <w:sz w:val="20"/>
          <w:szCs w:val="20"/>
        </w:rPr>
        <w:t>Discurso do Presidente Lula da Silva na 36</w:t>
      </w:r>
      <w:r w:rsidRPr="003F6F30">
        <w:rPr>
          <w:rFonts w:ascii="Times New Roman" w:hAnsi="Times New Roman"/>
          <w:sz w:val="20"/>
          <w:szCs w:val="20"/>
        </w:rPr>
        <w:t xml:space="preserve">ª Reunião Plenária do CDES, </w:t>
      </w:r>
      <w:r>
        <w:rPr>
          <w:rFonts w:ascii="Times New Roman" w:hAnsi="Times New Roman"/>
          <w:sz w:val="20"/>
          <w:szCs w:val="20"/>
        </w:rPr>
        <w:t>02</w:t>
      </w:r>
      <w:r w:rsidRPr="003F6F30">
        <w:rPr>
          <w:rFonts w:ascii="Times New Roman" w:hAnsi="Times New Roman"/>
          <w:sz w:val="20"/>
          <w:szCs w:val="20"/>
        </w:rPr>
        <w:t>/</w:t>
      </w:r>
      <w:r>
        <w:rPr>
          <w:rFonts w:ascii="Times New Roman" w:hAnsi="Times New Roman"/>
          <w:sz w:val="20"/>
          <w:szCs w:val="20"/>
        </w:rPr>
        <w:t>12</w:t>
      </w:r>
      <w:r w:rsidRPr="003F6F30">
        <w:rPr>
          <w:rFonts w:ascii="Times New Roman" w:hAnsi="Times New Roman"/>
          <w:sz w:val="20"/>
          <w:szCs w:val="20"/>
        </w:rPr>
        <w:t>/20</w:t>
      </w:r>
      <w:r>
        <w:rPr>
          <w:rFonts w:ascii="Times New Roman" w:hAnsi="Times New Roman"/>
          <w:sz w:val="20"/>
          <w:szCs w:val="20"/>
        </w:rPr>
        <w:t>10</w:t>
      </w:r>
      <w:r w:rsidRPr="003F6F30">
        <w:rPr>
          <w:rFonts w:ascii="Times New Roman" w:hAnsi="Times New Roman"/>
          <w:sz w:val="20"/>
          <w:szCs w:val="20"/>
        </w:rPr>
        <w:t>)</w:t>
      </w:r>
      <w:r>
        <w:rPr>
          <w:rFonts w:ascii="Times New Roman" w:hAnsi="Times New Roman"/>
          <w:sz w:val="20"/>
          <w:szCs w:val="20"/>
        </w:rPr>
        <w:t>.</w:t>
      </w:r>
    </w:p>
    <w:p w:rsidR="00FD74F7" w:rsidRDefault="00FD74F7" w:rsidP="00837AC8">
      <w:pPr>
        <w:spacing w:line="360" w:lineRule="auto"/>
        <w:jc w:val="both"/>
        <w:rPr>
          <w:rFonts w:ascii="Times New Roman" w:hAnsi="Times New Roman"/>
          <w:sz w:val="24"/>
          <w:szCs w:val="24"/>
        </w:rPr>
      </w:pPr>
    </w:p>
    <w:p w:rsidR="00837AC8" w:rsidRPr="00883186" w:rsidRDefault="00837AC8" w:rsidP="005A2E20">
      <w:pPr>
        <w:jc w:val="both"/>
        <w:rPr>
          <w:rFonts w:ascii="Times New Roman" w:hAnsi="Times New Roman"/>
          <w:b/>
          <w:sz w:val="24"/>
          <w:szCs w:val="24"/>
        </w:rPr>
      </w:pPr>
      <w:r w:rsidRPr="00883186">
        <w:rPr>
          <w:rFonts w:ascii="Times New Roman" w:hAnsi="Times New Roman"/>
          <w:b/>
          <w:sz w:val="24"/>
          <w:szCs w:val="24"/>
        </w:rPr>
        <w:t xml:space="preserve">4.1 </w:t>
      </w:r>
      <w:r w:rsidR="00095250" w:rsidRPr="00883186">
        <w:rPr>
          <w:rFonts w:ascii="Times New Roman" w:hAnsi="Times New Roman"/>
          <w:b/>
          <w:sz w:val="24"/>
          <w:szCs w:val="24"/>
        </w:rPr>
        <w:t>–</w:t>
      </w:r>
      <w:r w:rsidR="00BF7CF1" w:rsidRPr="00883186">
        <w:rPr>
          <w:rFonts w:ascii="Times New Roman" w:hAnsi="Times New Roman"/>
          <w:b/>
          <w:sz w:val="24"/>
          <w:szCs w:val="24"/>
        </w:rPr>
        <w:t xml:space="preserve"> Sum</w:t>
      </w:r>
      <w:r w:rsidR="005F7BC6" w:rsidRPr="00883186">
        <w:rPr>
          <w:rFonts w:ascii="Times New Roman" w:hAnsi="Times New Roman"/>
          <w:b/>
          <w:sz w:val="24"/>
          <w:szCs w:val="24"/>
        </w:rPr>
        <w:t>ário</w:t>
      </w:r>
      <w:r w:rsidR="00BF7CF1" w:rsidRPr="00883186">
        <w:rPr>
          <w:rFonts w:ascii="Times New Roman" w:hAnsi="Times New Roman"/>
          <w:b/>
          <w:sz w:val="24"/>
          <w:szCs w:val="24"/>
        </w:rPr>
        <w:t xml:space="preserve"> context</w:t>
      </w:r>
      <w:r w:rsidR="005F7BC6" w:rsidRPr="00883186">
        <w:rPr>
          <w:rFonts w:ascii="Times New Roman" w:hAnsi="Times New Roman"/>
          <w:b/>
          <w:sz w:val="24"/>
          <w:szCs w:val="24"/>
        </w:rPr>
        <w:t xml:space="preserve">o </w:t>
      </w:r>
      <w:r w:rsidR="005A2E20">
        <w:rPr>
          <w:rFonts w:ascii="Times New Roman" w:hAnsi="Times New Roman"/>
          <w:b/>
          <w:sz w:val="24"/>
          <w:szCs w:val="24"/>
        </w:rPr>
        <w:t>do CDES no período da crise, periodização e hipóteses de trabalho</w:t>
      </w:r>
    </w:p>
    <w:p w:rsidR="00837AC8" w:rsidRDefault="00837AC8" w:rsidP="00837AC8">
      <w:pPr>
        <w:spacing w:after="0" w:line="360" w:lineRule="auto"/>
        <w:ind w:firstLine="708"/>
        <w:jc w:val="both"/>
        <w:rPr>
          <w:rFonts w:ascii="Times New Roman" w:hAnsi="Times New Roman"/>
          <w:sz w:val="24"/>
          <w:szCs w:val="24"/>
        </w:rPr>
      </w:pPr>
      <w:r>
        <w:rPr>
          <w:rFonts w:ascii="Times New Roman" w:hAnsi="Times New Roman"/>
          <w:sz w:val="24"/>
          <w:szCs w:val="24"/>
        </w:rPr>
        <w:t xml:space="preserve">Os anos que compreenderam o segundo mandato de Lula da Silva se notabilizaram, para ampla maioria dos conselheiros do CDES, como período que inaugurou, após longo interlúdio, a retomada do crescimento econômico aliado ao combate às desigualdades sociais. A documentação produzida pelo Conselho (Atas das Reuniões Plenárias, Relatórios de Atividades, Pareceres, Moções, dentre outras fontes) estampa, em várias e distintas ocasiões, manifestações de reconhecimento pelos conselheiros de que, enfim, as medidas adotadas pelo governo e os resultados colhidos “pela sociedade” caminhavam ao encontro das recomendações e dos consensos obtidos ao longo da trajetória de debates e trabalhos havidos no CDES. </w:t>
      </w:r>
    </w:p>
    <w:p w:rsidR="00837AC8" w:rsidRDefault="00837AC8" w:rsidP="00837AC8">
      <w:pPr>
        <w:spacing w:line="360" w:lineRule="auto"/>
        <w:ind w:firstLine="708"/>
        <w:jc w:val="both"/>
        <w:rPr>
          <w:rFonts w:ascii="Times New Roman" w:hAnsi="Times New Roman"/>
          <w:sz w:val="24"/>
          <w:szCs w:val="24"/>
        </w:rPr>
      </w:pPr>
      <w:r>
        <w:rPr>
          <w:rFonts w:ascii="Times New Roman" w:hAnsi="Times New Roman"/>
          <w:sz w:val="24"/>
          <w:szCs w:val="24"/>
        </w:rPr>
        <w:t xml:space="preserve">Na mesma direção, a avaliação, tantas vezes declarada pelo </w:t>
      </w:r>
      <w:r>
        <w:rPr>
          <w:rFonts w:ascii="Times New Roman" w:hAnsi="Times New Roman"/>
          <w:i/>
          <w:sz w:val="24"/>
          <w:szCs w:val="24"/>
        </w:rPr>
        <w:t xml:space="preserve">staff </w:t>
      </w:r>
      <w:r>
        <w:rPr>
          <w:rFonts w:ascii="Times New Roman" w:hAnsi="Times New Roman"/>
          <w:sz w:val="24"/>
          <w:szCs w:val="24"/>
        </w:rPr>
        <w:t>governamental nas plenárias, era de que o CDES cumpria com rigor seu papel de assessoramento à Presidência da República no que se refere tanto ao debate necessário às políticas voltadas ao “crescimento com distribuição de renda” do país quanto como instrumento de “diálogo social” e, também por isto, de “aprimoramento da democracia”. Nas plenárias, Lula da Silva era um dos que melhor expressava, ao lado dos secretários-executivos do CDES, a contribuição do Conselho para as políticas implementadas pelo seu governo e, principalmente, em suas palavras, para a “maturidade do diálogo que nós conseguimos construir no Brasil, porque havia muita teoria e pouca prática na relação capital e trabalho”, conforme sua intervenção realizada na reunião plenária de agosto de 2009:</w:t>
      </w:r>
    </w:p>
    <w:p w:rsidR="00837AC8" w:rsidRDefault="00837AC8" w:rsidP="00837AC8">
      <w:pPr>
        <w:spacing w:line="240" w:lineRule="auto"/>
        <w:ind w:left="2268"/>
        <w:jc w:val="both"/>
        <w:rPr>
          <w:rFonts w:ascii="Times New Roman" w:hAnsi="Times New Roman"/>
          <w:sz w:val="20"/>
          <w:szCs w:val="20"/>
        </w:rPr>
      </w:pPr>
      <w:r w:rsidRPr="00C07C44">
        <w:rPr>
          <w:rFonts w:ascii="Times New Roman" w:hAnsi="Times New Roman"/>
          <w:sz w:val="20"/>
          <w:szCs w:val="20"/>
        </w:rPr>
        <w:t xml:space="preserve">Vocês tenham consciência de que, direta ou indiretamente, grande parte das mudanças que nós fizemos neste País passou ou por debate no Conselho ou passou por grupos que vocês criaram no Conselho, sem os quais a gente não conseguiria, por exemplo, fazer o acordo que fizemos entre os usineiros brasileiros e os </w:t>
      </w:r>
      <w:r>
        <w:rPr>
          <w:rFonts w:ascii="Times New Roman" w:hAnsi="Times New Roman"/>
          <w:sz w:val="20"/>
          <w:szCs w:val="20"/>
        </w:rPr>
        <w:t>trabalhadores de cana-de-açúcar.</w:t>
      </w:r>
      <w:r>
        <w:rPr>
          <w:rStyle w:val="Refdenotaderodap"/>
          <w:rFonts w:ascii="Times New Roman" w:hAnsi="Times New Roman"/>
          <w:sz w:val="20"/>
          <w:szCs w:val="20"/>
        </w:rPr>
        <w:footnoteReference w:id="516"/>
      </w:r>
    </w:p>
    <w:p w:rsidR="00837AC8" w:rsidRDefault="00837AC8" w:rsidP="00837AC8">
      <w:pPr>
        <w:spacing w:line="240" w:lineRule="auto"/>
        <w:ind w:left="2268"/>
        <w:jc w:val="both"/>
        <w:rPr>
          <w:rFonts w:ascii="Times New Roman" w:hAnsi="Times New Roman"/>
          <w:sz w:val="20"/>
          <w:szCs w:val="20"/>
        </w:rPr>
      </w:pPr>
      <w:r>
        <w:rPr>
          <w:rFonts w:ascii="Times New Roman" w:hAnsi="Times New Roman"/>
          <w:sz w:val="20"/>
          <w:szCs w:val="20"/>
        </w:rPr>
        <w:t>(...) aqui nós construímos um espaço civilizado onde reina a democracia na sua plenitude, onde todo mundo fala o que quer, às vezes ouve o que não quer, mas a gente sabe que essa é a democracia que nós queremos construir para o Brasil. Se, hoje, eu tivesse que dizer para alguém, em qualquer parte do mundo, um exemplo ou uma fotografia da democracia brasileira, eu mostraria este Conselho como retrato da democracia que nós estamos construindo no Brasil.</w:t>
      </w:r>
    </w:p>
    <w:p w:rsidR="00837AC8" w:rsidRDefault="00837AC8" w:rsidP="00837AC8">
      <w:pPr>
        <w:spacing w:line="240" w:lineRule="auto"/>
        <w:ind w:left="2268"/>
        <w:jc w:val="both"/>
        <w:rPr>
          <w:rFonts w:ascii="Times New Roman" w:hAnsi="Times New Roman"/>
          <w:sz w:val="20"/>
          <w:szCs w:val="20"/>
        </w:rPr>
      </w:pPr>
      <w:r>
        <w:rPr>
          <w:rFonts w:ascii="Times New Roman" w:hAnsi="Times New Roman"/>
          <w:sz w:val="20"/>
          <w:szCs w:val="20"/>
        </w:rPr>
        <w:t>(...) e, certamente, muitos dos acertos que tinha na economia brasileira foram, quem sabe, idéias surgidas de debates neste Conselho. Foram das reivindicações dos trabalhadores, dos empresários, dos intelectuais, que aqui conseguiam formular as propostas necessárias que muitas vezes nós, do governo, não somos obrigados a saber (Presidente Lula da Silva,  ATA da 31ª Reunião Plenária, 27/08/2009, pp. 19-22).</w:t>
      </w:r>
    </w:p>
    <w:p w:rsidR="00837AC8" w:rsidRDefault="00837AC8" w:rsidP="00837AC8">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O entusiasmo dos conselheiros com o desempenho econômico e social do país, principalmente a partir do segundo mandato de Lula da Silva, era reflexo da conjuntura de relativas melhorias</w:t>
      </w:r>
      <w:r w:rsidRPr="00CE1D24">
        <w:rPr>
          <w:rFonts w:ascii="Times New Roman" w:hAnsi="Times New Roman"/>
          <w:sz w:val="24"/>
          <w:szCs w:val="24"/>
        </w:rPr>
        <w:t xml:space="preserve"> nos indicadores </w:t>
      </w:r>
      <w:r>
        <w:rPr>
          <w:rFonts w:ascii="Times New Roman" w:hAnsi="Times New Roman"/>
          <w:sz w:val="24"/>
          <w:szCs w:val="24"/>
        </w:rPr>
        <w:t xml:space="preserve">econômicos </w:t>
      </w:r>
      <w:r w:rsidRPr="00CE1D24">
        <w:rPr>
          <w:rFonts w:ascii="Times New Roman" w:hAnsi="Times New Roman"/>
          <w:sz w:val="24"/>
          <w:szCs w:val="24"/>
        </w:rPr>
        <w:t xml:space="preserve">de </w:t>
      </w:r>
      <w:r>
        <w:rPr>
          <w:rFonts w:ascii="Times New Roman" w:hAnsi="Times New Roman"/>
          <w:sz w:val="24"/>
          <w:szCs w:val="24"/>
        </w:rPr>
        <w:t>crescimento do PIB (com exceção de 2009) e de distribuição de renda. As principais linhas de ação do governo implementadas nes</w:t>
      </w:r>
      <w:r w:rsidR="0037305F">
        <w:rPr>
          <w:rFonts w:ascii="Times New Roman" w:hAnsi="Times New Roman"/>
          <w:sz w:val="24"/>
          <w:szCs w:val="24"/>
        </w:rPr>
        <w:t>s</w:t>
      </w:r>
      <w:r>
        <w:rPr>
          <w:rFonts w:ascii="Times New Roman" w:hAnsi="Times New Roman"/>
          <w:sz w:val="24"/>
          <w:szCs w:val="24"/>
        </w:rPr>
        <w:t xml:space="preserve">e período, apresentadas no Conselho por várias autoridades e ministros do governo (Fazenda, Planejamento, Indústria e Comércio, Relações Exteriores, Desenvolvimento Social e Combate à Fome, Presidentes do Banco Central, do BNDES e da Petrobrás) e discutidas nas suas plenárias junto aos conselheiros, convergiam em geral com as propostas </w:t>
      </w:r>
      <w:r w:rsidR="00617961">
        <w:rPr>
          <w:rFonts w:ascii="Times New Roman" w:hAnsi="Times New Roman"/>
          <w:sz w:val="24"/>
          <w:szCs w:val="24"/>
        </w:rPr>
        <w:t xml:space="preserve">deles </w:t>
      </w:r>
      <w:r>
        <w:rPr>
          <w:rFonts w:ascii="Times New Roman" w:hAnsi="Times New Roman"/>
          <w:sz w:val="24"/>
          <w:szCs w:val="24"/>
        </w:rPr>
        <w:t xml:space="preserve">encaminhadas ao Executivo. </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 partir do primeiro trimestre de 2008, contudo, os debates nas reuniões plenárias passaram necessariamente a envolver a elaboração de diagnósticos, de instrumentos e mecanismos de prevenções e adoção urgente de medidas frente à eclosão da crise econômica internacional. Temas figurados em pautas anteriores não foram abortados dos debates, tais como reforma política, reforma tributária, a questão educacional, da bioenergia, da política industrial, dentre outros, bem ao contrário, mas ascenderam junto a es</w:t>
      </w:r>
      <w:r w:rsidR="0037305F">
        <w:rPr>
          <w:rFonts w:ascii="Times New Roman" w:hAnsi="Times New Roman"/>
          <w:sz w:val="24"/>
          <w:szCs w:val="24"/>
        </w:rPr>
        <w:t>s</w:t>
      </w:r>
      <w:r>
        <w:rPr>
          <w:rFonts w:ascii="Times New Roman" w:hAnsi="Times New Roman"/>
          <w:sz w:val="24"/>
          <w:szCs w:val="24"/>
        </w:rPr>
        <w:t>es, e em muitas situações alçaram ao primeiro plano, temas que nucleavam e circundavam a política econômica endereçada diretamente à situação deflagrada pela crise econômica.</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Quais foram então as principais temáticas </w:t>
      </w:r>
      <w:r w:rsidRPr="005F6EBD">
        <w:rPr>
          <w:rFonts w:ascii="Times New Roman" w:hAnsi="Times New Roman"/>
          <w:i/>
          <w:sz w:val="24"/>
          <w:szCs w:val="24"/>
        </w:rPr>
        <w:t>realçadas nas plenárias</w:t>
      </w:r>
      <w:r>
        <w:rPr>
          <w:rFonts w:ascii="Times New Roman" w:hAnsi="Times New Roman"/>
          <w:sz w:val="24"/>
          <w:szCs w:val="24"/>
        </w:rPr>
        <w:t xml:space="preserve"> (tanto pelos ministros quanto pelos conselheiros) </w:t>
      </w:r>
      <w:r w:rsidRPr="005F6EBD">
        <w:rPr>
          <w:rFonts w:ascii="Times New Roman" w:hAnsi="Times New Roman"/>
          <w:i/>
          <w:sz w:val="24"/>
          <w:szCs w:val="24"/>
        </w:rPr>
        <w:t>e nos documentos do CDES</w:t>
      </w:r>
      <w:r>
        <w:rPr>
          <w:rFonts w:ascii="Times New Roman" w:hAnsi="Times New Roman"/>
          <w:sz w:val="24"/>
          <w:szCs w:val="24"/>
        </w:rPr>
        <w:t xml:space="preserve">, responsáveis em grande medida tanto pelo diagnóstico de que o país se encontrava no “rumo do desenvolvimento” quanto pela necessidade de seu alargamento e aperfeiçoamento diante da situação inaugurada pela crise econômica e as quais os conselheiros reconheciam na promoção delas seus próprios esforços? </w:t>
      </w:r>
    </w:p>
    <w:p w:rsidR="00837AC8" w:rsidRDefault="00FD74F7"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O</w:t>
      </w:r>
      <w:r w:rsidR="00837AC8">
        <w:rPr>
          <w:rFonts w:ascii="Times New Roman" w:hAnsi="Times New Roman"/>
          <w:sz w:val="24"/>
          <w:szCs w:val="24"/>
        </w:rPr>
        <w:t xml:space="preserve"> debate acerca da crise econômica</w:t>
      </w:r>
      <w:r w:rsidR="006A656B">
        <w:rPr>
          <w:rFonts w:ascii="Times New Roman" w:hAnsi="Times New Roman"/>
          <w:sz w:val="24"/>
          <w:szCs w:val="24"/>
        </w:rPr>
        <w:t xml:space="preserve"> não se</w:t>
      </w:r>
      <w:r w:rsidR="00837AC8">
        <w:rPr>
          <w:rFonts w:ascii="Times New Roman" w:hAnsi="Times New Roman"/>
          <w:sz w:val="24"/>
          <w:szCs w:val="24"/>
        </w:rPr>
        <w:t xml:space="preserve"> isolou do conjunto de temas e pautas que até então compunha o repertório de discussões do Conselho. O agravamento da crise econômica no Brasil, a partir do terceiro trimestre de 2008, de fato intensificou o sinal de alerta dentro do CDES e do governo, trazendo à tona as preocupações sobre os instrumentos urgentes (de curtíssimo prazo) de combate e de contenção da crise. Porém, em nenhum momento a trajetória considerada bem-sucedida do leque de políticas públicas vistas como responsáveis pela inflexão da política econômica pós-palocciana foi posta de lado ou mesmo secundarizada. Pode-se até mesmo destacar e comentar algumas delas, sem as quais se abrem lacunas e/ou carece de consistência e de sentido a apreensão mais geral do que foi ali discutido. Para tanto, pode-se, grosso modo, para efeitos didáticos, apresentar a evolução dos temas e pautas debatidas no CDES através da análise das atas das reuniões plenárias no segundo governo Lula da Silva, </w:t>
      </w:r>
      <w:r w:rsidR="00837AC8" w:rsidRPr="007B4A0C">
        <w:rPr>
          <w:rFonts w:ascii="Times New Roman" w:hAnsi="Times New Roman"/>
          <w:i/>
          <w:sz w:val="24"/>
          <w:szCs w:val="24"/>
        </w:rPr>
        <w:t xml:space="preserve">considerando apenas as mais proeminentes, segundo padrão de recorrência </w:t>
      </w:r>
      <w:r w:rsidR="00837AC8">
        <w:rPr>
          <w:rFonts w:ascii="Times New Roman" w:hAnsi="Times New Roman"/>
          <w:i/>
          <w:sz w:val="24"/>
          <w:szCs w:val="24"/>
        </w:rPr>
        <w:t>elevada</w:t>
      </w:r>
      <w:r w:rsidR="00837AC8" w:rsidRPr="007B4A0C">
        <w:rPr>
          <w:rFonts w:ascii="Times New Roman" w:hAnsi="Times New Roman"/>
          <w:i/>
          <w:sz w:val="24"/>
          <w:szCs w:val="24"/>
        </w:rPr>
        <w:t xml:space="preserve"> de tais pautas nas atas</w:t>
      </w:r>
      <w:r w:rsidR="00837AC8">
        <w:rPr>
          <w:rFonts w:ascii="Times New Roman" w:hAnsi="Times New Roman"/>
          <w:sz w:val="24"/>
          <w:szCs w:val="24"/>
        </w:rPr>
        <w:t>. Seguindo esta linha, sumariamente três grandes fases podem ser identificadas, tendo como parâmetro de periodização e classificação a menor ou maior proximidade e intensidade das discussões e propostas acerca da eclosão da crise econômica internacional no período considerado:</w:t>
      </w:r>
    </w:p>
    <w:p w:rsidR="00837AC8" w:rsidRDefault="00837AC8" w:rsidP="00FA1601">
      <w:pPr>
        <w:pStyle w:val="PargrafodaLista"/>
        <w:numPr>
          <w:ilvl w:val="0"/>
          <w:numId w:val="14"/>
        </w:numPr>
        <w:autoSpaceDE w:val="0"/>
        <w:autoSpaceDN w:val="0"/>
        <w:adjustRightInd w:val="0"/>
        <w:spacing w:after="0" w:line="360" w:lineRule="auto"/>
        <w:jc w:val="both"/>
        <w:rPr>
          <w:rFonts w:ascii="Times New Roman" w:hAnsi="Times New Roman"/>
          <w:sz w:val="24"/>
          <w:szCs w:val="24"/>
        </w:rPr>
      </w:pPr>
      <w:r w:rsidRPr="00A564D2">
        <w:rPr>
          <w:rFonts w:ascii="Times New Roman" w:hAnsi="Times New Roman"/>
          <w:b/>
          <w:sz w:val="24"/>
          <w:szCs w:val="24"/>
        </w:rPr>
        <w:t>1ª fase</w:t>
      </w:r>
      <w:r>
        <w:rPr>
          <w:rFonts w:ascii="Times New Roman" w:hAnsi="Times New Roman"/>
          <w:b/>
          <w:sz w:val="24"/>
          <w:szCs w:val="24"/>
        </w:rPr>
        <w:t xml:space="preserve"> (pré-crise)</w:t>
      </w:r>
      <w:r w:rsidR="00095250">
        <w:rPr>
          <w:rFonts w:ascii="Times New Roman" w:hAnsi="Times New Roman"/>
          <w:sz w:val="24"/>
          <w:szCs w:val="24"/>
        </w:rPr>
        <w:t>–</w:t>
      </w:r>
      <w:r w:rsidRPr="00B14A46">
        <w:rPr>
          <w:rFonts w:ascii="Times New Roman" w:hAnsi="Times New Roman"/>
          <w:sz w:val="24"/>
          <w:szCs w:val="24"/>
        </w:rPr>
        <w:t xml:space="preserve"> de maio a novembro de 2007: sem dúvida alguma es</w:t>
      </w:r>
      <w:r w:rsidR="0037305F">
        <w:rPr>
          <w:rFonts w:ascii="Times New Roman" w:hAnsi="Times New Roman"/>
          <w:sz w:val="24"/>
          <w:szCs w:val="24"/>
        </w:rPr>
        <w:t>s</w:t>
      </w:r>
      <w:r w:rsidRPr="00B14A46">
        <w:rPr>
          <w:rFonts w:ascii="Times New Roman" w:hAnsi="Times New Roman"/>
          <w:sz w:val="24"/>
          <w:szCs w:val="24"/>
        </w:rPr>
        <w:t>e período foi pautado por quatro grandes temas:</w:t>
      </w:r>
      <w:r>
        <w:rPr>
          <w:rFonts w:ascii="Times New Roman" w:hAnsi="Times New Roman"/>
          <w:sz w:val="24"/>
          <w:szCs w:val="24"/>
        </w:rPr>
        <w:t xml:space="preserve"> a r</w:t>
      </w:r>
      <w:r w:rsidRPr="00B14A46">
        <w:rPr>
          <w:rFonts w:ascii="Times New Roman" w:hAnsi="Times New Roman"/>
          <w:sz w:val="24"/>
          <w:szCs w:val="24"/>
        </w:rPr>
        <w:t xml:space="preserve">eforma </w:t>
      </w:r>
      <w:r>
        <w:rPr>
          <w:rFonts w:ascii="Times New Roman" w:hAnsi="Times New Roman"/>
          <w:sz w:val="24"/>
          <w:szCs w:val="24"/>
        </w:rPr>
        <w:t>p</w:t>
      </w:r>
      <w:r w:rsidRPr="00B14A46">
        <w:rPr>
          <w:rFonts w:ascii="Times New Roman" w:hAnsi="Times New Roman"/>
          <w:sz w:val="24"/>
          <w:szCs w:val="24"/>
        </w:rPr>
        <w:t xml:space="preserve">olítica, a </w:t>
      </w:r>
      <w:r>
        <w:rPr>
          <w:rFonts w:ascii="Times New Roman" w:hAnsi="Times New Roman"/>
          <w:sz w:val="24"/>
          <w:szCs w:val="24"/>
        </w:rPr>
        <w:t>reforma t</w:t>
      </w:r>
      <w:r w:rsidRPr="00B14A46">
        <w:rPr>
          <w:rFonts w:ascii="Times New Roman" w:hAnsi="Times New Roman"/>
          <w:sz w:val="24"/>
          <w:szCs w:val="24"/>
        </w:rPr>
        <w:t xml:space="preserve">ributária (e, dentro desta, a </w:t>
      </w:r>
      <w:r>
        <w:rPr>
          <w:rFonts w:ascii="Times New Roman" w:hAnsi="Times New Roman"/>
          <w:sz w:val="24"/>
          <w:szCs w:val="24"/>
        </w:rPr>
        <w:t>d</w:t>
      </w:r>
      <w:r w:rsidRPr="00B14A46">
        <w:rPr>
          <w:rFonts w:ascii="Times New Roman" w:hAnsi="Times New Roman"/>
          <w:sz w:val="24"/>
          <w:szCs w:val="24"/>
        </w:rPr>
        <w:t xml:space="preserve">esoneração da </w:t>
      </w:r>
      <w:r>
        <w:rPr>
          <w:rFonts w:ascii="Times New Roman" w:hAnsi="Times New Roman"/>
          <w:sz w:val="24"/>
          <w:szCs w:val="24"/>
        </w:rPr>
        <w:t>f</w:t>
      </w:r>
      <w:r w:rsidRPr="00B14A46">
        <w:rPr>
          <w:rFonts w:ascii="Times New Roman" w:hAnsi="Times New Roman"/>
          <w:sz w:val="24"/>
          <w:szCs w:val="24"/>
        </w:rPr>
        <w:t xml:space="preserve">olha de </w:t>
      </w:r>
      <w:r>
        <w:rPr>
          <w:rFonts w:ascii="Times New Roman" w:hAnsi="Times New Roman"/>
          <w:sz w:val="24"/>
          <w:szCs w:val="24"/>
        </w:rPr>
        <w:t>p</w:t>
      </w:r>
      <w:r w:rsidRPr="00B14A46">
        <w:rPr>
          <w:rFonts w:ascii="Times New Roman" w:hAnsi="Times New Roman"/>
          <w:sz w:val="24"/>
          <w:szCs w:val="24"/>
        </w:rPr>
        <w:t xml:space="preserve">agamentos </w:t>
      </w:r>
      <w:r>
        <w:rPr>
          <w:rFonts w:ascii="Times New Roman" w:hAnsi="Times New Roman"/>
          <w:sz w:val="24"/>
          <w:szCs w:val="24"/>
        </w:rPr>
        <w:t xml:space="preserve">para </w:t>
      </w:r>
      <w:r w:rsidRPr="00B14A46">
        <w:rPr>
          <w:rFonts w:ascii="Times New Roman" w:hAnsi="Times New Roman"/>
          <w:sz w:val="24"/>
          <w:szCs w:val="24"/>
        </w:rPr>
        <w:t>o empresariado),</w:t>
      </w:r>
      <w:r>
        <w:rPr>
          <w:rFonts w:ascii="Times New Roman" w:hAnsi="Times New Roman"/>
          <w:sz w:val="24"/>
          <w:szCs w:val="24"/>
        </w:rPr>
        <w:t xml:space="preserve"> a questão da e</w:t>
      </w:r>
      <w:r w:rsidRPr="00B14A46">
        <w:rPr>
          <w:rFonts w:ascii="Times New Roman" w:hAnsi="Times New Roman"/>
          <w:sz w:val="24"/>
          <w:szCs w:val="24"/>
        </w:rPr>
        <w:t>ducação (básica, média, científica e tecnológica)</w:t>
      </w:r>
      <w:r>
        <w:rPr>
          <w:rFonts w:ascii="Times New Roman" w:hAnsi="Times New Roman"/>
          <w:sz w:val="24"/>
          <w:szCs w:val="24"/>
        </w:rPr>
        <w:t xml:space="preserve"> e a b</w:t>
      </w:r>
      <w:r w:rsidRPr="00B14A46">
        <w:rPr>
          <w:rFonts w:ascii="Times New Roman" w:hAnsi="Times New Roman"/>
          <w:sz w:val="24"/>
          <w:szCs w:val="24"/>
        </w:rPr>
        <w:t>ioenergia. Todos es</w:t>
      </w:r>
      <w:r w:rsidR="0037305F">
        <w:rPr>
          <w:rFonts w:ascii="Times New Roman" w:hAnsi="Times New Roman"/>
          <w:sz w:val="24"/>
          <w:szCs w:val="24"/>
        </w:rPr>
        <w:t>s</w:t>
      </w:r>
      <w:r w:rsidRPr="00B14A46">
        <w:rPr>
          <w:rFonts w:ascii="Times New Roman" w:hAnsi="Times New Roman"/>
          <w:sz w:val="24"/>
          <w:szCs w:val="24"/>
        </w:rPr>
        <w:t>es temas apareceram com o peso relativamente e</w:t>
      </w:r>
      <w:r>
        <w:rPr>
          <w:rFonts w:ascii="Times New Roman" w:hAnsi="Times New Roman"/>
          <w:sz w:val="24"/>
          <w:szCs w:val="24"/>
        </w:rPr>
        <w:t>quivalente</w:t>
      </w:r>
      <w:r w:rsidRPr="00B14A46">
        <w:rPr>
          <w:rFonts w:ascii="Times New Roman" w:hAnsi="Times New Roman"/>
          <w:sz w:val="24"/>
          <w:szCs w:val="24"/>
        </w:rPr>
        <w:t xml:space="preserve"> nas 21ª, 22ª, 23ª e 24ª reuniões plenárias. Envolveram, portanto, as discussões </w:t>
      </w:r>
      <w:r>
        <w:rPr>
          <w:rFonts w:ascii="Times New Roman" w:hAnsi="Times New Roman"/>
          <w:sz w:val="24"/>
          <w:szCs w:val="24"/>
        </w:rPr>
        <w:t xml:space="preserve">nas plenárias </w:t>
      </w:r>
      <w:r w:rsidRPr="00B14A46">
        <w:rPr>
          <w:rFonts w:ascii="Times New Roman" w:hAnsi="Times New Roman"/>
          <w:sz w:val="24"/>
          <w:szCs w:val="24"/>
        </w:rPr>
        <w:t xml:space="preserve">durante todo o ano de 2007. Tratou-se de uma primeira fase </w:t>
      </w:r>
      <w:r>
        <w:rPr>
          <w:rFonts w:ascii="Times New Roman" w:hAnsi="Times New Roman"/>
          <w:sz w:val="24"/>
          <w:szCs w:val="24"/>
        </w:rPr>
        <w:t xml:space="preserve">de debates no segundo governo Lula da Silva </w:t>
      </w:r>
      <w:r w:rsidRPr="00B14A46">
        <w:rPr>
          <w:rFonts w:ascii="Times New Roman" w:hAnsi="Times New Roman"/>
          <w:sz w:val="24"/>
          <w:szCs w:val="24"/>
        </w:rPr>
        <w:t xml:space="preserve">que, para fins classificatórios de abordagem dos temas discutidos, podemos </w:t>
      </w:r>
      <w:r>
        <w:rPr>
          <w:rFonts w:ascii="Times New Roman" w:hAnsi="Times New Roman"/>
          <w:sz w:val="24"/>
          <w:szCs w:val="24"/>
        </w:rPr>
        <w:t>nomeá-los</w:t>
      </w:r>
      <w:r w:rsidRPr="00B14A46">
        <w:rPr>
          <w:rFonts w:ascii="Times New Roman" w:hAnsi="Times New Roman"/>
          <w:sz w:val="24"/>
          <w:szCs w:val="24"/>
        </w:rPr>
        <w:t xml:space="preserve"> como de “pré-crise”: ainda que a conjuntura internacional, a partir de setembro de 2007, apresentasse evidências</w:t>
      </w:r>
      <w:r>
        <w:rPr>
          <w:rFonts w:ascii="Times New Roman" w:hAnsi="Times New Roman"/>
          <w:sz w:val="24"/>
          <w:szCs w:val="24"/>
        </w:rPr>
        <w:t xml:space="preserve"> iniciais</w:t>
      </w:r>
      <w:r w:rsidRPr="00B14A46">
        <w:rPr>
          <w:rFonts w:ascii="Times New Roman" w:hAnsi="Times New Roman"/>
          <w:sz w:val="24"/>
          <w:szCs w:val="24"/>
        </w:rPr>
        <w:t xml:space="preserve"> de turbulências graves no cenário econômico, as autoridades e os conselheiros do CDES não haviam mencionado ou </w:t>
      </w:r>
      <w:r>
        <w:rPr>
          <w:rFonts w:ascii="Times New Roman" w:hAnsi="Times New Roman"/>
          <w:sz w:val="24"/>
          <w:szCs w:val="24"/>
        </w:rPr>
        <w:t xml:space="preserve">se </w:t>
      </w:r>
      <w:r w:rsidRPr="00B14A46">
        <w:rPr>
          <w:rFonts w:ascii="Times New Roman" w:hAnsi="Times New Roman"/>
          <w:sz w:val="24"/>
          <w:szCs w:val="24"/>
        </w:rPr>
        <w:t xml:space="preserve">debruçadosobre o tema. </w:t>
      </w:r>
      <w:r>
        <w:rPr>
          <w:rFonts w:ascii="Times New Roman" w:hAnsi="Times New Roman"/>
          <w:sz w:val="24"/>
          <w:szCs w:val="24"/>
        </w:rPr>
        <w:t>Salientamos que o ministro Miguel João Jorge (MDIC) e Tarso Genro (Ministro da Justiça) tiveram maior comparecimento nestas reuniões. O presidente Lula da Silva compareceu a todas as reuniões do Conselho.</w:t>
      </w:r>
    </w:p>
    <w:p w:rsidR="00837AC8" w:rsidRDefault="00837AC8" w:rsidP="00FA1601">
      <w:pPr>
        <w:pStyle w:val="PargrafodaLista"/>
        <w:numPr>
          <w:ilvl w:val="0"/>
          <w:numId w:val="14"/>
        </w:numPr>
        <w:autoSpaceDE w:val="0"/>
        <w:autoSpaceDN w:val="0"/>
        <w:adjustRightInd w:val="0"/>
        <w:spacing w:after="0" w:line="360" w:lineRule="auto"/>
        <w:jc w:val="both"/>
        <w:rPr>
          <w:rFonts w:ascii="Times New Roman" w:hAnsi="Times New Roman"/>
          <w:sz w:val="24"/>
          <w:szCs w:val="24"/>
        </w:rPr>
      </w:pPr>
      <w:r w:rsidRPr="00A564D2">
        <w:rPr>
          <w:rFonts w:ascii="Times New Roman" w:hAnsi="Times New Roman"/>
          <w:b/>
          <w:sz w:val="24"/>
          <w:szCs w:val="24"/>
        </w:rPr>
        <w:t>2ª fase</w:t>
      </w:r>
      <w:r>
        <w:rPr>
          <w:rFonts w:ascii="Times New Roman" w:hAnsi="Times New Roman"/>
          <w:sz w:val="24"/>
          <w:szCs w:val="24"/>
        </w:rPr>
        <w:t>(</w:t>
      </w:r>
      <w:r>
        <w:rPr>
          <w:rFonts w:ascii="Times New Roman" w:hAnsi="Times New Roman"/>
          <w:b/>
          <w:sz w:val="24"/>
          <w:szCs w:val="24"/>
        </w:rPr>
        <w:t xml:space="preserve">no bojo da crise) </w:t>
      </w:r>
      <w:r>
        <w:rPr>
          <w:rFonts w:ascii="Times New Roman" w:hAnsi="Times New Roman"/>
          <w:sz w:val="24"/>
          <w:szCs w:val="24"/>
        </w:rPr>
        <w:t xml:space="preserve">– de março </w:t>
      </w:r>
      <w:r w:rsidRPr="00B14A46">
        <w:rPr>
          <w:rFonts w:ascii="Times New Roman" w:hAnsi="Times New Roman"/>
          <w:sz w:val="24"/>
          <w:szCs w:val="24"/>
        </w:rPr>
        <w:t xml:space="preserve">de 2008 a dezembro de 2009: </w:t>
      </w:r>
      <w:r>
        <w:rPr>
          <w:rFonts w:ascii="Times New Roman" w:hAnsi="Times New Roman"/>
          <w:sz w:val="24"/>
          <w:szCs w:val="24"/>
        </w:rPr>
        <w:t>as discussões no Conselho parecem acompanhar</w:t>
      </w:r>
      <w:r w:rsidRPr="00B14A46">
        <w:rPr>
          <w:rFonts w:ascii="Times New Roman" w:hAnsi="Times New Roman"/>
          <w:sz w:val="24"/>
          <w:szCs w:val="24"/>
        </w:rPr>
        <w:t xml:space="preserve"> a imagem </w:t>
      </w:r>
      <w:r>
        <w:rPr>
          <w:rFonts w:ascii="Times New Roman" w:hAnsi="Times New Roman"/>
          <w:sz w:val="24"/>
          <w:szCs w:val="24"/>
        </w:rPr>
        <w:t xml:space="preserve">gráfica </w:t>
      </w:r>
      <w:r w:rsidRPr="00B14A46">
        <w:rPr>
          <w:rFonts w:ascii="Times New Roman" w:hAnsi="Times New Roman"/>
          <w:sz w:val="24"/>
          <w:szCs w:val="24"/>
        </w:rPr>
        <w:t xml:space="preserve">da parábola </w:t>
      </w:r>
      <w:r w:rsidR="00095250">
        <w:rPr>
          <w:rFonts w:ascii="Times New Roman" w:hAnsi="Times New Roman"/>
          <w:sz w:val="24"/>
          <w:szCs w:val="24"/>
        </w:rPr>
        <w:t>–</w:t>
      </w:r>
      <w:r w:rsidRPr="00B14A46">
        <w:rPr>
          <w:rFonts w:ascii="Times New Roman" w:hAnsi="Times New Roman"/>
          <w:sz w:val="24"/>
          <w:szCs w:val="24"/>
        </w:rPr>
        <w:t xml:space="preserve"> início, auge e declínio –sobre a crise econômica internacional, açambarcando desde a 25ª </w:t>
      </w:r>
      <w:r>
        <w:rPr>
          <w:rFonts w:ascii="Times New Roman" w:hAnsi="Times New Roman"/>
          <w:sz w:val="24"/>
          <w:szCs w:val="24"/>
        </w:rPr>
        <w:t>até a</w:t>
      </w:r>
      <w:r w:rsidRPr="00B14A46">
        <w:rPr>
          <w:rFonts w:ascii="Times New Roman" w:hAnsi="Times New Roman"/>
          <w:sz w:val="24"/>
          <w:szCs w:val="24"/>
        </w:rPr>
        <w:t xml:space="preserve"> 32ª Reunião Plenária</w:t>
      </w:r>
      <w:r>
        <w:rPr>
          <w:rFonts w:ascii="Times New Roman" w:hAnsi="Times New Roman"/>
          <w:sz w:val="24"/>
          <w:szCs w:val="24"/>
        </w:rPr>
        <w:t>, passando pela 2ª Reunião Extraordinária, realizada em setembro de 2009, cuja pauta foi “Balanço de um ano de crise e perspectiva da economia brasileira”</w:t>
      </w:r>
      <w:r w:rsidRPr="00B14A46">
        <w:rPr>
          <w:rFonts w:ascii="Times New Roman" w:hAnsi="Times New Roman"/>
          <w:sz w:val="24"/>
          <w:szCs w:val="24"/>
        </w:rPr>
        <w:t xml:space="preserve">. Percebam que não estamos preocupados em delimitar </w:t>
      </w:r>
      <w:r>
        <w:rPr>
          <w:rFonts w:ascii="Times New Roman" w:hAnsi="Times New Roman"/>
          <w:sz w:val="24"/>
          <w:szCs w:val="24"/>
        </w:rPr>
        <w:t xml:space="preserve">a temporalidade que envolveu </w:t>
      </w:r>
      <w:r w:rsidRPr="00B14A46">
        <w:rPr>
          <w:rFonts w:ascii="Times New Roman" w:hAnsi="Times New Roman"/>
          <w:sz w:val="24"/>
          <w:szCs w:val="24"/>
        </w:rPr>
        <w:t>o ciclo da crise e de seus efeitos n</w:t>
      </w:r>
      <w:r>
        <w:rPr>
          <w:rFonts w:ascii="Times New Roman" w:hAnsi="Times New Roman"/>
          <w:sz w:val="24"/>
          <w:szCs w:val="24"/>
        </w:rPr>
        <w:t>a economia brasileira</w:t>
      </w:r>
      <w:r w:rsidRPr="00B14A46">
        <w:rPr>
          <w:rFonts w:ascii="Times New Roman" w:hAnsi="Times New Roman"/>
          <w:sz w:val="24"/>
          <w:szCs w:val="24"/>
        </w:rPr>
        <w:t xml:space="preserve">, mas tão-somente </w:t>
      </w:r>
      <w:r>
        <w:rPr>
          <w:rFonts w:ascii="Times New Roman" w:hAnsi="Times New Roman"/>
          <w:sz w:val="24"/>
          <w:szCs w:val="24"/>
        </w:rPr>
        <w:t xml:space="preserve">em realçar nosso entendimento de </w:t>
      </w:r>
      <w:r w:rsidRPr="00B14A46">
        <w:rPr>
          <w:rFonts w:ascii="Times New Roman" w:hAnsi="Times New Roman"/>
          <w:sz w:val="24"/>
          <w:szCs w:val="24"/>
        </w:rPr>
        <w:t xml:space="preserve">como o CDES </w:t>
      </w:r>
      <w:r>
        <w:rPr>
          <w:rFonts w:ascii="Times New Roman" w:hAnsi="Times New Roman"/>
          <w:sz w:val="24"/>
          <w:szCs w:val="24"/>
        </w:rPr>
        <w:t xml:space="preserve">reagiu perante a ameaça, deflagração e administração dos impactos da crise, o que produziu, se cabe dizer, um </w:t>
      </w:r>
      <w:r>
        <w:rPr>
          <w:rFonts w:ascii="Times New Roman" w:hAnsi="Times New Roman"/>
          <w:i/>
          <w:sz w:val="24"/>
          <w:szCs w:val="24"/>
        </w:rPr>
        <w:t>ciclo</w:t>
      </w:r>
      <w:r w:rsidRPr="009F0B49">
        <w:rPr>
          <w:rFonts w:ascii="Times New Roman" w:hAnsi="Times New Roman"/>
          <w:i/>
          <w:sz w:val="24"/>
          <w:szCs w:val="24"/>
        </w:rPr>
        <w:t xml:space="preserve"> interno</w:t>
      </w:r>
      <w:r>
        <w:rPr>
          <w:rFonts w:ascii="Times New Roman" w:hAnsi="Times New Roman"/>
          <w:sz w:val="24"/>
          <w:szCs w:val="24"/>
        </w:rPr>
        <w:t xml:space="preserve">de trabalhos diretamente ligado a uma fase que denominamos como sendo “o bojo da crise” no CDES. É possível </w:t>
      </w:r>
      <w:r w:rsidRPr="00B14A46">
        <w:rPr>
          <w:rFonts w:ascii="Times New Roman" w:hAnsi="Times New Roman"/>
          <w:sz w:val="24"/>
          <w:szCs w:val="24"/>
        </w:rPr>
        <w:t>periodiciz</w:t>
      </w:r>
      <w:r w:rsidR="0037305F">
        <w:rPr>
          <w:rFonts w:ascii="Times New Roman" w:hAnsi="Times New Roman"/>
          <w:sz w:val="24"/>
          <w:szCs w:val="24"/>
        </w:rPr>
        <w:t>ar ess</w:t>
      </w:r>
      <w:r>
        <w:rPr>
          <w:rFonts w:ascii="Times New Roman" w:hAnsi="Times New Roman"/>
          <w:sz w:val="24"/>
          <w:szCs w:val="24"/>
        </w:rPr>
        <w:t>e ciclo de trabalhos em três etapas: i) seu início, a partir do evento “</w:t>
      </w:r>
      <w:r w:rsidRPr="000C1913">
        <w:rPr>
          <w:rFonts w:ascii="Times New Roman" w:hAnsi="Times New Roman"/>
          <w:sz w:val="24"/>
          <w:szCs w:val="24"/>
        </w:rPr>
        <w:t>1º Encontro (Colóquio) Perspectivas de Crescimento da Economia Brasileira e a Crise Internacional</w:t>
      </w:r>
      <w:r>
        <w:rPr>
          <w:rFonts w:ascii="Times New Roman" w:hAnsi="Times New Roman"/>
          <w:sz w:val="24"/>
          <w:szCs w:val="24"/>
        </w:rPr>
        <w:t xml:space="preserve">”, promovido pelo CDES, em março de 2008; ii) seu auge, como momento de certa apreensão e preocupações que se deu a partir do “2º Encontro Perspectivas de Crescimento da Economia Brasileira e a Crise Internacional” em que foi retirada uma moção com uma série de recomendações do Conselho e entregue, na 28ª reunião, em novembro do mesmo ano, à Presidência da República. Entendemos, além disso, que o Conselho permaneceu em alerta e atuante durante todo ao ano de 2009, dedicando-se ao monitoramento, debate e proposições de medidas diante da fase aguda da crise que àquela altura atingia em cheio o nível das exportações brasileiras (retração do comércio internacional de </w:t>
      </w:r>
      <w:r>
        <w:rPr>
          <w:rFonts w:ascii="Times New Roman" w:hAnsi="Times New Roman"/>
          <w:i/>
          <w:sz w:val="24"/>
          <w:szCs w:val="24"/>
        </w:rPr>
        <w:t>commodities</w:t>
      </w:r>
      <w:r>
        <w:rPr>
          <w:rFonts w:ascii="Times New Roman" w:hAnsi="Times New Roman"/>
          <w:sz w:val="24"/>
          <w:szCs w:val="24"/>
        </w:rPr>
        <w:t>), a escassez de crédito internacional, a forte flutuação cambial, a desaceleração do PIB, dentre outros reflexos negativos na economia. Todo es</w:t>
      </w:r>
      <w:r w:rsidR="0037305F">
        <w:rPr>
          <w:rFonts w:ascii="Times New Roman" w:hAnsi="Times New Roman"/>
          <w:sz w:val="24"/>
          <w:szCs w:val="24"/>
        </w:rPr>
        <w:t>s</w:t>
      </w:r>
      <w:r>
        <w:rPr>
          <w:rFonts w:ascii="Times New Roman" w:hAnsi="Times New Roman"/>
          <w:sz w:val="24"/>
          <w:szCs w:val="24"/>
        </w:rPr>
        <w:t>e período retratava</w:t>
      </w:r>
      <w:r w:rsidRPr="00B14A46">
        <w:rPr>
          <w:rFonts w:ascii="Times New Roman" w:hAnsi="Times New Roman"/>
          <w:sz w:val="24"/>
          <w:szCs w:val="24"/>
        </w:rPr>
        <w:t xml:space="preserve"> o conteúdo mesmo das ações do governo e as proposições do Conselho frente à crise (diagnósticos, precauções, medidas de combate e retenção, frentes de ação e </w:t>
      </w:r>
      <w:r>
        <w:rPr>
          <w:rFonts w:ascii="Times New Roman" w:hAnsi="Times New Roman"/>
          <w:sz w:val="24"/>
          <w:szCs w:val="24"/>
        </w:rPr>
        <w:t xml:space="preserve">de </w:t>
      </w:r>
      <w:r w:rsidRPr="00B14A46">
        <w:rPr>
          <w:rFonts w:ascii="Times New Roman" w:hAnsi="Times New Roman"/>
          <w:sz w:val="24"/>
          <w:szCs w:val="24"/>
        </w:rPr>
        <w:t>requisição conjunta</w:t>
      </w:r>
      <w:r>
        <w:rPr>
          <w:rFonts w:ascii="Times New Roman" w:hAnsi="Times New Roman"/>
          <w:sz w:val="24"/>
          <w:szCs w:val="24"/>
        </w:rPr>
        <w:t xml:space="preserve">, etc.), consubstanciando-se como a </w:t>
      </w:r>
      <w:r w:rsidRPr="00B503B3">
        <w:rPr>
          <w:rFonts w:ascii="Times New Roman" w:hAnsi="Times New Roman"/>
          <w:i/>
          <w:sz w:val="24"/>
          <w:szCs w:val="24"/>
        </w:rPr>
        <w:t>fase principal</w:t>
      </w:r>
      <w:r>
        <w:rPr>
          <w:rFonts w:ascii="Times New Roman" w:hAnsi="Times New Roman"/>
          <w:sz w:val="24"/>
          <w:szCs w:val="24"/>
        </w:rPr>
        <w:t xml:space="preserve"> sobre a qual a situação de crise foi mais debatida e cujas solicitações de ações imediatas foram mais pontuais, cirúrgicas, incisivas, privilegiando certos procedimentos econômicos e direcionando-os em prol de alguns setores do capital; iii) o alívio ou a distensão gradual sobre os debates que envolveram diretamente a crise foram realizadas apenas a partir da reunião 2ª Reunião Extraordinária da Plenária do Conselho, em setembro de 2009, quando seus membros e o governo entenderam que as medidas adotadas foram eficazes no controle de sua propagação, inclusive sem lançar mão de políticas recessivas. Tal declínio manteve-se em 2010, mas sob constante monitoramento, quando o CDES abriu uma nova frente de debates através da proposta de reformulação de uma nova agenda de desenvolvimento. Durante todo o período que compreende esta fase, foi inconteste a importância na condução dos debates a presença dos ministros Fernando Haddad (MEC), Luciano Coutinho (Presidente do BNDES), Guido Mantega (Fazenda) e Miguel João Jorge (MDIC). O presidente Lula da Silva compareceu a </w:t>
      </w:r>
      <w:r>
        <w:rPr>
          <w:rFonts w:ascii="Times New Roman" w:hAnsi="Times New Roman"/>
          <w:i/>
          <w:sz w:val="24"/>
          <w:szCs w:val="24"/>
        </w:rPr>
        <w:t xml:space="preserve">todas </w:t>
      </w:r>
      <w:r>
        <w:rPr>
          <w:rFonts w:ascii="Times New Roman" w:hAnsi="Times New Roman"/>
          <w:sz w:val="24"/>
          <w:szCs w:val="24"/>
        </w:rPr>
        <w:t>as reuniões des</w:t>
      </w:r>
      <w:r w:rsidR="0037305F">
        <w:rPr>
          <w:rFonts w:ascii="Times New Roman" w:hAnsi="Times New Roman"/>
          <w:sz w:val="24"/>
          <w:szCs w:val="24"/>
        </w:rPr>
        <w:t>s</w:t>
      </w:r>
      <w:r>
        <w:rPr>
          <w:rFonts w:ascii="Times New Roman" w:hAnsi="Times New Roman"/>
          <w:sz w:val="24"/>
          <w:szCs w:val="24"/>
        </w:rPr>
        <w:t xml:space="preserve">e período, esforçando-se em garantir e cobrar o aprofundamento de articulações e de compromissos intra e extra setores empresariais,  preconizando e legitimando ações ministeriais e apelando aos agentes econômicos e sociais generalizado “apoio e confiança pelo Brasil”. Nesta fase, uma miríade bastante heterogênea de assuntos foi debatida no CDES, os quais destacamos em ordem decrescente de recorrência incidente nos discursos das plenárias: o debate sobre a educação, nos seus diferentes níveis, mas principalmente no ensino básico e superior; a exigência pela ampliação do fornecimento de crédito ao que denominavam de “setor produtivo” da economia (indústria, agronegócios, serviços e comércio); a cobrança pela aprovação da Reforma Tributária, vista como um gargalo a ser desobstruído para o incentivo aos investimentos e de promoção de maior “equidade” social; políticas de aquecimento do mercado consumidor interno como fator propulsionador dos fatores de produção e de geração de empregos em substituição à contração da demanda externa em crise; manutenção e ampliação dos investimentos em políticas públicas como o Programa de Aceleração do Crescimento (PAC) e da política social, tal como o Bolsa Família. Compareceram também, em ordem de grandeza abrandada, temas como política industrial, meio ambiente (pauta que apareceu com muito mais ênfase desde a criação do Conselho), importância da construção civil e das micro e pequenas empresas para o desenvolvimento do país. Houve também, em escala ainda menor, mas não menos importante, a discussão sobre a questão da </w:t>
      </w:r>
      <w:r w:rsidRPr="006B301D">
        <w:rPr>
          <w:rFonts w:ascii="Times New Roman" w:hAnsi="Times New Roman"/>
          <w:i/>
          <w:sz w:val="24"/>
          <w:szCs w:val="24"/>
        </w:rPr>
        <w:t xml:space="preserve">perenização </w:t>
      </w:r>
      <w:r>
        <w:rPr>
          <w:rFonts w:ascii="Times New Roman" w:hAnsi="Times New Roman"/>
          <w:sz w:val="24"/>
          <w:szCs w:val="24"/>
        </w:rPr>
        <w:t>das recentes políticas sociais implantadas (Programa Bolsa Família, política de valorização do salário mínimo, política habitacional, etc), o aprofundamento da política industrial (PDP), a preocupação com investimentos em infraestrutura e os efeitos do denominado “padrão produtivo” da economia brasileira através da dependência da commoditização da sua pauta exportadora.</w:t>
      </w:r>
    </w:p>
    <w:p w:rsidR="00837AC8" w:rsidRDefault="00837AC8" w:rsidP="00FA1601">
      <w:pPr>
        <w:pStyle w:val="PargrafodaLista"/>
        <w:numPr>
          <w:ilvl w:val="0"/>
          <w:numId w:val="14"/>
        </w:numPr>
        <w:autoSpaceDE w:val="0"/>
        <w:autoSpaceDN w:val="0"/>
        <w:adjustRightInd w:val="0"/>
        <w:spacing w:after="0" w:line="360" w:lineRule="auto"/>
        <w:jc w:val="both"/>
        <w:rPr>
          <w:rFonts w:ascii="Times New Roman" w:hAnsi="Times New Roman"/>
          <w:sz w:val="24"/>
          <w:szCs w:val="24"/>
        </w:rPr>
      </w:pPr>
      <w:r w:rsidRPr="00BB402F">
        <w:rPr>
          <w:rFonts w:ascii="Times New Roman" w:hAnsi="Times New Roman"/>
          <w:b/>
          <w:sz w:val="24"/>
          <w:szCs w:val="24"/>
        </w:rPr>
        <w:t>3ª fase</w:t>
      </w:r>
      <w:r>
        <w:rPr>
          <w:rFonts w:ascii="Times New Roman" w:hAnsi="Times New Roman"/>
          <w:b/>
          <w:sz w:val="24"/>
          <w:szCs w:val="24"/>
        </w:rPr>
        <w:t xml:space="preserve">(declínio da crise) </w:t>
      </w:r>
      <w:r w:rsidR="00095250">
        <w:rPr>
          <w:rFonts w:ascii="Times New Roman" w:hAnsi="Times New Roman"/>
          <w:sz w:val="24"/>
          <w:szCs w:val="24"/>
        </w:rPr>
        <w:t>–</w:t>
      </w:r>
      <w:r>
        <w:rPr>
          <w:rFonts w:ascii="Times New Roman" w:hAnsi="Times New Roman"/>
          <w:sz w:val="24"/>
          <w:szCs w:val="24"/>
        </w:rPr>
        <w:t xml:space="preserve"> de abril a agosto de 2010: nas 33ª, 34ª e 35ª reuniões plenárias julgamos que o CDES promoveu, simultaneamente, ou melhor, num só movimento, a revivescência das pautas anteriores </w:t>
      </w:r>
      <w:r w:rsidR="00095250">
        <w:rPr>
          <w:rFonts w:ascii="Times New Roman" w:hAnsi="Times New Roman"/>
          <w:sz w:val="24"/>
          <w:szCs w:val="24"/>
        </w:rPr>
        <w:t>–</w:t>
      </w:r>
      <w:r>
        <w:rPr>
          <w:rFonts w:ascii="Times New Roman" w:hAnsi="Times New Roman"/>
          <w:sz w:val="24"/>
          <w:szCs w:val="24"/>
        </w:rPr>
        <w:t xml:space="preserve"> agora apoiadas sob um substrato de alterações não desprezíveis nas condições econômicas e sociais do país – e a manutenção do seu papel de câmara de monitoramento e de gestão da crise, tal qual na fase anterior. A diferença foi que, nes</w:t>
      </w:r>
      <w:r w:rsidR="0037305F">
        <w:rPr>
          <w:rFonts w:ascii="Times New Roman" w:hAnsi="Times New Roman"/>
          <w:sz w:val="24"/>
          <w:szCs w:val="24"/>
        </w:rPr>
        <w:t>s</w:t>
      </w:r>
      <w:r>
        <w:rPr>
          <w:rFonts w:ascii="Times New Roman" w:hAnsi="Times New Roman"/>
          <w:sz w:val="24"/>
          <w:szCs w:val="24"/>
        </w:rPr>
        <w:t xml:space="preserve">e período, os debates assumiram claramente a intenção de resgatar alguns temas a fim de </w:t>
      </w:r>
      <w:r w:rsidR="00617961">
        <w:rPr>
          <w:rFonts w:ascii="Times New Roman" w:hAnsi="Times New Roman"/>
          <w:sz w:val="24"/>
          <w:szCs w:val="24"/>
        </w:rPr>
        <w:t>incitá-los</w:t>
      </w:r>
      <w:r>
        <w:rPr>
          <w:rFonts w:ascii="Times New Roman" w:hAnsi="Times New Roman"/>
          <w:sz w:val="24"/>
          <w:szCs w:val="24"/>
        </w:rPr>
        <w:t xml:space="preserve"> requalificadamente à luz das mudanças ocorridas no segundo governo Lula da Silva, apontando encaminhamentos futuros, e também em razão das vicissitudes geradas pelo enfrentamento à crise econômica. Em suma, os conselheiros interpretavam que uma conjuntura diferenciada se apresentava, resultante dos esforços desprendidos pelo governo frente às políticas públicas de fortalecimento da dinâmica econômica e social advinda desde 2006, somados à experiência adquirida pela exigência de formulação de políticas de saídas da crise e o que elas significavam como “oportunidades” estratégicas de inauguração de um “novo ciclo de desenvolvimento”. Portanto, em 2010, o CDES voltou-se para a construção de uma nova agenda, a Agenda para o Novo Ciclo de Desenvolvimento (ANC) que, como reatualização da AND de 2005, exprimia a reedição mais nuançada e enxertada da plataforma social-liberal de sociabilidade que os setores do capital, da burocracia sindical e da intelectualidade acadêmica se propuseram a reexaminar. Nas plenárias, destacou-se o debate sobre os instrumentos e mecanismos afeitos ao processo de construção da ANC, a importância do investimento em inovação tecnológica, mas, sem nenhuma dúvida, a temática mais reincidente, que ocupou boa parte dos debates nas plenárias, foi a educação. Em 2010, o debate sobre a educação ocupou lugar preponderante nas atas das plenárias do Conselho e também na documentação elaborada, principalmente na ANC. O tema não era novo no CDES, como se sabe, mas ganhou status decisivamente privilegiado, alçado à condição</w:t>
      </w:r>
      <w:r w:rsidR="00617961">
        <w:rPr>
          <w:rFonts w:ascii="Times New Roman" w:hAnsi="Times New Roman"/>
          <w:sz w:val="24"/>
          <w:szCs w:val="24"/>
        </w:rPr>
        <w:t xml:space="preserve"> de</w:t>
      </w:r>
      <w:r>
        <w:rPr>
          <w:rFonts w:ascii="Times New Roman" w:hAnsi="Times New Roman"/>
          <w:sz w:val="24"/>
          <w:szCs w:val="24"/>
        </w:rPr>
        <w:t xml:space="preserve"> política pública número um a ser enfrentada, ao menos no plano programático-discursivo.</w:t>
      </w:r>
    </w:p>
    <w:p w:rsidR="00837AC8" w:rsidRPr="00B3257E" w:rsidRDefault="00837AC8" w:rsidP="00837AC8">
      <w:pPr>
        <w:pStyle w:val="PargrafodaLista"/>
        <w:autoSpaceDE w:val="0"/>
        <w:autoSpaceDN w:val="0"/>
        <w:adjustRightInd w:val="0"/>
        <w:spacing w:after="0" w:line="360" w:lineRule="auto"/>
        <w:ind w:left="0" w:firstLine="709"/>
        <w:jc w:val="both"/>
        <w:rPr>
          <w:rFonts w:ascii="Times New Roman" w:hAnsi="Times New Roman"/>
          <w:sz w:val="24"/>
          <w:szCs w:val="24"/>
        </w:rPr>
      </w:pPr>
      <w:r>
        <w:rPr>
          <w:rFonts w:ascii="Times New Roman" w:hAnsi="Times New Roman"/>
          <w:sz w:val="24"/>
          <w:szCs w:val="24"/>
        </w:rPr>
        <w:t>Basta reafirmar, talvez por excesso de zelo, que os temas acima elencados não deixaram de atravessar o conjunto de debates havidos no CDES durante todo o segundo mandato de Lula da Silva</w:t>
      </w:r>
      <w:r w:rsidR="0037305F">
        <w:rPr>
          <w:rFonts w:ascii="Times New Roman" w:hAnsi="Times New Roman"/>
          <w:sz w:val="24"/>
          <w:szCs w:val="24"/>
        </w:rPr>
        <w:t>. Portanto, a circunscrição dess</w:t>
      </w:r>
      <w:r>
        <w:rPr>
          <w:rFonts w:ascii="Times New Roman" w:hAnsi="Times New Roman"/>
          <w:sz w:val="24"/>
          <w:szCs w:val="24"/>
        </w:rPr>
        <w:t xml:space="preserve">es temas em fases obedece à observação feita por nós de sua </w:t>
      </w:r>
      <w:r w:rsidRPr="007553A9">
        <w:rPr>
          <w:rFonts w:ascii="Times New Roman" w:hAnsi="Times New Roman"/>
          <w:i/>
          <w:sz w:val="24"/>
          <w:szCs w:val="24"/>
        </w:rPr>
        <w:t>maior recorrência ou reincidência</w:t>
      </w:r>
      <w:r>
        <w:rPr>
          <w:rFonts w:ascii="Times New Roman" w:hAnsi="Times New Roman"/>
          <w:sz w:val="24"/>
          <w:szCs w:val="24"/>
        </w:rPr>
        <w:t xml:space="preserve"> dentro de um dado período nas atas das reuniões plenárias </w:t>
      </w:r>
      <w:r w:rsidR="00095250">
        <w:rPr>
          <w:rFonts w:ascii="Times New Roman" w:hAnsi="Times New Roman"/>
          <w:sz w:val="24"/>
          <w:szCs w:val="24"/>
        </w:rPr>
        <w:t>–</w:t>
      </w:r>
      <w:r>
        <w:rPr>
          <w:rFonts w:ascii="Times New Roman" w:hAnsi="Times New Roman"/>
          <w:sz w:val="24"/>
          <w:szCs w:val="24"/>
        </w:rPr>
        <w:t xml:space="preserve"> 21ª à 35ª reunião, que correspondem ao período de maio de 2007 a agosto de 2010.</w:t>
      </w:r>
    </w:p>
    <w:p w:rsidR="00837AC8" w:rsidRDefault="00FD74F7"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O</w:t>
      </w:r>
      <w:r w:rsidR="00837AC8">
        <w:rPr>
          <w:rFonts w:ascii="Times New Roman" w:hAnsi="Times New Roman"/>
          <w:sz w:val="24"/>
          <w:szCs w:val="24"/>
        </w:rPr>
        <w:t xml:space="preserve"> fato </w:t>
      </w:r>
      <w:r w:rsidR="00DE47C6">
        <w:rPr>
          <w:rFonts w:ascii="Times New Roman" w:hAnsi="Times New Roman"/>
          <w:sz w:val="24"/>
          <w:szCs w:val="24"/>
        </w:rPr>
        <w:t>era</w:t>
      </w:r>
      <w:r w:rsidR="00837AC8">
        <w:rPr>
          <w:rFonts w:ascii="Times New Roman" w:hAnsi="Times New Roman"/>
          <w:sz w:val="24"/>
          <w:szCs w:val="24"/>
        </w:rPr>
        <w:t xml:space="preserve"> que o Conselho havia incorporado o papel de formulador e de propositor de medidas consideradas necessárias para o enfrentamento da crise, reivindicando para tanto a recuperação ampliada e o aprofundamento de um repertório de iniciativas tomadas desde ascensão de Guido Mantega à pasta da Fazenda. Outro fato importante era que, em 2008, os conselheiros enxergavam nas políticas públicas adotadas a própria implantação e realização das diretrizes formuladas pela AND.</w:t>
      </w:r>
      <w:r w:rsidR="00837AC8">
        <w:rPr>
          <w:rStyle w:val="Refdenotaderodap"/>
          <w:rFonts w:ascii="Times New Roman" w:hAnsi="Times New Roman"/>
          <w:sz w:val="24"/>
          <w:szCs w:val="24"/>
        </w:rPr>
        <w:footnoteReference w:id="517"/>
      </w:r>
      <w:r w:rsidR="00837AC8">
        <w:rPr>
          <w:rFonts w:ascii="Times New Roman" w:hAnsi="Times New Roman"/>
          <w:sz w:val="24"/>
          <w:szCs w:val="24"/>
        </w:rPr>
        <w:t xml:space="preserve"> Para os conselheiros, o melhor caminho para combater a crise era continuar a seguir o rumo adotado pela política econômica em vigor desde 2006, aparando as arestas de forma a estabilizar e aprimorar o projeto, rechaçando recuos ou vacilações contracionistas, ao mesmo tempo preservava e robustecia os pilares básicos de estabilização macroeconômicos herdados de FHC: adoção do regime de metas de inflação e reformas pró-mercado.</w:t>
      </w:r>
      <w:r w:rsidR="00837AC8">
        <w:rPr>
          <w:rStyle w:val="Refdenotaderodap"/>
          <w:rFonts w:ascii="Times New Roman" w:hAnsi="Times New Roman"/>
          <w:sz w:val="24"/>
          <w:szCs w:val="24"/>
        </w:rPr>
        <w:footnoteReference w:id="518"/>
      </w:r>
      <w:r w:rsidR="00837AC8">
        <w:rPr>
          <w:rFonts w:ascii="Times New Roman" w:hAnsi="Times New Roman"/>
          <w:sz w:val="24"/>
          <w:szCs w:val="24"/>
        </w:rPr>
        <w:t xml:space="preserve"> O secretário-executivo do CDES, José Múcio Monteiro Filho, traduziu o quadro de satisfação dos conselheiros, ao afirmar que</w:t>
      </w:r>
    </w:p>
    <w:p w:rsidR="00837AC8" w:rsidRPr="001E480D" w:rsidRDefault="00837AC8" w:rsidP="00837AC8">
      <w:pPr>
        <w:autoSpaceDE w:val="0"/>
        <w:autoSpaceDN w:val="0"/>
        <w:adjustRightInd w:val="0"/>
        <w:spacing w:line="240" w:lineRule="auto"/>
        <w:ind w:left="2268"/>
        <w:jc w:val="both"/>
        <w:rPr>
          <w:rFonts w:ascii="Times New Roman" w:hAnsi="Times New Roman"/>
          <w:sz w:val="20"/>
          <w:szCs w:val="20"/>
        </w:rPr>
      </w:pPr>
      <w:r w:rsidRPr="001E480D">
        <w:rPr>
          <w:rFonts w:ascii="Times New Roman" w:hAnsi="Times New Roman"/>
          <w:sz w:val="20"/>
          <w:szCs w:val="20"/>
        </w:rPr>
        <w:t>As medidas que estão sendo tomadas pelo governo têm convergência com as análises do Conselho. A avaliação é que o Brasil está enfrentando com solidez e segurança inéditas as grandes ondas de instabilidade que atin</w:t>
      </w:r>
      <w:r>
        <w:rPr>
          <w:rFonts w:ascii="Times New Roman" w:hAnsi="Times New Roman"/>
          <w:sz w:val="20"/>
          <w:szCs w:val="20"/>
        </w:rPr>
        <w:t>gem todas as economias do mundo (Ata da 28ª Reunião Plenária, 06/11/08, p. 02).</w:t>
      </w:r>
    </w:p>
    <w:p w:rsidR="00837AC8" w:rsidRDefault="00105698" w:rsidP="00837AC8">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Houve</w:t>
      </w:r>
      <w:r w:rsidR="00837AC8">
        <w:rPr>
          <w:rFonts w:ascii="Times New Roman" w:hAnsi="Times New Roman"/>
          <w:sz w:val="24"/>
          <w:szCs w:val="24"/>
        </w:rPr>
        <w:t xml:space="preserve"> relativa “trégua”, dentro do CDES, entre os conselheiros e a SEDES, entre os conselheiros e o governo e entre eles próprios, que se tornou gradualmente sólida a partir de 2007 e deveu-se a uma ordem de fatores que, sumariamente, mencionamos: a) a formação do Conselho Gestor, criado em 2008, abrindo espaço para a ingerência de representantes dos conselheiros na formulação de pautas e no acompanhamento das sugestões encaminhadas ao Executivo (reconhecida entre eles como “governança democrática”),  como vimos no capítulo 1; b) a retirada, por meio da não recondução, de conselheiros, digamos, “mais críticos” que, em geral, estavam dentre os que mais intervinham nas reuniões plenárias expondo tanto as graves contradições internas ao funcionamento do CDES quanto teciam contundentes críticas à condução da política-econômica do primeiro governo Lula da Silva e que, especialmente, levantavam pautas ou propostas </w:t>
      </w:r>
      <w:r w:rsidR="00837AC8">
        <w:rPr>
          <w:rFonts w:ascii="Times New Roman" w:hAnsi="Times New Roman"/>
          <w:i/>
          <w:sz w:val="24"/>
          <w:szCs w:val="24"/>
        </w:rPr>
        <w:t xml:space="preserve">mudancistas </w:t>
      </w:r>
      <w:r w:rsidR="00837AC8">
        <w:rPr>
          <w:rFonts w:ascii="Times New Roman" w:hAnsi="Times New Roman"/>
          <w:sz w:val="24"/>
          <w:szCs w:val="24"/>
        </w:rPr>
        <w:t xml:space="preserve">que destoavam do plano liberal-contrarreformista </w:t>
      </w:r>
      <w:r w:rsidR="00837AC8" w:rsidRPr="00C66EB2">
        <w:rPr>
          <w:rFonts w:ascii="Times New Roman" w:hAnsi="Times New Roman"/>
          <w:sz w:val="24"/>
          <w:szCs w:val="24"/>
        </w:rPr>
        <w:t>do</w:t>
      </w:r>
      <w:r w:rsidR="00837AC8">
        <w:rPr>
          <w:rFonts w:ascii="Times New Roman" w:hAnsi="Times New Roman"/>
          <w:sz w:val="24"/>
          <w:szCs w:val="24"/>
        </w:rPr>
        <w:t xml:space="preserve"> governo (como a Reforma Agrária, a auditoria da dívida pública, por exemplo), tais como Sonia Fleury (FGV), Jurema Werneck (ONG Crioula e AMNB), Pedro Oliveira (CEB’s), dentre outros; c) a sedimentação e o aplainamento de tensões internas, a partir de aproximações sucessivas em vários momentos via CDES (aprofundamento de relacionamentos interpessoais por meio da criação de múltiplos espaços e distintos momentos de convívios e de interlocução – em eventos variados, nas viagens internacionais, nas reuniões extraordinárias, nos Grupos Temáticos, etc), das quais foi fundamental o conjunto de reuniões e discussões travadas em torno da elaboração da Agenda Nacional de Desenvolvimento (AND), valendo-se também da coalizão de proposições e de espaços demarcados e reconhecidos entre os conselheiros numa espécie – não bem definida ou oficialmente acertada – de divisão do trabalho intelectual no seu interior: ou seja, grupos de conselheiros dedicados a certos temas ou pautas específicas e requeridas de aprofundamentos, estudos e pesquisas em comum, etc</w:t>
      </w:r>
      <w:r>
        <w:rPr>
          <w:rFonts w:ascii="Times New Roman" w:hAnsi="Times New Roman"/>
          <w:sz w:val="24"/>
          <w:szCs w:val="24"/>
        </w:rPr>
        <w:t xml:space="preserve">; </w:t>
      </w:r>
      <w:r w:rsidR="00837AC8">
        <w:rPr>
          <w:rFonts w:ascii="Times New Roman" w:hAnsi="Times New Roman"/>
          <w:sz w:val="24"/>
          <w:szCs w:val="24"/>
        </w:rPr>
        <w:t>sem deixar de mencionar as conexões, vínculos e convívios dos grupos sociais presentes no CDES por meio das entidades da sociedade civil, em outras arenas da sociedade política, na gestão de negócios do mundo corporativo, nas negociações e mobilizações entre a cúpula sindical e empresarial etc, aos quais mostramos ao longo da pesquisa. Vale ressaltar ainda que praticamente um terço do conjunto dos conselheiros ingressou no CDES nos anos de 2003 e 2004 e nele permaneceu até o último ano do período investigado (2010), constituindo-se assim uma espécie de “núcleo duro” interno relativamente coeso, até mesmo porque 70% des</w:t>
      </w:r>
      <w:r w:rsidR="0037305F">
        <w:rPr>
          <w:rFonts w:ascii="Times New Roman" w:hAnsi="Times New Roman"/>
          <w:sz w:val="24"/>
          <w:szCs w:val="24"/>
        </w:rPr>
        <w:t>s</w:t>
      </w:r>
      <w:r w:rsidR="00837AC8">
        <w:rPr>
          <w:rFonts w:ascii="Times New Roman" w:hAnsi="Times New Roman"/>
          <w:sz w:val="24"/>
          <w:szCs w:val="24"/>
        </w:rPr>
        <w:t xml:space="preserve">es conselheiros (19 em números absolutos) eram empresários;  d) a interpretação de que a concretização – ainda que gradual e incompleta </w:t>
      </w:r>
      <w:r w:rsidR="00095250">
        <w:rPr>
          <w:rFonts w:ascii="Times New Roman" w:hAnsi="Times New Roman"/>
          <w:sz w:val="24"/>
          <w:szCs w:val="24"/>
        </w:rPr>
        <w:t>–</w:t>
      </w:r>
      <w:r w:rsidR="00837AC8">
        <w:rPr>
          <w:rFonts w:ascii="Times New Roman" w:hAnsi="Times New Roman"/>
          <w:sz w:val="24"/>
          <w:szCs w:val="24"/>
        </w:rPr>
        <w:t xml:space="preserve"> do programa econômico e social que almejavam estava em andamento. Havia a tomada de consciência e o reconhecimento de que as orientações gerais do segundo governo estavam em conformidade e/ou em direção de sintonia com as diretrizes predominantes elaboradas pelo CDES. Segundo Ronaldo Couto Garcia, </w:t>
      </w:r>
    </w:p>
    <w:p w:rsidR="00837AC8" w:rsidRPr="006B0501" w:rsidRDefault="00837AC8" w:rsidP="00837AC8">
      <w:pPr>
        <w:autoSpaceDE w:val="0"/>
        <w:autoSpaceDN w:val="0"/>
        <w:adjustRightInd w:val="0"/>
        <w:spacing w:line="240" w:lineRule="auto"/>
        <w:ind w:left="2268"/>
        <w:jc w:val="both"/>
        <w:rPr>
          <w:rFonts w:ascii="Times New Roman" w:hAnsi="Times New Roman"/>
          <w:sz w:val="20"/>
          <w:szCs w:val="20"/>
        </w:rPr>
      </w:pPr>
      <w:r w:rsidRPr="006B0501">
        <w:rPr>
          <w:rFonts w:ascii="Times New Roman" w:hAnsi="Times New Roman"/>
          <w:sz w:val="20"/>
          <w:szCs w:val="20"/>
        </w:rPr>
        <w:t>Os fatos revelam que mesmo sem pública explicitação da ascensão da AND à posição orientadora das ações governamentais, os seus conteúdos e diretrizes passaram a ser encontrados em muitas decisões e iniciativas do governo, desde então (a redução célere das desigualdades sociais, a geração recorde de empregos formais, a ampliação inédita do mercado interno de consumo, o aumento do investimento público, a valorização continuada do salário mínimo e benefícios previdenciários e assistenciais, a atenção à segurança pública – Pronasci, a recuperação da malha infraestrutural – PAC, o Plano de Desenvolvimento da Educação, a redução das taxas de juros básicas e a ampliação do financiamento ao investimento entre outros). Uma confrontação mais detalhada das proposta</w:t>
      </w:r>
      <w:r>
        <w:rPr>
          <w:rFonts w:ascii="Times New Roman" w:hAnsi="Times New Roman"/>
          <w:sz w:val="20"/>
          <w:szCs w:val="20"/>
        </w:rPr>
        <w:t>s</w:t>
      </w:r>
      <w:r w:rsidRPr="006B0501">
        <w:rPr>
          <w:rFonts w:ascii="Times New Roman" w:hAnsi="Times New Roman"/>
          <w:sz w:val="20"/>
          <w:szCs w:val="20"/>
        </w:rPr>
        <w:t xml:space="preserve"> da AND com as realizações governamentais irá mostrar grande convergência</w:t>
      </w:r>
      <w:r>
        <w:rPr>
          <w:rFonts w:ascii="Times New Roman" w:hAnsi="Times New Roman"/>
          <w:sz w:val="20"/>
          <w:szCs w:val="20"/>
        </w:rPr>
        <w:t>.</w:t>
      </w:r>
      <w:r>
        <w:rPr>
          <w:rStyle w:val="Refdenotaderodap"/>
          <w:rFonts w:ascii="Times New Roman" w:hAnsi="Times New Roman"/>
          <w:sz w:val="20"/>
          <w:szCs w:val="20"/>
        </w:rPr>
        <w:footnoteReference w:id="519"/>
      </w:r>
    </w:p>
    <w:p w:rsidR="00837AC8" w:rsidRDefault="00837AC8" w:rsidP="00837AC8">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O relato oficial e propagandístico do subsecretário encontrava nas posições dos conselheiros assertivas de aprovação sobre a condução e os rumos do país. Na documentação produzida pelo CDES, em especial nas atas das reuniões plenárias do período, havia muitas declarações acerca da convergência entre o que se propunha e/ou se recomendava no CDES e o que se implementava como política pública governamental:  </w:t>
      </w:r>
    </w:p>
    <w:p w:rsidR="00837AC8" w:rsidRDefault="00837AC8" w:rsidP="00837AC8">
      <w:pPr>
        <w:autoSpaceDE w:val="0"/>
        <w:autoSpaceDN w:val="0"/>
        <w:adjustRightInd w:val="0"/>
        <w:spacing w:after="0" w:line="240" w:lineRule="auto"/>
        <w:ind w:left="2268"/>
        <w:jc w:val="both"/>
        <w:rPr>
          <w:rFonts w:ascii="Times New Roman" w:hAnsi="Times New Roman"/>
          <w:sz w:val="20"/>
          <w:szCs w:val="20"/>
        </w:rPr>
      </w:pPr>
      <w:r w:rsidRPr="00010C1B">
        <w:rPr>
          <w:rFonts w:ascii="Times New Roman" w:hAnsi="Times New Roman"/>
          <w:sz w:val="20"/>
          <w:szCs w:val="20"/>
        </w:rPr>
        <w:t xml:space="preserve">Excelentíssimo Presidente Luiz Inácio Lula da Silva </w:t>
      </w:r>
      <w:r>
        <w:rPr>
          <w:rFonts w:ascii="Times New Roman" w:hAnsi="Times New Roman"/>
          <w:sz w:val="20"/>
          <w:szCs w:val="20"/>
        </w:rPr>
        <w:t xml:space="preserve">(...). </w:t>
      </w:r>
      <w:r w:rsidRPr="00010C1B">
        <w:rPr>
          <w:rFonts w:ascii="Times New Roman" w:hAnsi="Times New Roman"/>
          <w:sz w:val="20"/>
          <w:szCs w:val="20"/>
        </w:rPr>
        <w:t xml:space="preserve">Aqui tecemos na diversidade o diálogo para o desenvolvimento. O Conselho se sentiu contemplado com o lançamento do Plano de Aceleração de Crescimento </w:t>
      </w:r>
      <w:r w:rsidR="00095250">
        <w:rPr>
          <w:rFonts w:ascii="Times New Roman" w:hAnsi="Times New Roman"/>
          <w:sz w:val="20"/>
          <w:szCs w:val="20"/>
        </w:rPr>
        <w:t>–</w:t>
      </w:r>
      <w:r w:rsidRPr="00010C1B">
        <w:rPr>
          <w:rFonts w:ascii="Times New Roman" w:hAnsi="Times New Roman"/>
          <w:sz w:val="20"/>
          <w:szCs w:val="20"/>
        </w:rPr>
        <w:t xml:space="preserve"> PAC 2007-2010, verificou-se que as premissas e recomendações entregues a Vossa Excelência nos Enunciados Estratégicos foram incorporadas à principal agenda do seu segundo mandato. Merece especial destaque o compromisso governamental com o aumento dos investimentos públicos e privados e a aceleração do crescimento econômico com distribuição de renda. A coincidência entre os documentos vai além das premissas gerais de política econômica e alcançam os investimentos em energia, logística e transportes, infra-estrutura hídrica, mobilidade urbana, universalização do saneamento habitação e desenvolvimento urbano. O Conselho viu também muito das suas recomendações sobre educação refletidas no Plano de Desenvolvimento da Educação, o PDE, recém lançado. O PAC e o PDE foram apresentados ao Conselho pelo governo e o Conselho foi chamado a envolver-se no acom</w:t>
      </w:r>
      <w:r>
        <w:rPr>
          <w:rFonts w:ascii="Times New Roman" w:hAnsi="Times New Roman"/>
          <w:sz w:val="20"/>
          <w:szCs w:val="20"/>
        </w:rPr>
        <w:t>panhamento de sua implementação (Secretário-Executivo do CDES, Ministro Walfrido dos Mares Guia, Ata 21ª Reunião Plenária, 17/05/2007).</w:t>
      </w:r>
    </w:p>
    <w:p w:rsidR="00837AC8" w:rsidRDefault="00837AC8" w:rsidP="00837AC8">
      <w:pPr>
        <w:autoSpaceDE w:val="0"/>
        <w:autoSpaceDN w:val="0"/>
        <w:adjustRightInd w:val="0"/>
        <w:spacing w:after="0" w:line="240" w:lineRule="auto"/>
        <w:ind w:left="2268"/>
        <w:jc w:val="both"/>
        <w:rPr>
          <w:rFonts w:ascii="Times New Roman" w:hAnsi="Times New Roman"/>
          <w:sz w:val="20"/>
          <w:szCs w:val="20"/>
        </w:rPr>
      </w:pPr>
    </w:p>
    <w:p w:rsidR="00837AC8" w:rsidRPr="00914D60" w:rsidRDefault="00837AC8" w:rsidP="00837AC8">
      <w:pPr>
        <w:autoSpaceDE w:val="0"/>
        <w:autoSpaceDN w:val="0"/>
        <w:adjustRightInd w:val="0"/>
        <w:spacing w:line="240" w:lineRule="auto"/>
        <w:ind w:left="2268"/>
        <w:jc w:val="both"/>
        <w:rPr>
          <w:rFonts w:ascii="Times New Roman" w:hAnsi="Times New Roman"/>
          <w:sz w:val="20"/>
          <w:szCs w:val="20"/>
        </w:rPr>
      </w:pPr>
      <w:r w:rsidRPr="00914D60">
        <w:rPr>
          <w:rFonts w:ascii="Times New Roman" w:hAnsi="Times New Roman"/>
          <w:sz w:val="20"/>
          <w:szCs w:val="20"/>
        </w:rPr>
        <w:t>Eu acho que nós estamos vivendo um momento em que o brasileiro começa a poder, digamos retomar o orgulho nacional. Nós começamos a enxergar o País sendo visto lá fora como um país que venceu dificuldades enormes, que tem hoje uma posição econômica invejável, com saldo de balança comercial expressivo, com a formação de reservas internacionais muito expressivas também, com controle da inflação, com a melhoria do nível de vida da população brasileira, com aumento da renda, com, digamos, a saída de um númer</w:t>
      </w:r>
      <w:r>
        <w:rPr>
          <w:rFonts w:ascii="Times New Roman" w:hAnsi="Times New Roman"/>
          <w:sz w:val="20"/>
          <w:szCs w:val="20"/>
        </w:rPr>
        <w:t>o</w:t>
      </w:r>
      <w:r w:rsidRPr="00914D60">
        <w:rPr>
          <w:rFonts w:ascii="Times New Roman" w:hAnsi="Times New Roman"/>
          <w:sz w:val="20"/>
          <w:szCs w:val="20"/>
        </w:rPr>
        <w:t xml:space="preserve"> enorme de brasileiros da linha de pobreza. São todos números que nos orgulham, que nos envaidecem, mas que nos obrigam também a olharmos para o futuro e vermos que esta construção não se resolve por si só, ela não está termin</w:t>
      </w:r>
      <w:r>
        <w:rPr>
          <w:rFonts w:ascii="Times New Roman" w:hAnsi="Times New Roman"/>
          <w:sz w:val="20"/>
          <w:szCs w:val="20"/>
        </w:rPr>
        <w:t>a</w:t>
      </w:r>
      <w:r w:rsidRPr="00914D60">
        <w:rPr>
          <w:rFonts w:ascii="Times New Roman" w:hAnsi="Times New Roman"/>
          <w:sz w:val="20"/>
          <w:szCs w:val="20"/>
        </w:rPr>
        <w:t>da, nós estamos, na verdade, começando a construir uma sociedade mais justa (Conselheiro Luiz Carlos Delben Leite, Ata da 23ª Reunião Plenária, 20/09/2007, p. 29).</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Os conselheiros </w:t>
      </w:r>
      <w:r w:rsidR="00FD74F7">
        <w:rPr>
          <w:rFonts w:ascii="Times New Roman" w:hAnsi="Times New Roman"/>
          <w:sz w:val="24"/>
          <w:szCs w:val="24"/>
        </w:rPr>
        <w:t>deslumbraram</w:t>
      </w:r>
      <w:r>
        <w:rPr>
          <w:rFonts w:ascii="Times New Roman" w:hAnsi="Times New Roman"/>
          <w:sz w:val="24"/>
          <w:szCs w:val="24"/>
        </w:rPr>
        <w:t>-se com o “espetáculo do crescimento” e, pelo que a documentação indica, se viram como protagonistas: não sem razão, mas também não em demasia, pois as tão-sonhadas e largamente discutidas reformas política e tributária (pertencentes a um leque maior de reformas intituladas de “reformas estruturais”),</w:t>
      </w:r>
      <w:r>
        <w:rPr>
          <w:rStyle w:val="Refdenotaderodap"/>
          <w:rFonts w:ascii="Times New Roman" w:hAnsi="Times New Roman"/>
          <w:sz w:val="24"/>
          <w:szCs w:val="24"/>
        </w:rPr>
        <w:footnoteReference w:id="520"/>
      </w:r>
      <w:r>
        <w:rPr>
          <w:rFonts w:ascii="Times New Roman" w:hAnsi="Times New Roman"/>
          <w:sz w:val="24"/>
          <w:szCs w:val="24"/>
        </w:rPr>
        <w:t xml:space="preserve"> temas sempre presentes nas reuniões plenárias no segundo mandato, não haviam até então saíd</w:t>
      </w:r>
      <w:r w:rsidR="00FD74F7">
        <w:rPr>
          <w:rFonts w:ascii="Times New Roman" w:hAnsi="Times New Roman"/>
          <w:sz w:val="24"/>
          <w:szCs w:val="24"/>
        </w:rPr>
        <w:t>o</w:t>
      </w:r>
      <w:r>
        <w:rPr>
          <w:rFonts w:ascii="Times New Roman" w:hAnsi="Times New Roman"/>
          <w:sz w:val="24"/>
          <w:szCs w:val="24"/>
        </w:rPr>
        <w:t xml:space="preserve">s do papel. </w:t>
      </w:r>
    </w:p>
    <w:p w:rsidR="00837AC8" w:rsidRDefault="00FD74F7"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w:t>
      </w:r>
      <w:r w:rsidR="00837AC8">
        <w:rPr>
          <w:rFonts w:ascii="Times New Roman" w:hAnsi="Times New Roman"/>
          <w:sz w:val="24"/>
          <w:szCs w:val="24"/>
        </w:rPr>
        <w:t xml:space="preserve"> recuperação macroeconômica do país adquiriu, a nosso ver, lugar de destaque para que as divergências internas no âmbito do Conselho se tornassem cada vez mais pontuais e episódicas. Isto não significou, de forma alguma, o apagamento de tensões ou mesmo de rusgas ocasionais, mas, indubitavelmente, expressou a constituição e evolução de um amalgamento muito mais sólido e duradouro interpares, ou seja, de uma relativa </w:t>
      </w:r>
      <w:r w:rsidR="00837AC8" w:rsidRPr="00184480">
        <w:rPr>
          <w:rFonts w:ascii="Times New Roman" w:hAnsi="Times New Roman"/>
          <w:i/>
          <w:sz w:val="24"/>
          <w:szCs w:val="24"/>
        </w:rPr>
        <w:t>soldagem</w:t>
      </w:r>
      <w:r w:rsidR="00837AC8">
        <w:rPr>
          <w:rFonts w:ascii="Times New Roman" w:hAnsi="Times New Roman"/>
          <w:sz w:val="24"/>
          <w:szCs w:val="24"/>
        </w:rPr>
        <w:t xml:space="preserve"> entre os segmentos sociais que compunham o CDES. </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Ora, a referida soldagem não era de fato orgânica, mas programática, pois dependia, e muito, dos resultados colhidos pela conjuntura econômica do período </w:t>
      </w:r>
      <w:r>
        <w:rPr>
          <w:rFonts w:ascii="Times New Roman" w:hAnsi="Times New Roman"/>
          <w:i/>
          <w:sz w:val="24"/>
          <w:szCs w:val="24"/>
        </w:rPr>
        <w:t>vis-à-vis</w:t>
      </w:r>
      <w:r>
        <w:rPr>
          <w:rFonts w:ascii="Times New Roman" w:hAnsi="Times New Roman"/>
          <w:sz w:val="24"/>
          <w:szCs w:val="24"/>
        </w:rPr>
        <w:t xml:space="preserve"> o fato de a ponta historicamente excluída dos trabalhadores estar alargando posições s</w:t>
      </w:r>
      <w:r w:rsidR="00CA0999">
        <w:rPr>
          <w:rFonts w:ascii="Times New Roman" w:hAnsi="Times New Roman"/>
          <w:sz w:val="24"/>
          <w:szCs w:val="24"/>
        </w:rPr>
        <w:t>o</w:t>
      </w:r>
      <w:r>
        <w:rPr>
          <w:rFonts w:ascii="Times New Roman" w:hAnsi="Times New Roman"/>
          <w:sz w:val="24"/>
          <w:szCs w:val="24"/>
        </w:rPr>
        <w:t>cioeconômicas minimamente aceitas ou esperadas no interior da pactuação pretendida e em construção, possibilitando ampliação do mercado interno e redução das desigualdades sociais. Na essência, é preciso dizer, estava em jogo a capacidade de ampliação da reprodução do capital levada a cabo pelo conjunto de programas, incentivos e microrreformas, estas realizadas também por meio da renovação do arcabouço jurídico-institucional essencial para o “ambi</w:t>
      </w:r>
      <w:r w:rsidR="0037305F">
        <w:rPr>
          <w:rFonts w:ascii="Times New Roman" w:hAnsi="Times New Roman"/>
          <w:sz w:val="24"/>
          <w:szCs w:val="24"/>
        </w:rPr>
        <w:t>ente saudável de negócios”. Ness</w:t>
      </w:r>
      <w:r>
        <w:rPr>
          <w:rFonts w:ascii="Times New Roman" w:hAnsi="Times New Roman"/>
          <w:sz w:val="24"/>
          <w:szCs w:val="24"/>
        </w:rPr>
        <w:t>e sentido, a crise econômica funcionou como momento de maior amalgamento e aglutinação das pautas econômicas empresariais dentro do Conselho, sem desconsiderar a importância assumida pelas pautas distributivas (as políticas sociais) na ocasião.</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Assim sendo, a </w:t>
      </w:r>
      <w:r w:rsidRPr="00253E79">
        <w:rPr>
          <w:rFonts w:ascii="Times New Roman" w:hAnsi="Times New Roman"/>
          <w:i/>
          <w:sz w:val="24"/>
          <w:szCs w:val="24"/>
        </w:rPr>
        <w:t>primeira hipótese</w:t>
      </w:r>
      <w:r>
        <w:rPr>
          <w:rFonts w:ascii="Times New Roman" w:hAnsi="Times New Roman"/>
          <w:sz w:val="24"/>
          <w:szCs w:val="24"/>
        </w:rPr>
        <w:t xml:space="preserve"> a ser</w:t>
      </w:r>
      <w:r w:rsidR="005A2E20">
        <w:rPr>
          <w:rFonts w:ascii="Times New Roman" w:hAnsi="Times New Roman"/>
          <w:sz w:val="24"/>
          <w:szCs w:val="24"/>
        </w:rPr>
        <w:t xml:space="preserve"> trabalhada</w:t>
      </w:r>
      <w:r>
        <w:rPr>
          <w:rFonts w:ascii="Times New Roman" w:hAnsi="Times New Roman"/>
          <w:sz w:val="24"/>
          <w:szCs w:val="24"/>
        </w:rPr>
        <w:t xml:space="preserve"> neste capítulo é a de que o CDES assumia, entre 2008 e 2009, o papel </w:t>
      </w:r>
      <w:r w:rsidR="00D573A8">
        <w:rPr>
          <w:rFonts w:ascii="Times New Roman" w:hAnsi="Times New Roman"/>
          <w:sz w:val="24"/>
          <w:szCs w:val="24"/>
        </w:rPr>
        <w:t>crucial</w:t>
      </w:r>
      <w:r>
        <w:rPr>
          <w:rFonts w:ascii="Times New Roman" w:hAnsi="Times New Roman"/>
          <w:sz w:val="24"/>
          <w:szCs w:val="24"/>
        </w:rPr>
        <w:t xml:space="preserve"> de </w:t>
      </w:r>
      <w:r w:rsidRPr="00CA1B98">
        <w:rPr>
          <w:rFonts w:ascii="Times New Roman" w:hAnsi="Times New Roman"/>
          <w:i/>
          <w:sz w:val="24"/>
          <w:szCs w:val="24"/>
        </w:rPr>
        <w:t xml:space="preserve">câmara ou célula de gestão </w:t>
      </w:r>
      <w:r>
        <w:rPr>
          <w:rFonts w:ascii="Times New Roman" w:hAnsi="Times New Roman"/>
          <w:sz w:val="24"/>
          <w:szCs w:val="24"/>
        </w:rPr>
        <w:t>dos efeitos da</w:t>
      </w:r>
      <w:r w:rsidRPr="00023823">
        <w:rPr>
          <w:rFonts w:ascii="Times New Roman" w:hAnsi="Times New Roman"/>
          <w:sz w:val="24"/>
          <w:szCs w:val="24"/>
        </w:rPr>
        <w:t xml:space="preserve"> crise</w:t>
      </w:r>
      <w:r>
        <w:rPr>
          <w:rFonts w:ascii="Times New Roman" w:hAnsi="Times New Roman"/>
          <w:sz w:val="24"/>
          <w:szCs w:val="24"/>
        </w:rPr>
        <w:t xml:space="preserve"> econômica internacional no Brasil. Com isso afirmamos que o Conselho funcionou, ou melhor, atribuiu-se a função de “uma espécie de conselho de crise, de comitê de crise para discutir semanalmente as medidas que tinham que ser tomadas”,</w:t>
      </w:r>
      <w:r>
        <w:rPr>
          <w:rStyle w:val="Refdenotaderodap"/>
          <w:rFonts w:ascii="Times New Roman" w:hAnsi="Times New Roman"/>
          <w:sz w:val="24"/>
          <w:szCs w:val="24"/>
        </w:rPr>
        <w:footnoteReference w:id="521"/>
      </w:r>
      <w:r>
        <w:rPr>
          <w:rFonts w:ascii="Times New Roman" w:hAnsi="Times New Roman"/>
          <w:sz w:val="24"/>
          <w:szCs w:val="24"/>
        </w:rPr>
        <w:t xml:space="preserve"> nas palavras do próprio Lula da Silva na 36ª Reunião Plenária, em dezembro de 2010. Como um dos </w:t>
      </w:r>
      <w:r w:rsidRPr="00C231E3">
        <w:rPr>
          <w:rFonts w:ascii="Times New Roman" w:hAnsi="Times New Roman"/>
          <w:i/>
          <w:sz w:val="24"/>
          <w:szCs w:val="24"/>
        </w:rPr>
        <w:t>núcleo</w:t>
      </w:r>
      <w:r>
        <w:rPr>
          <w:rFonts w:ascii="Times New Roman" w:hAnsi="Times New Roman"/>
          <w:i/>
          <w:sz w:val="24"/>
          <w:szCs w:val="24"/>
        </w:rPr>
        <w:t>s</w:t>
      </w:r>
      <w:r w:rsidRPr="00C231E3">
        <w:rPr>
          <w:rFonts w:ascii="Times New Roman" w:hAnsi="Times New Roman"/>
          <w:i/>
          <w:sz w:val="24"/>
          <w:szCs w:val="24"/>
        </w:rPr>
        <w:t xml:space="preserve"> de administração da crise</w:t>
      </w:r>
      <w:r>
        <w:rPr>
          <w:rFonts w:ascii="Times New Roman" w:hAnsi="Times New Roman"/>
          <w:sz w:val="24"/>
          <w:szCs w:val="24"/>
        </w:rPr>
        <w:t xml:space="preserve"> – certamente não era o único </w:t>
      </w:r>
      <w:r w:rsidR="00095250">
        <w:rPr>
          <w:rFonts w:ascii="Times New Roman" w:hAnsi="Times New Roman"/>
          <w:sz w:val="24"/>
          <w:szCs w:val="24"/>
        </w:rPr>
        <w:t>–</w:t>
      </w:r>
      <w:r>
        <w:rPr>
          <w:rFonts w:ascii="Times New Roman" w:hAnsi="Times New Roman"/>
          <w:sz w:val="24"/>
          <w:szCs w:val="24"/>
        </w:rPr>
        <w:t xml:space="preserve"> o CDES tornou-se um palco privilegiado de avaliações e propostas </w:t>
      </w:r>
      <w:r w:rsidRPr="002D33CF">
        <w:rPr>
          <w:rFonts w:ascii="Times New Roman" w:hAnsi="Times New Roman"/>
          <w:i/>
          <w:sz w:val="24"/>
          <w:szCs w:val="24"/>
        </w:rPr>
        <w:t>entre altas autoridades do governo e os conselheiros</w:t>
      </w:r>
      <w:r>
        <w:rPr>
          <w:rFonts w:ascii="Times New Roman" w:hAnsi="Times New Roman"/>
          <w:sz w:val="24"/>
          <w:szCs w:val="24"/>
        </w:rPr>
        <w:t xml:space="preserve"> sobre formas de apaziguamento dos efeitos cada vez mais crescentes da crise econômica internacional (que atravessou o segundo semestre de 2008 e aprofundou-se durante todo o ano de 2009), debatendo e aperfeiçoando os instrumentos de política anticíclica que estavam sendo implementados. A hipótese não atribui centralidade ou superdimensiona a pressão exercida pelos conselheiros – de fato ocorrida – como meio e instrumento unilateral de expedição de medidas anti-crise pelo governo, mas, ao contrário, procura entender como o CDES serviu e funcionou como </w:t>
      </w:r>
      <w:r w:rsidRPr="002D33CF">
        <w:rPr>
          <w:rFonts w:ascii="Times New Roman" w:hAnsi="Times New Roman"/>
          <w:i/>
          <w:sz w:val="24"/>
          <w:szCs w:val="24"/>
        </w:rPr>
        <w:t xml:space="preserve">arena de condensação </w:t>
      </w:r>
      <w:r>
        <w:rPr>
          <w:rFonts w:ascii="Times New Roman" w:hAnsi="Times New Roman"/>
          <w:i/>
          <w:sz w:val="24"/>
          <w:szCs w:val="24"/>
        </w:rPr>
        <w:t xml:space="preserve">relativamente </w:t>
      </w:r>
      <w:r w:rsidRPr="002D33CF">
        <w:rPr>
          <w:rFonts w:ascii="Times New Roman" w:hAnsi="Times New Roman"/>
          <w:i/>
          <w:sz w:val="24"/>
          <w:szCs w:val="24"/>
        </w:rPr>
        <w:t>imperfeita</w:t>
      </w:r>
      <w:r>
        <w:rPr>
          <w:rFonts w:ascii="Times New Roman" w:hAnsi="Times New Roman"/>
          <w:sz w:val="24"/>
          <w:szCs w:val="24"/>
        </w:rPr>
        <w:t xml:space="preserve"> de atendimento das expectativas das propostas de setores do capital, em conexão calibrada e sentido convergente, mas com certa </w:t>
      </w:r>
      <w:r w:rsidRPr="00496ECF">
        <w:rPr>
          <w:rFonts w:ascii="Times New Roman" w:hAnsi="Times New Roman"/>
          <w:i/>
          <w:sz w:val="24"/>
          <w:szCs w:val="24"/>
        </w:rPr>
        <w:t>autonomização relativa</w:t>
      </w:r>
      <w:r>
        <w:rPr>
          <w:rFonts w:ascii="Times New Roman" w:hAnsi="Times New Roman"/>
          <w:sz w:val="24"/>
          <w:szCs w:val="24"/>
        </w:rPr>
        <w:t>das respostas e programas apresentados e defendidos pelas altas autoridades ministeriais nas plenárias do Conselho.</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Os setores envolvidos com a pauta distributiva nem de longe se opunham às plataformas centrais que o grande empresariado solicitava e que o governo atendia: entendiam que as melhorias sociais exigiam crescimento econômico sob incentivos e investimentos do Estado ao setor privado, o que lhes permitiam cobrar “contrapartidas sociais” frente à extração de sobretrabalho do conjunto dos trabalhadores (formais, temporários, terceirizados, etc), consubstanciado através da incorporação de massas de trabalhadores à base da pirâmide social em empregos de extensas jornadas (“geração de empregos”), de módicos ganhos salariais (“política de elevação real do salário mínimo”) e elevação da intensidade do trabalho. </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Um exemplo da situação de extensa precarização e exploração da força de trabalho, ou melhor, da extração de mais valor nas condições de uma economia periférica</w:t>
      </w:r>
      <w:r w:rsidR="00FD74F7">
        <w:rPr>
          <w:rFonts w:ascii="Times New Roman" w:hAnsi="Times New Roman"/>
          <w:sz w:val="24"/>
          <w:szCs w:val="24"/>
        </w:rPr>
        <w:t xml:space="preserve"> e</w:t>
      </w:r>
      <w:r>
        <w:rPr>
          <w:rFonts w:ascii="Times New Roman" w:hAnsi="Times New Roman"/>
          <w:sz w:val="24"/>
          <w:szCs w:val="24"/>
        </w:rPr>
        <w:t xml:space="preserve"> dependente, foi apresentada na própria plenária do Conselho, quando o conselheiro Manoel José dos Santos (Presidente da CONTAG) descreveu as atuais condições de trabalho nas usinas de São Paulo:</w:t>
      </w:r>
    </w:p>
    <w:p w:rsidR="00837AC8" w:rsidRDefault="00837AC8" w:rsidP="00837AC8">
      <w:pPr>
        <w:autoSpaceDE w:val="0"/>
        <w:autoSpaceDN w:val="0"/>
        <w:adjustRightInd w:val="0"/>
        <w:spacing w:line="240" w:lineRule="auto"/>
        <w:ind w:left="2268"/>
        <w:jc w:val="both"/>
        <w:rPr>
          <w:rFonts w:ascii="Times New Roman" w:hAnsi="Times New Roman"/>
          <w:sz w:val="24"/>
          <w:szCs w:val="24"/>
        </w:rPr>
      </w:pPr>
      <w:r w:rsidRPr="00F908CB">
        <w:rPr>
          <w:rFonts w:ascii="Times New Roman" w:hAnsi="Times New Roman"/>
          <w:sz w:val="20"/>
          <w:szCs w:val="20"/>
        </w:rPr>
        <w:t>Hoje nós acompanhamos, por exemplo, São Paulo, que é um estado que avançou significativamente na produção de álcool. É lá que vai se dar a maior parte da implantação das usinas. Mas nós acompanhamos também um outro tipo de escravidão que eu não sei se ela é menos cruel do que no tempo em que os homens eram comprados, vendidos e ferrados. E quero dizer porquê. Nos anos 80, a média de toneladas por homem/dia era 6 toneladas, hoje a média por homem/dia é 10, 12 toneladas e pelo incentivo de que quanto mais você cortar você ganha, nós temos cortador indo para trinta toneladas, e isso diminui a capacidade de vida útil desse trabalhador para no máximo 15 anos</w:t>
      </w:r>
      <w:r>
        <w:rPr>
          <w:rFonts w:ascii="Times New Roman" w:hAnsi="Times New Roman"/>
          <w:sz w:val="20"/>
          <w:szCs w:val="20"/>
        </w:rPr>
        <w:t xml:space="preserve"> (Ata 22ª Reunião Plenária, 17/07/2007, p. 41)</w:t>
      </w:r>
      <w:r>
        <w:rPr>
          <w:rFonts w:ascii="Times New Roman" w:hAnsi="Times New Roman"/>
          <w:sz w:val="24"/>
          <w:szCs w:val="24"/>
        </w:rPr>
        <w:t>.</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O caráter extremamente defensivo e conciliador do líder sindical ficou evidente no encaminhamento por ele defendido: “(...) a única forma que nós temos para enfrentar esse problema e diminuir essas desigualdades </w:t>
      </w:r>
      <w:r w:rsidRPr="00913B9D">
        <w:rPr>
          <w:rFonts w:ascii="Times New Roman" w:hAnsi="Times New Roman"/>
          <w:b/>
          <w:sz w:val="24"/>
          <w:szCs w:val="24"/>
        </w:rPr>
        <w:t>é sem dúvida o diálogo</w:t>
      </w:r>
      <w:r>
        <w:rPr>
          <w:rFonts w:ascii="Times New Roman" w:hAnsi="Times New Roman"/>
          <w:sz w:val="24"/>
          <w:szCs w:val="24"/>
        </w:rPr>
        <w:t xml:space="preserve"> (...)” (idem: 42 – grifos meus). Não é demais lembrar que muitas usinas, durante os governos Lula da Silva, receberam bilhões de reais de financiamento do BNDES para modernização da frota, instalação de novas plantas industriais e outros investimentos e que vários conselheiros eram lideranças das entidades e empresários do setor, como foi exposto e analisado no capítulo 2. </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Como arena voltada para </w:t>
      </w:r>
      <w:r w:rsidRPr="0099310C">
        <w:rPr>
          <w:rFonts w:ascii="Times New Roman" w:hAnsi="Times New Roman"/>
          <w:i/>
          <w:sz w:val="24"/>
          <w:szCs w:val="24"/>
        </w:rPr>
        <w:t>administração de conflitos sociais</w:t>
      </w:r>
      <w:r>
        <w:rPr>
          <w:rFonts w:ascii="Times New Roman" w:hAnsi="Times New Roman"/>
          <w:i/>
          <w:sz w:val="24"/>
          <w:szCs w:val="24"/>
        </w:rPr>
        <w:t xml:space="preserve"> e plataforma de impulsionamento do capital</w:t>
      </w:r>
      <w:r>
        <w:rPr>
          <w:rFonts w:ascii="Times New Roman" w:hAnsi="Times New Roman"/>
          <w:sz w:val="24"/>
          <w:szCs w:val="24"/>
        </w:rPr>
        <w:t xml:space="preserve">, entendemos que o Conselho também operacionalizava um papel de destaque. Nele, ou através dele, </w:t>
      </w:r>
      <w:r w:rsidR="003626B3" w:rsidRPr="006D2F73">
        <w:rPr>
          <w:rFonts w:ascii="Times New Roman" w:hAnsi="Times New Roman"/>
          <w:sz w:val="24"/>
          <w:szCs w:val="24"/>
        </w:rPr>
        <w:t>sociabilizava</w:t>
      </w:r>
      <w:r w:rsidR="00617961">
        <w:rPr>
          <w:rFonts w:ascii="Times New Roman" w:hAnsi="Times New Roman"/>
          <w:sz w:val="24"/>
          <w:szCs w:val="24"/>
        </w:rPr>
        <w:t>m</w:t>
      </w:r>
      <w:r w:rsidR="003626B3" w:rsidRPr="006D2F73">
        <w:rPr>
          <w:rFonts w:ascii="Times New Roman" w:hAnsi="Times New Roman"/>
          <w:sz w:val="24"/>
          <w:szCs w:val="24"/>
        </w:rPr>
        <w:t>-se</w:t>
      </w:r>
      <w:r w:rsidR="006D2F73">
        <w:rPr>
          <w:rFonts w:ascii="Times New Roman" w:hAnsi="Times New Roman"/>
          <w:sz w:val="24"/>
          <w:szCs w:val="24"/>
        </w:rPr>
        <w:t xml:space="preserve"> internamente</w:t>
      </w:r>
      <w:r>
        <w:rPr>
          <w:rFonts w:ascii="Times New Roman" w:hAnsi="Times New Roman"/>
          <w:sz w:val="24"/>
          <w:szCs w:val="24"/>
        </w:rPr>
        <w:t xml:space="preserve"> medidas voltadas à convergência entre capital e trabalho, de flexibilização de direitos, e de mercantilização e financeirização de setores organizados </w:t>
      </w:r>
      <w:r w:rsidR="009C4BC4">
        <w:rPr>
          <w:rFonts w:ascii="Times New Roman" w:hAnsi="Times New Roman"/>
          <w:sz w:val="24"/>
          <w:szCs w:val="24"/>
        </w:rPr>
        <w:t xml:space="preserve">ou não </w:t>
      </w:r>
      <w:r>
        <w:rPr>
          <w:rFonts w:ascii="Times New Roman" w:hAnsi="Times New Roman"/>
          <w:sz w:val="24"/>
          <w:szCs w:val="24"/>
        </w:rPr>
        <w:t>da classe trabalhadora. Nes</w:t>
      </w:r>
      <w:r w:rsidR="0037305F">
        <w:rPr>
          <w:rFonts w:ascii="Times New Roman" w:hAnsi="Times New Roman"/>
          <w:sz w:val="24"/>
          <w:szCs w:val="24"/>
        </w:rPr>
        <w:t>s</w:t>
      </w:r>
      <w:r>
        <w:rPr>
          <w:rFonts w:ascii="Times New Roman" w:hAnsi="Times New Roman"/>
          <w:sz w:val="24"/>
          <w:szCs w:val="24"/>
        </w:rPr>
        <w:t xml:space="preserve">es casos, o CDES parecia funcionar como </w:t>
      </w:r>
      <w:r w:rsidRPr="006D2F73">
        <w:rPr>
          <w:rFonts w:ascii="Times New Roman" w:hAnsi="Times New Roman"/>
          <w:sz w:val="24"/>
          <w:szCs w:val="24"/>
        </w:rPr>
        <w:t xml:space="preserve">espaço de </w:t>
      </w:r>
      <w:r w:rsidR="003626B3" w:rsidRPr="006D2F73">
        <w:rPr>
          <w:rFonts w:ascii="Times New Roman" w:hAnsi="Times New Roman"/>
          <w:sz w:val="24"/>
          <w:szCs w:val="24"/>
        </w:rPr>
        <w:t>prepação</w:t>
      </w:r>
      <w:r w:rsidR="006D2F73">
        <w:rPr>
          <w:rFonts w:ascii="Times New Roman" w:hAnsi="Times New Roman"/>
          <w:sz w:val="24"/>
          <w:szCs w:val="24"/>
        </w:rPr>
        <w:t xml:space="preserve"> e</w:t>
      </w:r>
      <w:r w:rsidR="003626B3" w:rsidRPr="006D2F73">
        <w:rPr>
          <w:rFonts w:ascii="Times New Roman" w:hAnsi="Times New Roman"/>
          <w:sz w:val="24"/>
          <w:szCs w:val="24"/>
        </w:rPr>
        <w:t>propagação</w:t>
      </w:r>
      <w:r>
        <w:rPr>
          <w:rFonts w:ascii="Times New Roman" w:hAnsi="Times New Roman"/>
          <w:sz w:val="24"/>
          <w:szCs w:val="24"/>
        </w:rPr>
        <w:t xml:space="preserve"> de arranjos ou pré-projetos ainda em fase experimental, em formação e/ou germinação.</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 Noutras situações, contudo, a função do CDES foi muito mais orgânica (no sentido de espaço organizativo das ações das frações do capital em presença </w:t>
      </w:r>
      <w:r w:rsidR="007A48DD">
        <w:rPr>
          <w:rFonts w:ascii="Times New Roman" w:hAnsi="Times New Roman"/>
          <w:sz w:val="24"/>
          <w:szCs w:val="24"/>
        </w:rPr>
        <w:t xml:space="preserve">ante </w:t>
      </w:r>
      <w:r>
        <w:rPr>
          <w:rFonts w:ascii="Times New Roman" w:hAnsi="Times New Roman"/>
          <w:sz w:val="24"/>
          <w:szCs w:val="24"/>
        </w:rPr>
        <w:t>aos trabalhadores), como os esforços desprendidos para realocações e requalificações de força de trabalho às necessidades de setores do capital em evidência (indústria da construção civil e do setor sucroalcooleiro), tod</w:t>
      </w:r>
      <w:r w:rsidR="00EA1CE3">
        <w:rPr>
          <w:rFonts w:ascii="Times New Roman" w:hAnsi="Times New Roman"/>
          <w:sz w:val="24"/>
          <w:szCs w:val="24"/>
        </w:rPr>
        <w:t>o</w:t>
      </w:r>
      <w:r>
        <w:rPr>
          <w:rFonts w:ascii="Times New Roman" w:hAnsi="Times New Roman"/>
          <w:sz w:val="24"/>
          <w:szCs w:val="24"/>
        </w:rPr>
        <w:t>s de resultados precarizantes, os quais ali foram enunciad</w:t>
      </w:r>
      <w:r w:rsidR="00EA1CE3">
        <w:rPr>
          <w:rFonts w:ascii="Times New Roman" w:hAnsi="Times New Roman"/>
          <w:sz w:val="24"/>
          <w:szCs w:val="24"/>
        </w:rPr>
        <w:t>o</w:t>
      </w:r>
      <w:r>
        <w:rPr>
          <w:rFonts w:ascii="Times New Roman" w:hAnsi="Times New Roman"/>
          <w:sz w:val="24"/>
          <w:szCs w:val="24"/>
        </w:rPr>
        <w:t>s, formatad</w:t>
      </w:r>
      <w:r w:rsidR="00EA1CE3">
        <w:rPr>
          <w:rFonts w:ascii="Times New Roman" w:hAnsi="Times New Roman"/>
          <w:sz w:val="24"/>
          <w:szCs w:val="24"/>
        </w:rPr>
        <w:t>os, articulado</w:t>
      </w:r>
      <w:r>
        <w:rPr>
          <w:rFonts w:ascii="Times New Roman" w:hAnsi="Times New Roman"/>
          <w:sz w:val="24"/>
          <w:szCs w:val="24"/>
        </w:rPr>
        <w:t>s, orientad</w:t>
      </w:r>
      <w:r w:rsidR="00EA1CE3">
        <w:rPr>
          <w:rFonts w:ascii="Times New Roman" w:hAnsi="Times New Roman"/>
          <w:sz w:val="24"/>
          <w:szCs w:val="24"/>
        </w:rPr>
        <w:t>o</w:t>
      </w:r>
      <w:r>
        <w:rPr>
          <w:rFonts w:ascii="Times New Roman" w:hAnsi="Times New Roman"/>
          <w:sz w:val="24"/>
          <w:szCs w:val="24"/>
        </w:rPr>
        <w:t>s e promovid</w:t>
      </w:r>
      <w:r w:rsidR="00EA1CE3">
        <w:rPr>
          <w:rFonts w:ascii="Times New Roman" w:hAnsi="Times New Roman"/>
          <w:sz w:val="24"/>
          <w:szCs w:val="24"/>
        </w:rPr>
        <w:t>o</w:t>
      </w:r>
      <w:r>
        <w:rPr>
          <w:rFonts w:ascii="Times New Roman" w:hAnsi="Times New Roman"/>
          <w:sz w:val="24"/>
          <w:szCs w:val="24"/>
        </w:rPr>
        <w:t>s.</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É sobre es</w:t>
      </w:r>
      <w:r w:rsidR="00EA1CE3">
        <w:rPr>
          <w:rFonts w:ascii="Times New Roman" w:hAnsi="Times New Roman"/>
          <w:sz w:val="24"/>
          <w:szCs w:val="24"/>
        </w:rPr>
        <w:t>s</w:t>
      </w:r>
      <w:r>
        <w:rPr>
          <w:rFonts w:ascii="Times New Roman" w:hAnsi="Times New Roman"/>
          <w:sz w:val="24"/>
          <w:szCs w:val="24"/>
        </w:rPr>
        <w:t xml:space="preserve">a função organizativa dos setores dominantes promovida no CDES que urge trabalharmos com uma </w:t>
      </w:r>
      <w:r w:rsidRPr="00253E79">
        <w:rPr>
          <w:rFonts w:ascii="Times New Roman" w:hAnsi="Times New Roman"/>
          <w:i/>
          <w:sz w:val="24"/>
          <w:szCs w:val="24"/>
        </w:rPr>
        <w:t>segunda hipótese</w:t>
      </w:r>
      <w:r>
        <w:rPr>
          <w:rFonts w:ascii="Times New Roman" w:hAnsi="Times New Roman"/>
          <w:sz w:val="24"/>
          <w:szCs w:val="24"/>
        </w:rPr>
        <w:t>, simultaneamente imbricada e derivada da primeira e que se refere mais diretamente à luta de classes na sociedade brasileira nes</w:t>
      </w:r>
      <w:r w:rsidR="0037305F">
        <w:rPr>
          <w:rFonts w:ascii="Times New Roman" w:hAnsi="Times New Roman"/>
          <w:sz w:val="24"/>
          <w:szCs w:val="24"/>
        </w:rPr>
        <w:t>s</w:t>
      </w:r>
      <w:r>
        <w:rPr>
          <w:rFonts w:ascii="Times New Roman" w:hAnsi="Times New Roman"/>
          <w:sz w:val="24"/>
          <w:szCs w:val="24"/>
        </w:rPr>
        <w:t xml:space="preserve">e período: a de que o CDES exerceu a função de </w:t>
      </w:r>
      <w:r w:rsidRPr="00936B8A">
        <w:rPr>
          <w:rFonts w:ascii="Times New Roman" w:hAnsi="Times New Roman"/>
          <w:i/>
          <w:sz w:val="24"/>
          <w:szCs w:val="24"/>
        </w:rPr>
        <w:t xml:space="preserve">canal e/ou plataforma através da qual os setores dominantes do capital acima mencionados, </w:t>
      </w:r>
      <w:r w:rsidR="00266DA3">
        <w:rPr>
          <w:rFonts w:ascii="Times New Roman" w:hAnsi="Times New Roman"/>
          <w:i/>
          <w:sz w:val="24"/>
          <w:szCs w:val="24"/>
        </w:rPr>
        <w:t>afinando-se ativamente</w:t>
      </w:r>
      <w:r w:rsidRPr="00936B8A">
        <w:rPr>
          <w:rFonts w:ascii="Times New Roman" w:hAnsi="Times New Roman"/>
          <w:i/>
          <w:sz w:val="24"/>
          <w:szCs w:val="24"/>
        </w:rPr>
        <w:t xml:space="preserve"> com a burocracia sindical social-liberal, </w:t>
      </w:r>
      <w:r w:rsidRPr="00830F19">
        <w:rPr>
          <w:rFonts w:ascii="Times New Roman" w:hAnsi="Times New Roman"/>
          <w:i/>
          <w:sz w:val="24"/>
          <w:szCs w:val="24"/>
        </w:rPr>
        <w:t>puderam costura</w:t>
      </w:r>
      <w:r>
        <w:rPr>
          <w:rFonts w:ascii="Times New Roman" w:hAnsi="Times New Roman"/>
          <w:i/>
          <w:sz w:val="24"/>
          <w:szCs w:val="24"/>
        </w:rPr>
        <w:t xml:space="preserve">r, organizar </w:t>
      </w:r>
      <w:r w:rsidRPr="00830F19">
        <w:rPr>
          <w:rFonts w:ascii="Times New Roman" w:hAnsi="Times New Roman"/>
          <w:i/>
          <w:sz w:val="24"/>
          <w:szCs w:val="24"/>
        </w:rPr>
        <w:t xml:space="preserve">e </w:t>
      </w:r>
      <w:r>
        <w:rPr>
          <w:rFonts w:ascii="Times New Roman" w:hAnsi="Times New Roman"/>
          <w:i/>
          <w:sz w:val="24"/>
          <w:szCs w:val="24"/>
        </w:rPr>
        <w:t xml:space="preserve">impulsionar políticas de gestão (realocação e requalificação) da </w:t>
      </w:r>
      <w:r w:rsidRPr="00830F19">
        <w:rPr>
          <w:rFonts w:ascii="Times New Roman" w:hAnsi="Times New Roman"/>
          <w:i/>
          <w:sz w:val="24"/>
          <w:szCs w:val="24"/>
        </w:rPr>
        <w:t>força de trabalho</w:t>
      </w:r>
      <w:r>
        <w:rPr>
          <w:rFonts w:ascii="Times New Roman" w:hAnsi="Times New Roman"/>
          <w:sz w:val="24"/>
          <w:szCs w:val="24"/>
        </w:rPr>
        <w:t xml:space="preserve"> em que prevaleceu, num primeiro plano, a manutenção </w:t>
      </w:r>
      <w:r w:rsidRPr="00F14AF5">
        <w:rPr>
          <w:rFonts w:ascii="Times New Roman" w:hAnsi="Times New Roman"/>
          <w:sz w:val="24"/>
          <w:szCs w:val="24"/>
        </w:rPr>
        <w:t xml:space="preserve">e </w:t>
      </w:r>
      <w:r>
        <w:rPr>
          <w:rFonts w:ascii="Times New Roman" w:hAnsi="Times New Roman"/>
          <w:sz w:val="24"/>
          <w:szCs w:val="24"/>
        </w:rPr>
        <w:t>o re</w:t>
      </w:r>
      <w:r w:rsidRPr="00F14AF5">
        <w:rPr>
          <w:rFonts w:ascii="Times New Roman" w:hAnsi="Times New Roman"/>
          <w:sz w:val="24"/>
          <w:szCs w:val="24"/>
        </w:rPr>
        <w:t>condicionamento</w:t>
      </w:r>
      <w:r>
        <w:rPr>
          <w:rFonts w:ascii="Times New Roman" w:hAnsi="Times New Roman"/>
          <w:sz w:val="24"/>
          <w:szCs w:val="24"/>
        </w:rPr>
        <w:t xml:space="preserve">preventivo da condição subalterna, dependente e precarizada do trabalho </w:t>
      </w:r>
      <w:r w:rsidR="00F729D2">
        <w:rPr>
          <w:rFonts w:ascii="Times New Roman" w:hAnsi="Times New Roman"/>
          <w:sz w:val="24"/>
          <w:szCs w:val="24"/>
        </w:rPr>
        <w:t>diante d</w:t>
      </w:r>
      <w:r>
        <w:rPr>
          <w:rFonts w:ascii="Times New Roman" w:hAnsi="Times New Roman"/>
          <w:sz w:val="24"/>
          <w:szCs w:val="24"/>
        </w:rPr>
        <w:t xml:space="preserve">o capital e, no segundo plano, como dique de represamento e/ou contenção de movimentações questionadoras das classes trabalhadoras, </w:t>
      </w:r>
      <w:r w:rsidR="00266DA3">
        <w:rPr>
          <w:rFonts w:ascii="Times New Roman" w:hAnsi="Times New Roman"/>
          <w:sz w:val="24"/>
          <w:szCs w:val="24"/>
        </w:rPr>
        <w:t xml:space="preserve">dique </w:t>
      </w:r>
      <w:r>
        <w:rPr>
          <w:rFonts w:ascii="Times New Roman" w:hAnsi="Times New Roman"/>
          <w:sz w:val="24"/>
          <w:szCs w:val="24"/>
        </w:rPr>
        <w:t>nem sempre bem sucedid</w:t>
      </w:r>
      <w:r w:rsidR="002D290D">
        <w:rPr>
          <w:rFonts w:ascii="Times New Roman" w:hAnsi="Times New Roman"/>
          <w:sz w:val="24"/>
          <w:szCs w:val="24"/>
        </w:rPr>
        <w:t>o</w:t>
      </w:r>
      <w:r>
        <w:rPr>
          <w:rFonts w:ascii="Times New Roman" w:hAnsi="Times New Roman"/>
          <w:sz w:val="24"/>
          <w:szCs w:val="24"/>
        </w:rPr>
        <w:t>.</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Trata-se, portanto, de duas grandes linhas de atuação que os conselheiros (especialmente empresários e cúpula da burocracia sindical) organizados no CDES promoveram: a primeira, podemos denominá-la de “oportunista” e “inorgânica”, tendo em vista que alguns conselheiros utilizavam a tribuna do CDES para anunciar e defender pré-projetos de maior subalternização e mercantilização dos trabalhadores ao capital sem a adesão organizada e voluntária do corpo de conselheiros; a segunda foi, sem dúvida, “orgânica” ou “organizativa”, posto que o CDES, tanto como aparato estatal quanto como condensação das relações de forças presentes sob hegemonia empresarial, articulou e promoveu, dentro e fora de suas instâncias, o preparo da força de trabalho para o capital, por meio de “requalificações” e remanejamento da mão de obra, envolvendo a participação de parcela relevante de conselheiros para tal empreendimento.</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Em ambas as linhas de atuação, isto é,  </w:t>
      </w:r>
      <w:r>
        <w:rPr>
          <w:rFonts w:ascii="Times New Roman" w:hAnsi="Times New Roman"/>
          <w:i/>
          <w:sz w:val="24"/>
          <w:szCs w:val="24"/>
        </w:rPr>
        <w:t>no conjunto da obra</w:t>
      </w:r>
      <w:r>
        <w:rPr>
          <w:rFonts w:ascii="Times New Roman" w:hAnsi="Times New Roman"/>
          <w:sz w:val="24"/>
          <w:szCs w:val="24"/>
        </w:rPr>
        <w:t xml:space="preserve">, verifica-se que a função do CDES na luta de classes </w:t>
      </w:r>
      <w:r w:rsidR="00095250">
        <w:rPr>
          <w:rFonts w:ascii="Times New Roman" w:hAnsi="Times New Roman"/>
          <w:sz w:val="24"/>
          <w:szCs w:val="24"/>
        </w:rPr>
        <w:t>–</w:t>
      </w:r>
      <w:r>
        <w:rPr>
          <w:rFonts w:ascii="Times New Roman" w:hAnsi="Times New Roman"/>
          <w:sz w:val="24"/>
          <w:szCs w:val="24"/>
        </w:rPr>
        <w:t xml:space="preserve"> assumida pelos projetos </w:t>
      </w:r>
      <w:r w:rsidR="005B6960">
        <w:rPr>
          <w:rFonts w:ascii="Times New Roman" w:hAnsi="Times New Roman"/>
          <w:sz w:val="24"/>
          <w:szCs w:val="24"/>
        </w:rPr>
        <w:t xml:space="preserve">formulados e </w:t>
      </w:r>
      <w:r w:rsidR="009C4BC4">
        <w:rPr>
          <w:rFonts w:ascii="Times New Roman" w:hAnsi="Times New Roman"/>
          <w:sz w:val="24"/>
          <w:szCs w:val="24"/>
        </w:rPr>
        <w:t>convertidos em políticas,</w:t>
      </w:r>
      <w:r>
        <w:rPr>
          <w:rFonts w:ascii="Times New Roman" w:hAnsi="Times New Roman"/>
          <w:sz w:val="24"/>
          <w:szCs w:val="24"/>
        </w:rPr>
        <w:t xml:space="preserve">ou mesmo de </w:t>
      </w:r>
      <w:r w:rsidRPr="006D2F73">
        <w:rPr>
          <w:rFonts w:ascii="Times New Roman" w:hAnsi="Times New Roman"/>
          <w:sz w:val="24"/>
          <w:szCs w:val="24"/>
        </w:rPr>
        <w:t xml:space="preserve">tribuna divulgadora </w:t>
      </w:r>
      <w:r>
        <w:rPr>
          <w:rFonts w:ascii="Times New Roman" w:hAnsi="Times New Roman"/>
          <w:sz w:val="24"/>
          <w:szCs w:val="24"/>
        </w:rPr>
        <w:t xml:space="preserve">de financeirização e mercantilização dos trabalhadores </w:t>
      </w:r>
      <w:r w:rsidR="00095250">
        <w:rPr>
          <w:rFonts w:ascii="Times New Roman" w:hAnsi="Times New Roman"/>
          <w:sz w:val="24"/>
          <w:szCs w:val="24"/>
        </w:rPr>
        <w:t>–</w:t>
      </w:r>
      <w:r w:rsidR="00EA1CE3">
        <w:rPr>
          <w:rFonts w:ascii="Times New Roman" w:hAnsi="Times New Roman"/>
          <w:i/>
          <w:sz w:val="24"/>
          <w:szCs w:val="24"/>
        </w:rPr>
        <w:t xml:space="preserve">também </w:t>
      </w:r>
      <w:r>
        <w:rPr>
          <w:rFonts w:ascii="Times New Roman" w:hAnsi="Times New Roman"/>
          <w:sz w:val="24"/>
          <w:szCs w:val="24"/>
        </w:rPr>
        <w:t xml:space="preserve">foi, sem dúvida, </w:t>
      </w:r>
      <w:r w:rsidRPr="006B76BB">
        <w:rPr>
          <w:rFonts w:ascii="Times New Roman" w:hAnsi="Times New Roman"/>
          <w:i/>
          <w:sz w:val="24"/>
          <w:szCs w:val="24"/>
        </w:rPr>
        <w:t>a disponibilização de massas de trabalhadores para setores do capital</w:t>
      </w:r>
      <w:r>
        <w:rPr>
          <w:rFonts w:ascii="Times New Roman" w:hAnsi="Times New Roman"/>
          <w:i/>
          <w:sz w:val="24"/>
          <w:szCs w:val="24"/>
        </w:rPr>
        <w:t>, ou seja, ofomento e a promoção do exercício</w:t>
      </w:r>
      <w:r w:rsidRPr="0017551E">
        <w:rPr>
          <w:rFonts w:ascii="Times New Roman" w:hAnsi="Times New Roman"/>
          <w:i/>
          <w:sz w:val="24"/>
          <w:szCs w:val="24"/>
        </w:rPr>
        <w:t xml:space="preserve"> de aprofundamento da subsunção real do trabalho ao capital</w:t>
      </w:r>
      <w:r>
        <w:rPr>
          <w:rFonts w:ascii="Times New Roman" w:hAnsi="Times New Roman"/>
          <w:sz w:val="24"/>
          <w:szCs w:val="24"/>
        </w:rPr>
        <w:t xml:space="preserve"> em tempos recentes.  </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Todas estas ações, a nosso ver, em nada se distanciavam do papel de célula de gestão da crise econômica, o que, nesta atribuição, englobou também importante papel na ação política do empresariado na luta de classes, isto é, através de aberturas de fronteiras para o capital subtrair mais valor da força de trabalho, seja ela pertencente à parcela da classe trabalhadora historicamente mais organizada (sindicalizada) e combativa, inclusive protagonista do nascimento do movimento operário que no final dos anos 70 ficou reconhecido como “novo sindicalismo”, seja ela oriunda das camadas d</w:t>
      </w:r>
      <w:r w:rsidR="00DE47C6">
        <w:rPr>
          <w:rFonts w:ascii="Times New Roman" w:hAnsi="Times New Roman"/>
          <w:sz w:val="24"/>
          <w:szCs w:val="24"/>
        </w:rPr>
        <w:t>e trabalhadores mais precarizada</w:t>
      </w:r>
      <w:r>
        <w:rPr>
          <w:rFonts w:ascii="Times New Roman" w:hAnsi="Times New Roman"/>
          <w:sz w:val="24"/>
          <w:szCs w:val="24"/>
        </w:rPr>
        <w:t>s e explorad</w:t>
      </w:r>
      <w:r w:rsidR="00DE47C6">
        <w:rPr>
          <w:rFonts w:ascii="Times New Roman" w:hAnsi="Times New Roman"/>
          <w:sz w:val="24"/>
          <w:szCs w:val="24"/>
        </w:rPr>
        <w:t>a</w:t>
      </w:r>
      <w:r>
        <w:rPr>
          <w:rFonts w:ascii="Times New Roman" w:hAnsi="Times New Roman"/>
          <w:sz w:val="24"/>
          <w:szCs w:val="24"/>
        </w:rPr>
        <w:t>s pelo agronegócio e pela indústria da construção civil no país.</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De todo modo, o capítulo se organiza em torno destas duas grandes hipóteses: como o CDES funcionou como câmara de gestão da crise </w:t>
      </w:r>
      <w:r>
        <w:rPr>
          <w:rFonts w:ascii="Times New Roman" w:hAnsi="Times New Roman"/>
          <w:i/>
          <w:sz w:val="24"/>
          <w:szCs w:val="24"/>
        </w:rPr>
        <w:t xml:space="preserve">para o capital </w:t>
      </w:r>
      <w:r>
        <w:rPr>
          <w:rFonts w:ascii="Times New Roman" w:hAnsi="Times New Roman"/>
          <w:sz w:val="24"/>
          <w:szCs w:val="24"/>
        </w:rPr>
        <w:t>e, ao mesmo tempo, como trabalhou para que setores da classe trabalhadora fossem preparados e azeitados à maior subalternização e precarização nas suas condições de trabalho</w:t>
      </w:r>
      <w:r w:rsidR="002D290D">
        <w:rPr>
          <w:rFonts w:ascii="Times New Roman" w:hAnsi="Times New Roman"/>
          <w:sz w:val="24"/>
          <w:szCs w:val="24"/>
        </w:rPr>
        <w:t>. Ne</w:t>
      </w:r>
      <w:r>
        <w:rPr>
          <w:rFonts w:ascii="Times New Roman" w:hAnsi="Times New Roman"/>
          <w:sz w:val="24"/>
          <w:szCs w:val="24"/>
        </w:rPr>
        <w:t>s</w:t>
      </w:r>
      <w:r w:rsidR="0037305F">
        <w:rPr>
          <w:rFonts w:ascii="Times New Roman" w:hAnsi="Times New Roman"/>
          <w:sz w:val="24"/>
          <w:szCs w:val="24"/>
        </w:rPr>
        <w:t>s</w:t>
      </w:r>
      <w:r>
        <w:rPr>
          <w:rFonts w:ascii="Times New Roman" w:hAnsi="Times New Roman"/>
          <w:sz w:val="24"/>
          <w:szCs w:val="24"/>
        </w:rPr>
        <w:t xml:space="preserve">e sentido, as demandas e programas defendidos no CDES corroboraram seu papel de </w:t>
      </w:r>
      <w:r w:rsidRPr="00774606">
        <w:rPr>
          <w:rFonts w:ascii="Times New Roman" w:hAnsi="Times New Roman"/>
          <w:i/>
          <w:sz w:val="24"/>
          <w:szCs w:val="24"/>
        </w:rPr>
        <w:t>comitê gestor da crise</w:t>
      </w:r>
      <w:r>
        <w:rPr>
          <w:rFonts w:ascii="Times New Roman" w:hAnsi="Times New Roman"/>
          <w:sz w:val="24"/>
          <w:szCs w:val="24"/>
        </w:rPr>
        <w:t>, porém desde a perspectiva predominante do programa do capital sobre o rebaixamento das condições de trabalho.</w:t>
      </w:r>
    </w:p>
    <w:p w:rsidR="00837AC8" w:rsidRDefault="00837AC8" w:rsidP="00837AC8">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Por fim, é obrigatório deixar claro que o capítulo versa, prioritariamente, sobre as discussões das temáticas trazidas no âmbito do que classificamos acima como “fase 2 (no bojo da crise)”, considerado o período que não apenas trouxe maior riqueza de detalhes de debates acerca do tema no Conselho, mas quando se expôs a força da organizativa da ação política empresarial para o atendimento de seus interesses e de expansão da acumulação de seus capitais.</w:t>
      </w:r>
    </w:p>
    <w:p w:rsidR="000F038F" w:rsidRPr="00F12E39" w:rsidRDefault="000F038F" w:rsidP="000F038F">
      <w:pPr>
        <w:autoSpaceDE w:val="0"/>
        <w:autoSpaceDN w:val="0"/>
        <w:adjustRightInd w:val="0"/>
        <w:spacing w:line="360" w:lineRule="auto"/>
        <w:jc w:val="both"/>
        <w:rPr>
          <w:rFonts w:ascii="Times New Roman" w:hAnsi="Times New Roman"/>
          <w:b/>
          <w:color w:val="FF0000"/>
          <w:sz w:val="24"/>
          <w:szCs w:val="24"/>
        </w:rPr>
      </w:pPr>
      <w:r>
        <w:rPr>
          <w:rFonts w:ascii="Times New Roman" w:hAnsi="Times New Roman"/>
          <w:b/>
          <w:sz w:val="24"/>
          <w:szCs w:val="24"/>
        </w:rPr>
        <w:t>4.2–O</w:t>
      </w:r>
      <w:r w:rsidRPr="00123B60">
        <w:rPr>
          <w:rFonts w:ascii="Times New Roman" w:hAnsi="Times New Roman"/>
          <w:b/>
          <w:sz w:val="24"/>
          <w:szCs w:val="24"/>
        </w:rPr>
        <w:t xml:space="preserve"> CDES </w:t>
      </w:r>
      <w:r>
        <w:rPr>
          <w:rFonts w:ascii="Times New Roman" w:hAnsi="Times New Roman"/>
          <w:b/>
          <w:sz w:val="24"/>
          <w:szCs w:val="24"/>
        </w:rPr>
        <w:t>como célula de gestão da crise para o capital pela via da gestão econômica</w:t>
      </w:r>
    </w:p>
    <w:p w:rsidR="000F038F" w:rsidRDefault="000F038F" w:rsidP="000F038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É inequívoco considerar que o CDES dedicou boa parte de suas atividades, debates e produção documental ao tema da crise econômica internacional durante os anos 2008 e 2009. No decorrer desses anos, o Conselho, através do Grupo de Acompanhamento de Conjuntura Econômica (GACE) – Monitoramento da Crise Econômica Internacional,</w:t>
      </w:r>
      <w:r>
        <w:rPr>
          <w:rStyle w:val="Refdenotaderodap"/>
          <w:rFonts w:ascii="Times New Roman" w:hAnsi="Times New Roman"/>
          <w:sz w:val="24"/>
          <w:szCs w:val="24"/>
        </w:rPr>
        <w:footnoteReference w:id="522"/>
      </w:r>
      <w:r>
        <w:rPr>
          <w:rFonts w:ascii="Times New Roman" w:hAnsi="Times New Roman"/>
          <w:sz w:val="24"/>
          <w:szCs w:val="24"/>
        </w:rPr>
        <w:t xml:space="preserve"> e como apoio da SEDES, criou </w:t>
      </w:r>
      <w:r w:rsidRPr="001C2E95">
        <w:rPr>
          <w:rFonts w:ascii="Times New Roman" w:hAnsi="Times New Roman"/>
          <w:i/>
          <w:sz w:val="24"/>
          <w:szCs w:val="24"/>
        </w:rPr>
        <w:t>espaços de monitoramento e avaliação da crise econômica e promoveu eventos nacionais e internacionais</w:t>
      </w:r>
      <w:r>
        <w:rPr>
          <w:rFonts w:ascii="Times New Roman" w:hAnsi="Times New Roman"/>
          <w:sz w:val="24"/>
          <w:szCs w:val="24"/>
        </w:rPr>
        <w:t xml:space="preserve">, os quais participaram analistas econômicos estrangeiros, brasileiros e os próprios conselheiros, criando condições para que o tema fosse debatido mais aprofundadamente. Além disso,  o CDES (conselheiros e governo) </w:t>
      </w:r>
      <w:r w:rsidRPr="001C2E95">
        <w:rPr>
          <w:rFonts w:ascii="Times New Roman" w:hAnsi="Times New Roman"/>
          <w:i/>
          <w:sz w:val="24"/>
          <w:szCs w:val="24"/>
        </w:rPr>
        <w:t>abrigou nas reuniões plenárias a pauta da crise econômica internacional</w:t>
      </w:r>
      <w:r>
        <w:rPr>
          <w:rFonts w:ascii="Times New Roman" w:hAnsi="Times New Roman"/>
          <w:sz w:val="24"/>
          <w:szCs w:val="24"/>
        </w:rPr>
        <w:t xml:space="preserve"> com a presença constante de ministros, da cúpula do BNDES e da Petrobrás.</w:t>
      </w:r>
      <w:r>
        <w:rPr>
          <w:rStyle w:val="Refdenotaderodap"/>
          <w:rFonts w:ascii="Times New Roman" w:hAnsi="Times New Roman"/>
          <w:sz w:val="24"/>
          <w:szCs w:val="24"/>
        </w:rPr>
        <w:footnoteReference w:id="523"/>
      </w:r>
      <w:r>
        <w:rPr>
          <w:rFonts w:ascii="Times New Roman" w:hAnsi="Times New Roman"/>
          <w:sz w:val="24"/>
          <w:szCs w:val="24"/>
        </w:rPr>
        <w:t xml:space="preserve"> As autoridades governamentais e os conselheiros analisavam e discutiam os instrumentos interventivos acionados a fim de afastar e abrandar os efeitos nocivos que a crise trouxera na escalada crescente de lucros que vários setores econômicos vinham obtendo e esforçando-se na desobstrução na realização de mais-valor e sua apropriação pelo conjunto dos capitais instalados no país.</w:t>
      </w:r>
    </w:p>
    <w:p w:rsidR="000F038F" w:rsidRPr="00B35E9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Para abordar a temática da crise econômica no Conselho, iremos trabalhar com dois grupos de fontes distintos: os relatórios dos eventos e encontros que o GACE do CDES promoveu entre março de 2008 e dezembro de julho de 2009 e as atas das reuniões plenárias do mesmo período, estendendo-se até dezembro de 2009. Para melhor percepção e entendimento da dinâmica e interconexão dos debates que ocorriam no CDES sobre a crise econômica, a exposição deste item </w:t>
      </w:r>
      <w:r>
        <w:rPr>
          <w:rFonts w:ascii="Times New Roman" w:hAnsi="Times New Roman"/>
          <w:i/>
          <w:sz w:val="24"/>
          <w:szCs w:val="24"/>
        </w:rPr>
        <w:t xml:space="preserve">alterna ou reveza </w:t>
      </w:r>
      <w:r>
        <w:rPr>
          <w:rFonts w:ascii="Times New Roman" w:hAnsi="Times New Roman"/>
          <w:sz w:val="24"/>
          <w:szCs w:val="24"/>
        </w:rPr>
        <w:t>as demandas apresentadas pelos conselheiros na documentação deliberadas pelos eventos e encontros (relatórios, pareceres e moção) com os debates ocorridos nas reuniões plenárias, os quais permitem perceber a intervenção dos ministros de Estado diante das demandas dos conselheiros.</w:t>
      </w:r>
    </w:p>
    <w:p w:rsidR="000F038F" w:rsidRDefault="000F038F" w:rsidP="000F038F">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 Durante esse processo, do Conselho emanaram documentos cujas recomendações intentavam ingerir na administração da crise junto às autoridades, em especial ao Presidente da República e aos ministros de Estado, mas que também possibilitaram uma visão </w:t>
      </w:r>
      <w:r>
        <w:rPr>
          <w:rFonts w:ascii="Times New Roman" w:hAnsi="Times New Roman"/>
          <w:i/>
          <w:sz w:val="24"/>
          <w:szCs w:val="24"/>
        </w:rPr>
        <w:t xml:space="preserve">intra corporis </w:t>
      </w:r>
      <w:r>
        <w:rPr>
          <w:rFonts w:ascii="Times New Roman" w:hAnsi="Times New Roman"/>
          <w:sz w:val="24"/>
          <w:szCs w:val="24"/>
        </w:rPr>
        <w:t>mais bem elaborada sobre a nova realidade que se impunha: emitiu um parecer sobre a crise, uma moção com sugestões de ações a serem tomadas pelo Executivo, um documento sobre a rede de proteção social brasileira e outro sobre os impactos sociais da crise e os desafios postos por ela frente à continuidade do “crescimento com inclusão social”.</w:t>
      </w:r>
    </w:p>
    <w:p w:rsidR="00696A38" w:rsidRDefault="00696A38" w:rsidP="000F038F">
      <w:pPr>
        <w:autoSpaceDE w:val="0"/>
        <w:autoSpaceDN w:val="0"/>
        <w:adjustRightInd w:val="0"/>
        <w:jc w:val="center"/>
        <w:rPr>
          <w:rFonts w:ascii="Times New Roman" w:hAnsi="Times New Roman"/>
          <w:b/>
          <w:sz w:val="24"/>
          <w:szCs w:val="24"/>
        </w:rPr>
      </w:pPr>
    </w:p>
    <w:p w:rsidR="000F038F" w:rsidRPr="000C3A3E" w:rsidRDefault="000F038F" w:rsidP="000F038F">
      <w:pPr>
        <w:autoSpaceDE w:val="0"/>
        <w:autoSpaceDN w:val="0"/>
        <w:adjustRightInd w:val="0"/>
        <w:jc w:val="center"/>
        <w:rPr>
          <w:rFonts w:ascii="Times New Roman" w:hAnsi="Times New Roman"/>
          <w:b/>
          <w:sz w:val="24"/>
          <w:szCs w:val="24"/>
        </w:rPr>
      </w:pPr>
      <w:r>
        <w:rPr>
          <w:rFonts w:ascii="Times New Roman" w:hAnsi="Times New Roman"/>
          <w:b/>
          <w:sz w:val="24"/>
          <w:szCs w:val="24"/>
        </w:rPr>
        <w:t>Quadro 4.1–</w:t>
      </w:r>
      <w:r w:rsidRPr="000C3A3E">
        <w:rPr>
          <w:rFonts w:ascii="Times New Roman" w:eastAsia="Times New Roman" w:hAnsi="Times New Roman"/>
          <w:b/>
          <w:sz w:val="24"/>
          <w:szCs w:val="24"/>
        </w:rPr>
        <w:t xml:space="preserve">Eventos </w:t>
      </w:r>
      <w:r>
        <w:rPr>
          <w:rFonts w:ascii="Times New Roman" w:eastAsia="Times New Roman" w:hAnsi="Times New Roman"/>
          <w:b/>
          <w:sz w:val="24"/>
          <w:szCs w:val="24"/>
        </w:rPr>
        <w:t>de monitoramento e discussões acerca d</w:t>
      </w:r>
      <w:r w:rsidRPr="000C3A3E">
        <w:rPr>
          <w:rFonts w:ascii="Times New Roman" w:eastAsia="Times New Roman" w:hAnsi="Times New Roman"/>
          <w:b/>
          <w:sz w:val="24"/>
          <w:szCs w:val="24"/>
        </w:rPr>
        <w:t xml:space="preserve">a crise econômicapromovidos pelo </w:t>
      </w:r>
      <w:r>
        <w:rPr>
          <w:rFonts w:ascii="Times New Roman" w:eastAsia="Times New Roman" w:hAnsi="Times New Roman"/>
          <w:b/>
          <w:sz w:val="24"/>
          <w:szCs w:val="24"/>
        </w:rPr>
        <w:t>GACE/</w:t>
      </w:r>
      <w:r w:rsidRPr="000C3A3E">
        <w:rPr>
          <w:rFonts w:ascii="Times New Roman" w:eastAsia="Times New Roman" w:hAnsi="Times New Roman"/>
          <w:b/>
          <w:sz w:val="24"/>
          <w:szCs w:val="24"/>
        </w:rPr>
        <w:t>CDES ou em parceria</w:t>
      </w:r>
      <w:r>
        <w:rPr>
          <w:rFonts w:ascii="Times New Roman" w:eastAsia="Times New Roman" w:hAnsi="Times New Roman"/>
          <w:b/>
          <w:sz w:val="24"/>
          <w:szCs w:val="24"/>
        </w:rPr>
        <w:t xml:space="preserve"> (2008-2009)</w:t>
      </w:r>
      <w:r>
        <w:rPr>
          <w:rStyle w:val="Refdenotaderodap"/>
          <w:rFonts w:ascii="Times New Roman" w:eastAsia="Times New Roman" w:hAnsi="Times New Roman"/>
          <w:b/>
          <w:sz w:val="24"/>
          <w:szCs w:val="24"/>
        </w:rPr>
        <w:footnoteReference w:id="524"/>
      </w:r>
    </w:p>
    <w:tbl>
      <w:tblPr>
        <w:tblW w:w="4877"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7814"/>
        <w:gridCol w:w="1245"/>
      </w:tblGrid>
      <w:tr w:rsidR="000F038F" w:rsidRPr="008211FD" w:rsidTr="00EA1CE3">
        <w:tc>
          <w:tcPr>
            <w:tcW w:w="4313" w:type="pct"/>
            <w:tcBorders>
              <w:top w:val="single" w:sz="8" w:space="0" w:color="4F81BD"/>
              <w:left w:val="single" w:sz="8" w:space="0" w:color="4F81BD"/>
              <w:bottom w:val="single" w:sz="18" w:space="0" w:color="4F81BD"/>
              <w:right w:val="single" w:sz="8" w:space="0" w:color="4F81BD"/>
            </w:tcBorders>
            <w:noWrap/>
          </w:tcPr>
          <w:p w:rsidR="000F038F" w:rsidRPr="008211FD" w:rsidRDefault="000F038F" w:rsidP="00EA1CE3">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 xml:space="preserve">Eventos </w:t>
            </w:r>
          </w:p>
        </w:tc>
        <w:tc>
          <w:tcPr>
            <w:tcW w:w="687" w:type="pct"/>
            <w:tcBorders>
              <w:top w:val="single" w:sz="8" w:space="0" w:color="4F81BD"/>
              <w:left w:val="single" w:sz="8" w:space="0" w:color="4F81BD"/>
              <w:bottom w:val="single" w:sz="18" w:space="0" w:color="4F81BD"/>
              <w:right w:val="single" w:sz="8" w:space="0" w:color="4F81BD"/>
            </w:tcBorders>
          </w:tcPr>
          <w:p w:rsidR="000F038F" w:rsidRPr="008211FD" w:rsidRDefault="000F038F" w:rsidP="00EA1CE3">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Data</w:t>
            </w:r>
          </w:p>
        </w:tc>
      </w:tr>
      <w:tr w:rsidR="000F038F" w:rsidRPr="008211FD" w:rsidTr="00EA1CE3">
        <w:tc>
          <w:tcPr>
            <w:tcW w:w="4313"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8211FD" w:rsidRDefault="000F038F" w:rsidP="00EA1CE3">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1º Encontro (Colóquio) Perspectivas de Crescimento da Economia Brasileira e a Crise Internacional.</w:t>
            </w:r>
          </w:p>
        </w:tc>
        <w:tc>
          <w:tcPr>
            <w:tcW w:w="687"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20"/>
                <w:szCs w:val="20"/>
              </w:rPr>
            </w:pPr>
            <w:r w:rsidRPr="008211FD">
              <w:rPr>
                <w:rFonts w:ascii="Times New Roman" w:hAnsi="Times New Roman"/>
                <w:sz w:val="20"/>
                <w:szCs w:val="20"/>
              </w:rPr>
              <w:t>13/03/08</w:t>
            </w:r>
          </w:p>
        </w:tc>
      </w:tr>
      <w:tr w:rsidR="000F038F" w:rsidRPr="008211FD" w:rsidTr="00EA1CE3">
        <w:tc>
          <w:tcPr>
            <w:tcW w:w="4313" w:type="pct"/>
            <w:tcBorders>
              <w:top w:val="single" w:sz="8" w:space="0" w:color="4F81BD"/>
              <w:left w:val="single" w:sz="8" w:space="0" w:color="4F81BD"/>
              <w:bottom w:val="single" w:sz="8" w:space="0" w:color="4F81BD"/>
              <w:right w:val="single" w:sz="8" w:space="0" w:color="4F81BD"/>
            </w:tcBorders>
            <w:noWrap/>
          </w:tcPr>
          <w:p w:rsidR="000F038F" w:rsidRPr="008211FD" w:rsidRDefault="000F038F" w:rsidP="00EA1CE3">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2º Encontro Perspectivas de Crescimento da Economia Brasileira e a Crise Internacional</w:t>
            </w:r>
          </w:p>
        </w:tc>
        <w:tc>
          <w:tcPr>
            <w:tcW w:w="687"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20"/>
                <w:szCs w:val="20"/>
              </w:rPr>
            </w:pPr>
            <w:r w:rsidRPr="008211FD">
              <w:rPr>
                <w:rFonts w:ascii="Times New Roman" w:hAnsi="Times New Roman"/>
                <w:sz w:val="20"/>
                <w:szCs w:val="20"/>
              </w:rPr>
              <w:t>14/10/08</w:t>
            </w:r>
          </w:p>
        </w:tc>
      </w:tr>
      <w:tr w:rsidR="000F038F" w:rsidRPr="008211FD" w:rsidTr="00EA1CE3">
        <w:tc>
          <w:tcPr>
            <w:tcW w:w="4313"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8211FD" w:rsidRDefault="000F038F" w:rsidP="00EA1CE3">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3º Encontro de Monitoramento, Perspectivas e Efeitos da Crise Econômica Internacional</w:t>
            </w:r>
          </w:p>
        </w:tc>
        <w:tc>
          <w:tcPr>
            <w:tcW w:w="687"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20"/>
                <w:szCs w:val="20"/>
              </w:rPr>
            </w:pPr>
            <w:r w:rsidRPr="008211FD">
              <w:rPr>
                <w:rFonts w:ascii="Times New Roman" w:hAnsi="Times New Roman"/>
                <w:sz w:val="20"/>
                <w:szCs w:val="20"/>
              </w:rPr>
              <w:t>22/01/09</w:t>
            </w:r>
          </w:p>
        </w:tc>
      </w:tr>
      <w:tr w:rsidR="000F038F" w:rsidRPr="008211FD" w:rsidTr="00EA1CE3">
        <w:tc>
          <w:tcPr>
            <w:tcW w:w="4313" w:type="pct"/>
            <w:tcBorders>
              <w:top w:val="single" w:sz="8" w:space="0" w:color="4F81BD"/>
              <w:left w:val="single" w:sz="8" w:space="0" w:color="4F81BD"/>
              <w:bottom w:val="single" w:sz="8" w:space="0" w:color="4F81BD"/>
              <w:right w:val="single" w:sz="8" w:space="0" w:color="4F81BD"/>
            </w:tcBorders>
            <w:noWrap/>
          </w:tcPr>
          <w:p w:rsidR="000F038F" w:rsidRPr="008211FD" w:rsidRDefault="000F038F" w:rsidP="00EA1CE3">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4º Encontro de Monitoramento da Crise</w:t>
            </w:r>
          </w:p>
        </w:tc>
        <w:tc>
          <w:tcPr>
            <w:tcW w:w="687"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hAnsi="Times New Roman"/>
                <w:sz w:val="20"/>
                <w:szCs w:val="20"/>
              </w:rPr>
            </w:pPr>
            <w:r w:rsidRPr="008211FD">
              <w:rPr>
                <w:rFonts w:ascii="Times New Roman" w:hAnsi="Times New Roman"/>
                <w:sz w:val="20"/>
                <w:szCs w:val="20"/>
              </w:rPr>
              <w:t>16/02/09</w:t>
            </w:r>
          </w:p>
        </w:tc>
      </w:tr>
      <w:tr w:rsidR="000F038F" w:rsidRPr="008211FD" w:rsidTr="00EA1CE3">
        <w:tc>
          <w:tcPr>
            <w:tcW w:w="4313"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8211FD" w:rsidRDefault="000F038F" w:rsidP="00EA1CE3">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Seminário Internacional sobre Desenvolvimento  (29º Reunião Ampliada)</w:t>
            </w:r>
          </w:p>
        </w:tc>
        <w:tc>
          <w:tcPr>
            <w:tcW w:w="687"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20"/>
                <w:szCs w:val="20"/>
              </w:rPr>
            </w:pPr>
            <w:r w:rsidRPr="008211FD">
              <w:rPr>
                <w:rFonts w:ascii="Times New Roman" w:eastAsia="Times New Roman" w:hAnsi="Times New Roman"/>
                <w:sz w:val="20"/>
                <w:szCs w:val="20"/>
              </w:rPr>
              <w:t>5-6/03/09</w:t>
            </w:r>
          </w:p>
        </w:tc>
      </w:tr>
      <w:tr w:rsidR="000F038F" w:rsidRPr="008211FD" w:rsidTr="00EA1CE3">
        <w:tc>
          <w:tcPr>
            <w:tcW w:w="4313" w:type="pct"/>
            <w:tcBorders>
              <w:top w:val="single" w:sz="8" w:space="0" w:color="4F81BD"/>
              <w:left w:val="single" w:sz="8" w:space="0" w:color="4F81BD"/>
              <w:bottom w:val="single" w:sz="8" w:space="0" w:color="4F81BD"/>
              <w:right w:val="single" w:sz="8" w:space="0" w:color="4F81BD"/>
            </w:tcBorders>
            <w:noWrap/>
          </w:tcPr>
          <w:p w:rsidR="000F038F" w:rsidRPr="008211FD" w:rsidRDefault="000F038F" w:rsidP="00EA1CE3">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Reunião com a Comissão de Acompanhamento da Crise Financeira e Empregabilidade do Senado</w:t>
            </w:r>
          </w:p>
        </w:tc>
        <w:tc>
          <w:tcPr>
            <w:tcW w:w="687"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20"/>
                <w:szCs w:val="20"/>
              </w:rPr>
            </w:pPr>
            <w:r w:rsidRPr="008211FD">
              <w:rPr>
                <w:rFonts w:ascii="Times New Roman" w:eastAsia="Times New Roman" w:hAnsi="Times New Roman"/>
                <w:sz w:val="20"/>
                <w:szCs w:val="20"/>
              </w:rPr>
              <w:t>19/03/09</w:t>
            </w:r>
          </w:p>
        </w:tc>
      </w:tr>
      <w:tr w:rsidR="000F038F" w:rsidRPr="008211FD" w:rsidTr="00EA1CE3">
        <w:tc>
          <w:tcPr>
            <w:tcW w:w="4313"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8211FD" w:rsidRDefault="000F038F" w:rsidP="00EA1CE3">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 xml:space="preserve">1ª Mesa-Redonda da Sociedade Civil Brasil </w:t>
            </w:r>
            <w:r>
              <w:rPr>
                <w:rFonts w:ascii="Times New Roman" w:eastAsia="Times New Roman" w:hAnsi="Times New Roman"/>
                <w:b/>
                <w:bCs/>
                <w:sz w:val="20"/>
                <w:szCs w:val="20"/>
              </w:rPr>
              <w:t>–</w:t>
            </w:r>
            <w:r w:rsidRPr="008211FD">
              <w:rPr>
                <w:rFonts w:ascii="Times New Roman" w:eastAsia="Times New Roman" w:hAnsi="Times New Roman"/>
                <w:b/>
                <w:bCs/>
                <w:sz w:val="20"/>
                <w:szCs w:val="20"/>
              </w:rPr>
              <w:t xml:space="preserve"> União Europeia</w:t>
            </w:r>
          </w:p>
        </w:tc>
        <w:tc>
          <w:tcPr>
            <w:tcW w:w="687"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20"/>
                <w:szCs w:val="20"/>
              </w:rPr>
            </w:pPr>
            <w:r w:rsidRPr="008211FD">
              <w:rPr>
                <w:rFonts w:ascii="Times New Roman" w:eastAsia="Times New Roman" w:hAnsi="Times New Roman"/>
                <w:sz w:val="20"/>
                <w:szCs w:val="20"/>
              </w:rPr>
              <w:t>7-8/07/09</w:t>
            </w:r>
          </w:p>
        </w:tc>
      </w:tr>
      <w:tr w:rsidR="000F038F" w:rsidRPr="008211FD" w:rsidTr="00EA1CE3">
        <w:tc>
          <w:tcPr>
            <w:tcW w:w="4313" w:type="pct"/>
            <w:tcBorders>
              <w:top w:val="single" w:sz="8" w:space="0" w:color="4F81BD"/>
              <w:left w:val="single" w:sz="8" w:space="0" w:color="4F81BD"/>
              <w:bottom w:val="single" w:sz="8" w:space="0" w:color="4F81BD"/>
              <w:right w:val="single" w:sz="8" w:space="0" w:color="4F81BD"/>
            </w:tcBorders>
            <w:noWrap/>
          </w:tcPr>
          <w:p w:rsidR="000F038F" w:rsidRPr="008211FD" w:rsidRDefault="000F038F" w:rsidP="00EA1CE3">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1ª Mesa-Redonda Conjuntura Brasil – Rússia</w:t>
            </w:r>
          </w:p>
        </w:tc>
        <w:tc>
          <w:tcPr>
            <w:tcW w:w="687"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20"/>
                <w:szCs w:val="20"/>
              </w:rPr>
            </w:pPr>
            <w:r w:rsidRPr="008211FD">
              <w:rPr>
                <w:rFonts w:ascii="Times New Roman" w:eastAsia="Times New Roman" w:hAnsi="Times New Roman"/>
                <w:sz w:val="20"/>
                <w:szCs w:val="20"/>
              </w:rPr>
              <w:t>1-2/12/09</w:t>
            </w:r>
          </w:p>
        </w:tc>
      </w:tr>
    </w:tbl>
    <w:p w:rsidR="000F038F" w:rsidRPr="00672A45" w:rsidRDefault="000F038F" w:rsidP="000F038F">
      <w:pPr>
        <w:autoSpaceDE w:val="0"/>
        <w:autoSpaceDN w:val="0"/>
        <w:adjustRightInd w:val="0"/>
        <w:spacing w:line="240" w:lineRule="auto"/>
        <w:jc w:val="both"/>
        <w:rPr>
          <w:rFonts w:ascii="Times New Roman" w:hAnsi="Times New Roman"/>
          <w:b/>
          <w:sz w:val="18"/>
          <w:szCs w:val="18"/>
        </w:rPr>
      </w:pPr>
      <w:r w:rsidRPr="00672A45">
        <w:rPr>
          <w:rFonts w:ascii="Times New Roman" w:hAnsi="Times New Roman"/>
          <w:b/>
          <w:sz w:val="18"/>
          <w:szCs w:val="18"/>
        </w:rPr>
        <w:t>Elaboração própria. Fonte</w:t>
      </w:r>
      <w:r w:rsidRPr="00672A45">
        <w:rPr>
          <w:rFonts w:ascii="Times New Roman" w:hAnsi="Times New Roman"/>
          <w:sz w:val="18"/>
          <w:szCs w:val="18"/>
        </w:rPr>
        <w:t>: SEDES. “Trajetória do Debate no CDES sobre a Crise Econômica Internacional”. 2ª Edição, Brasília, 2013.</w:t>
      </w:r>
    </w:p>
    <w:p w:rsidR="000F038F" w:rsidRPr="00FB3B92" w:rsidRDefault="000F038F" w:rsidP="00696A38">
      <w:pPr>
        <w:autoSpaceDE w:val="0"/>
        <w:autoSpaceDN w:val="0"/>
        <w:adjustRightInd w:val="0"/>
        <w:spacing w:before="240" w:after="0" w:line="360" w:lineRule="auto"/>
        <w:ind w:firstLine="708"/>
        <w:jc w:val="both"/>
        <w:rPr>
          <w:rFonts w:ascii="Times New Roman" w:hAnsi="Times New Roman"/>
          <w:sz w:val="24"/>
          <w:szCs w:val="24"/>
        </w:rPr>
      </w:pPr>
      <w:r w:rsidRPr="00FB3B92">
        <w:rPr>
          <w:rFonts w:ascii="Times New Roman" w:hAnsi="Times New Roman"/>
          <w:sz w:val="24"/>
          <w:szCs w:val="24"/>
        </w:rPr>
        <w:t xml:space="preserve">As atas das reuniões plenárias oferecem um melhor dinamismo </w:t>
      </w:r>
      <w:r>
        <w:rPr>
          <w:rFonts w:ascii="Times New Roman" w:hAnsi="Times New Roman"/>
          <w:sz w:val="24"/>
          <w:szCs w:val="24"/>
        </w:rPr>
        <w:t xml:space="preserve">na compreensão </w:t>
      </w:r>
      <w:r w:rsidRPr="00FB3B92">
        <w:rPr>
          <w:rFonts w:ascii="Times New Roman" w:hAnsi="Times New Roman"/>
          <w:sz w:val="24"/>
          <w:szCs w:val="24"/>
        </w:rPr>
        <w:t xml:space="preserve">de como os atores se movimentaram e se posicionaram </w:t>
      </w:r>
      <w:r w:rsidR="00F729D2">
        <w:rPr>
          <w:rFonts w:ascii="Times New Roman" w:hAnsi="Times New Roman"/>
          <w:sz w:val="24"/>
          <w:szCs w:val="24"/>
        </w:rPr>
        <w:t>em face a</w:t>
      </w:r>
      <w:r w:rsidRPr="00FB3B92">
        <w:rPr>
          <w:rFonts w:ascii="Times New Roman" w:hAnsi="Times New Roman"/>
          <w:sz w:val="24"/>
          <w:szCs w:val="24"/>
        </w:rPr>
        <w:t>o desafio de enfrentamento da crise, jogando luzes em pontos não tão bem “acordados”.</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Por conta disso, realizamos um rastreamento das participações dos conselheiros nos eventos promovidos pelo CDES e nas reuniões plenárias que se direcionaram ao debate direta ou proximamente relacionado ao tema da crise econômica. Do total de 12 encontros averiguados, 6 se tratavam de eventos (expostos no quadro 4.1 acima) e os outros 6 foram reuniões plenárias (25ª, 28ª, 29ª, 30ª, 31ª e 32ª) que circundavam o tema. Selecionamos os conselheiros que participaram em número igual ou superior a um terço (4 encontros), julgado como de adesão mínima ao debate. Do universo de 90 conselheiros que, em média, compunham as plenárias do CDES, apenas 12 deles se enquadravam na reincidência igual ou acima de um terço de participação no número de encontros. Destes, 8 eram conselheiros-empresários, ou seja, dois terços do total. Entre os demais 4 conselheiros, 3 eram sindicalistas e apenas um era uma liderança da Associação de Cegos. </w:t>
      </w:r>
    </w:p>
    <w:p w:rsidR="000F038F" w:rsidRPr="004D21D7" w:rsidRDefault="000F038F" w:rsidP="000F038F">
      <w:pPr>
        <w:autoSpaceDE w:val="0"/>
        <w:autoSpaceDN w:val="0"/>
        <w:adjustRightInd w:val="0"/>
        <w:spacing w:before="240"/>
        <w:ind w:firstLine="708"/>
        <w:jc w:val="center"/>
        <w:rPr>
          <w:rFonts w:ascii="Times New Roman" w:hAnsi="Times New Roman"/>
          <w:b/>
          <w:sz w:val="24"/>
          <w:szCs w:val="24"/>
        </w:rPr>
      </w:pPr>
      <w:r w:rsidRPr="004D21D7">
        <w:rPr>
          <w:rFonts w:ascii="Times New Roman" w:hAnsi="Times New Roman"/>
          <w:b/>
          <w:sz w:val="24"/>
          <w:szCs w:val="24"/>
        </w:rPr>
        <w:t>Quadro 4.2 – Conselheiros que mais se envolveram nos debates sobre a crise econômica no CDES</w:t>
      </w:r>
      <w:r>
        <w:rPr>
          <w:rStyle w:val="Refdenotaderodap"/>
          <w:rFonts w:ascii="Times New Roman" w:hAnsi="Times New Roman"/>
          <w:b/>
          <w:sz w:val="24"/>
          <w:szCs w:val="24"/>
        </w:rPr>
        <w:footnoteReference w:id="525"/>
      </w:r>
    </w:p>
    <w:tbl>
      <w:tblPr>
        <w:tblW w:w="3901" w:type="pct"/>
        <w:tblInd w:w="110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568"/>
        <w:gridCol w:w="1662"/>
        <w:gridCol w:w="1558"/>
        <w:gridCol w:w="1458"/>
      </w:tblGrid>
      <w:tr w:rsidR="000F038F" w:rsidRPr="008211FD" w:rsidTr="00EA1CE3">
        <w:tc>
          <w:tcPr>
            <w:tcW w:w="1772" w:type="pct"/>
            <w:tcBorders>
              <w:top w:val="single" w:sz="8" w:space="0" w:color="4F81BD"/>
              <w:left w:val="single" w:sz="8" w:space="0" w:color="4F81BD"/>
              <w:bottom w:val="single" w:sz="18" w:space="0" w:color="4F81BD"/>
              <w:right w:val="single" w:sz="8" w:space="0" w:color="4F81BD"/>
            </w:tcBorders>
            <w:noWrap/>
          </w:tcPr>
          <w:p w:rsidR="000F038F" w:rsidRPr="008211FD" w:rsidRDefault="000F038F" w:rsidP="00EA1CE3">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Conselheiros</w:t>
            </w:r>
          </w:p>
        </w:tc>
        <w:tc>
          <w:tcPr>
            <w:tcW w:w="1147" w:type="pct"/>
            <w:tcBorders>
              <w:top w:val="single" w:sz="8" w:space="0" w:color="4F81BD"/>
              <w:left w:val="single" w:sz="8" w:space="0" w:color="4F81BD"/>
              <w:bottom w:val="single" w:sz="18" w:space="0" w:color="4F81BD"/>
              <w:right w:val="single" w:sz="8" w:space="0" w:color="4F81BD"/>
            </w:tcBorders>
          </w:tcPr>
          <w:p w:rsidR="000F038F" w:rsidRPr="008211FD" w:rsidRDefault="000F038F" w:rsidP="00EA1CE3">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Segmento</w:t>
            </w:r>
          </w:p>
        </w:tc>
        <w:tc>
          <w:tcPr>
            <w:tcW w:w="1075" w:type="pct"/>
            <w:tcBorders>
              <w:top w:val="single" w:sz="8" w:space="0" w:color="4F81BD"/>
              <w:left w:val="single" w:sz="8" w:space="0" w:color="4F81BD"/>
              <w:bottom w:val="single" w:sz="18" w:space="0" w:color="4F81BD"/>
              <w:right w:val="single" w:sz="8" w:space="0" w:color="4F81BD"/>
            </w:tcBorders>
          </w:tcPr>
          <w:p w:rsidR="000F038F" w:rsidRPr="008211FD" w:rsidRDefault="000F038F" w:rsidP="00EA1CE3">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Entidades</w:t>
            </w:r>
          </w:p>
        </w:tc>
        <w:tc>
          <w:tcPr>
            <w:tcW w:w="1006" w:type="pct"/>
            <w:tcBorders>
              <w:top w:val="single" w:sz="8" w:space="0" w:color="4F81BD"/>
              <w:left w:val="single" w:sz="8" w:space="0" w:color="4F81BD"/>
              <w:bottom w:val="single" w:sz="18" w:space="0" w:color="4F81BD"/>
              <w:right w:val="single" w:sz="8" w:space="0" w:color="4F81BD"/>
            </w:tcBorders>
          </w:tcPr>
          <w:p w:rsidR="000F038F" w:rsidRPr="008211FD" w:rsidRDefault="000F038F" w:rsidP="00EA1CE3">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Total eventos</w:t>
            </w:r>
          </w:p>
        </w:tc>
      </w:tr>
      <w:tr w:rsidR="000F038F" w:rsidRPr="008211FD" w:rsidTr="00EA1CE3">
        <w:tc>
          <w:tcPr>
            <w:tcW w:w="1772"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8211FD" w:rsidRDefault="000F038F" w:rsidP="00EA1CE3">
            <w:pPr>
              <w:spacing w:after="0" w:line="240" w:lineRule="auto"/>
              <w:rPr>
                <w:rFonts w:ascii="Times New Roman" w:eastAsia="Times New Roman" w:hAnsi="Times New Roman"/>
                <w:b/>
                <w:bCs/>
                <w:sz w:val="18"/>
                <w:szCs w:val="18"/>
              </w:rPr>
            </w:pPr>
            <w:r w:rsidRPr="008211FD">
              <w:rPr>
                <w:rFonts w:ascii="Times New Roman" w:eastAsia="Times New Roman" w:hAnsi="Times New Roman"/>
                <w:b/>
                <w:bCs/>
                <w:sz w:val="18"/>
                <w:szCs w:val="18"/>
              </w:rPr>
              <w:t>Adilson Ventura</w:t>
            </w:r>
          </w:p>
        </w:tc>
        <w:tc>
          <w:tcPr>
            <w:tcW w:w="1147"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Demais Entidades Sociedade Civil</w:t>
            </w:r>
          </w:p>
        </w:tc>
        <w:tc>
          <w:tcPr>
            <w:tcW w:w="1075"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UBC</w:t>
            </w:r>
          </w:p>
        </w:tc>
        <w:tc>
          <w:tcPr>
            <w:tcW w:w="1006"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4</w:t>
            </w:r>
          </w:p>
        </w:tc>
      </w:tr>
      <w:tr w:rsidR="000F038F" w:rsidRPr="008211FD" w:rsidTr="00EA1CE3">
        <w:tc>
          <w:tcPr>
            <w:tcW w:w="1772" w:type="pct"/>
            <w:tcBorders>
              <w:top w:val="single" w:sz="8" w:space="0" w:color="4F81BD"/>
              <w:left w:val="single" w:sz="8" w:space="0" w:color="4F81BD"/>
              <w:bottom w:val="single" w:sz="8" w:space="0" w:color="4F81BD"/>
              <w:right w:val="single" w:sz="8" w:space="0" w:color="4F81BD"/>
            </w:tcBorders>
            <w:noWrap/>
          </w:tcPr>
          <w:p w:rsidR="000F038F" w:rsidRPr="008211FD" w:rsidRDefault="000F038F" w:rsidP="00EA1CE3">
            <w:pPr>
              <w:spacing w:after="0" w:line="240" w:lineRule="auto"/>
              <w:rPr>
                <w:rFonts w:ascii="Times New Roman" w:eastAsia="Times New Roman" w:hAnsi="Times New Roman"/>
                <w:b/>
                <w:bCs/>
                <w:sz w:val="18"/>
                <w:szCs w:val="18"/>
              </w:rPr>
            </w:pPr>
            <w:r w:rsidRPr="008211FD">
              <w:rPr>
                <w:rFonts w:ascii="Times New Roman" w:eastAsia="Times New Roman" w:hAnsi="Times New Roman"/>
                <w:b/>
                <w:bCs/>
                <w:sz w:val="18"/>
                <w:szCs w:val="18"/>
              </w:rPr>
              <w:t>Antoninho Trevisan</w:t>
            </w:r>
          </w:p>
        </w:tc>
        <w:tc>
          <w:tcPr>
            <w:tcW w:w="1147"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Capital</w:t>
            </w:r>
          </w:p>
        </w:tc>
        <w:tc>
          <w:tcPr>
            <w:tcW w:w="1075"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FIESP</w:t>
            </w:r>
            <w:r w:rsidRPr="008211FD">
              <w:rPr>
                <w:rFonts w:ascii="Times New Roman" w:eastAsia="Times New Roman" w:hAnsi="Times New Roman"/>
                <w:sz w:val="18"/>
                <w:szCs w:val="18"/>
              </w:rPr>
              <w:t>/MBC</w:t>
            </w:r>
          </w:p>
        </w:tc>
        <w:tc>
          <w:tcPr>
            <w:tcW w:w="1006"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9</w:t>
            </w:r>
          </w:p>
        </w:tc>
      </w:tr>
      <w:tr w:rsidR="000F038F" w:rsidRPr="008211FD" w:rsidTr="00EA1CE3">
        <w:tc>
          <w:tcPr>
            <w:tcW w:w="1772"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8211FD" w:rsidRDefault="000F038F" w:rsidP="00EA1CE3">
            <w:pPr>
              <w:spacing w:after="0" w:line="240" w:lineRule="auto"/>
              <w:rPr>
                <w:rFonts w:ascii="Times New Roman" w:eastAsia="Times New Roman" w:hAnsi="Times New Roman"/>
                <w:b/>
                <w:bCs/>
                <w:sz w:val="18"/>
                <w:szCs w:val="18"/>
              </w:rPr>
            </w:pPr>
            <w:r w:rsidRPr="008211FD">
              <w:rPr>
                <w:rFonts w:ascii="Times New Roman" w:eastAsia="Times New Roman" w:hAnsi="Times New Roman"/>
                <w:b/>
                <w:bCs/>
                <w:sz w:val="18"/>
                <w:szCs w:val="18"/>
              </w:rPr>
              <w:t>Artur Henrique</w:t>
            </w:r>
          </w:p>
        </w:tc>
        <w:tc>
          <w:tcPr>
            <w:tcW w:w="1147"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Trabalho</w:t>
            </w:r>
          </w:p>
        </w:tc>
        <w:tc>
          <w:tcPr>
            <w:tcW w:w="1075"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CUT</w:t>
            </w:r>
          </w:p>
        </w:tc>
        <w:tc>
          <w:tcPr>
            <w:tcW w:w="1006"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8</w:t>
            </w:r>
          </w:p>
        </w:tc>
      </w:tr>
      <w:tr w:rsidR="000F038F" w:rsidRPr="008211FD" w:rsidTr="00EA1CE3">
        <w:tc>
          <w:tcPr>
            <w:tcW w:w="1772" w:type="pct"/>
            <w:tcBorders>
              <w:top w:val="single" w:sz="8" w:space="0" w:color="4F81BD"/>
              <w:left w:val="single" w:sz="8" w:space="0" w:color="4F81BD"/>
              <w:bottom w:val="single" w:sz="8" w:space="0" w:color="4F81BD"/>
              <w:right w:val="single" w:sz="8" w:space="0" w:color="4F81BD"/>
            </w:tcBorders>
            <w:noWrap/>
          </w:tcPr>
          <w:p w:rsidR="000F038F" w:rsidRPr="008211FD" w:rsidRDefault="000F038F" w:rsidP="00EA1CE3">
            <w:pPr>
              <w:spacing w:after="0" w:line="240" w:lineRule="auto"/>
              <w:rPr>
                <w:rFonts w:ascii="Times New Roman" w:eastAsia="Times New Roman" w:hAnsi="Times New Roman"/>
                <w:b/>
                <w:bCs/>
                <w:sz w:val="18"/>
                <w:szCs w:val="18"/>
              </w:rPr>
            </w:pPr>
            <w:r w:rsidRPr="008211FD">
              <w:rPr>
                <w:rFonts w:ascii="Times New Roman" w:eastAsia="Times New Roman" w:hAnsi="Times New Roman"/>
                <w:b/>
                <w:bCs/>
                <w:sz w:val="18"/>
                <w:szCs w:val="18"/>
              </w:rPr>
              <w:t>Clemente Lúcio</w:t>
            </w:r>
          </w:p>
        </w:tc>
        <w:tc>
          <w:tcPr>
            <w:tcW w:w="1147"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hAnsi="Times New Roman"/>
                <w:sz w:val="18"/>
                <w:szCs w:val="18"/>
              </w:rPr>
            </w:pPr>
            <w:r w:rsidRPr="008211FD">
              <w:rPr>
                <w:rFonts w:ascii="Times New Roman" w:hAnsi="Times New Roman"/>
                <w:sz w:val="18"/>
                <w:szCs w:val="18"/>
              </w:rPr>
              <w:t>Trabalho</w:t>
            </w:r>
          </w:p>
        </w:tc>
        <w:tc>
          <w:tcPr>
            <w:tcW w:w="1075"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hAnsi="Times New Roman"/>
                <w:sz w:val="18"/>
                <w:szCs w:val="18"/>
              </w:rPr>
            </w:pPr>
            <w:r w:rsidRPr="008211FD">
              <w:rPr>
                <w:rFonts w:ascii="Times New Roman" w:hAnsi="Times New Roman"/>
                <w:sz w:val="18"/>
                <w:szCs w:val="18"/>
              </w:rPr>
              <w:t>Dieese</w:t>
            </w:r>
          </w:p>
        </w:tc>
        <w:tc>
          <w:tcPr>
            <w:tcW w:w="1006"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hAnsi="Times New Roman"/>
                <w:sz w:val="18"/>
                <w:szCs w:val="18"/>
              </w:rPr>
            </w:pPr>
            <w:r w:rsidRPr="008211FD">
              <w:rPr>
                <w:rFonts w:ascii="Times New Roman" w:hAnsi="Times New Roman"/>
                <w:sz w:val="18"/>
                <w:szCs w:val="18"/>
              </w:rPr>
              <w:t>6</w:t>
            </w:r>
          </w:p>
        </w:tc>
      </w:tr>
      <w:tr w:rsidR="000F038F" w:rsidRPr="008211FD" w:rsidTr="00EA1CE3">
        <w:tc>
          <w:tcPr>
            <w:tcW w:w="1772"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8211FD" w:rsidRDefault="000F038F" w:rsidP="00EA1CE3">
            <w:pPr>
              <w:spacing w:after="0" w:line="240" w:lineRule="auto"/>
              <w:rPr>
                <w:rFonts w:ascii="Times New Roman" w:eastAsia="Times New Roman" w:hAnsi="Times New Roman"/>
                <w:b/>
                <w:bCs/>
                <w:sz w:val="18"/>
                <w:szCs w:val="18"/>
              </w:rPr>
            </w:pPr>
            <w:r w:rsidRPr="008211FD">
              <w:rPr>
                <w:rFonts w:ascii="Times New Roman" w:eastAsia="Times New Roman" w:hAnsi="Times New Roman"/>
                <w:b/>
                <w:bCs/>
                <w:sz w:val="18"/>
                <w:szCs w:val="18"/>
              </w:rPr>
              <w:t>João Bosco Borba</w:t>
            </w:r>
          </w:p>
        </w:tc>
        <w:tc>
          <w:tcPr>
            <w:tcW w:w="1147"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Capital</w:t>
            </w:r>
          </w:p>
        </w:tc>
        <w:tc>
          <w:tcPr>
            <w:tcW w:w="1075"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Anceabra</w:t>
            </w:r>
          </w:p>
        </w:tc>
        <w:tc>
          <w:tcPr>
            <w:tcW w:w="1006"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5</w:t>
            </w:r>
          </w:p>
        </w:tc>
      </w:tr>
      <w:tr w:rsidR="000F038F" w:rsidRPr="008211FD" w:rsidTr="00EA1CE3">
        <w:tc>
          <w:tcPr>
            <w:tcW w:w="1772" w:type="pct"/>
            <w:tcBorders>
              <w:top w:val="single" w:sz="8" w:space="0" w:color="4F81BD"/>
              <w:left w:val="single" w:sz="8" w:space="0" w:color="4F81BD"/>
              <w:bottom w:val="single" w:sz="8" w:space="0" w:color="4F81BD"/>
              <w:right w:val="single" w:sz="8" w:space="0" w:color="4F81BD"/>
            </w:tcBorders>
            <w:noWrap/>
          </w:tcPr>
          <w:p w:rsidR="000F038F" w:rsidRPr="008211FD" w:rsidRDefault="000F038F" w:rsidP="00EA1CE3">
            <w:pPr>
              <w:spacing w:after="0" w:line="240" w:lineRule="auto"/>
              <w:rPr>
                <w:rFonts w:ascii="Times New Roman" w:eastAsia="Times New Roman" w:hAnsi="Times New Roman"/>
                <w:b/>
                <w:bCs/>
                <w:sz w:val="18"/>
                <w:szCs w:val="18"/>
              </w:rPr>
            </w:pPr>
            <w:r w:rsidRPr="008211FD">
              <w:rPr>
                <w:rFonts w:ascii="Times New Roman" w:eastAsia="Times New Roman" w:hAnsi="Times New Roman"/>
                <w:b/>
                <w:bCs/>
                <w:sz w:val="18"/>
                <w:szCs w:val="18"/>
              </w:rPr>
              <w:t>João Paulo dos R. Velloso</w:t>
            </w:r>
          </w:p>
        </w:tc>
        <w:tc>
          <w:tcPr>
            <w:tcW w:w="1147"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Capital</w:t>
            </w:r>
          </w:p>
        </w:tc>
        <w:tc>
          <w:tcPr>
            <w:tcW w:w="1075"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INAE/ Fórum Nacional</w:t>
            </w:r>
          </w:p>
        </w:tc>
        <w:tc>
          <w:tcPr>
            <w:tcW w:w="1006"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4</w:t>
            </w:r>
          </w:p>
        </w:tc>
      </w:tr>
      <w:tr w:rsidR="000F038F" w:rsidRPr="008211FD" w:rsidTr="00EA1CE3">
        <w:tc>
          <w:tcPr>
            <w:tcW w:w="1772"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8211FD" w:rsidRDefault="000F038F" w:rsidP="00EA1CE3">
            <w:pPr>
              <w:spacing w:after="0" w:line="240" w:lineRule="auto"/>
              <w:rPr>
                <w:rFonts w:ascii="Times New Roman" w:eastAsia="Times New Roman" w:hAnsi="Times New Roman"/>
                <w:b/>
                <w:bCs/>
                <w:sz w:val="18"/>
                <w:szCs w:val="18"/>
              </w:rPr>
            </w:pPr>
            <w:r w:rsidRPr="008211FD">
              <w:rPr>
                <w:rFonts w:ascii="Times New Roman" w:eastAsia="Times New Roman" w:hAnsi="Times New Roman"/>
                <w:b/>
                <w:bCs/>
                <w:sz w:val="18"/>
                <w:szCs w:val="18"/>
              </w:rPr>
              <w:t>José Lopez Feijóo</w:t>
            </w:r>
          </w:p>
        </w:tc>
        <w:tc>
          <w:tcPr>
            <w:tcW w:w="1147"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Trabalho</w:t>
            </w:r>
          </w:p>
        </w:tc>
        <w:tc>
          <w:tcPr>
            <w:tcW w:w="1075"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CUT</w:t>
            </w:r>
          </w:p>
        </w:tc>
        <w:tc>
          <w:tcPr>
            <w:tcW w:w="1006"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5</w:t>
            </w:r>
          </w:p>
        </w:tc>
      </w:tr>
      <w:tr w:rsidR="000F038F" w:rsidRPr="008211FD" w:rsidTr="00EA1CE3">
        <w:tc>
          <w:tcPr>
            <w:tcW w:w="1772" w:type="pct"/>
            <w:tcBorders>
              <w:top w:val="single" w:sz="8" w:space="0" w:color="4F81BD"/>
              <w:left w:val="single" w:sz="8" w:space="0" w:color="4F81BD"/>
              <w:bottom w:val="single" w:sz="8" w:space="0" w:color="4F81BD"/>
              <w:right w:val="single" w:sz="8" w:space="0" w:color="4F81BD"/>
            </w:tcBorders>
            <w:noWrap/>
          </w:tcPr>
          <w:p w:rsidR="000F038F" w:rsidRPr="008211FD" w:rsidRDefault="000F038F" w:rsidP="00EA1CE3">
            <w:pPr>
              <w:spacing w:after="0" w:line="240" w:lineRule="auto"/>
              <w:rPr>
                <w:rFonts w:ascii="Times New Roman" w:eastAsia="Times New Roman" w:hAnsi="Times New Roman"/>
                <w:b/>
                <w:bCs/>
                <w:sz w:val="18"/>
                <w:szCs w:val="18"/>
              </w:rPr>
            </w:pPr>
            <w:r w:rsidRPr="008211FD">
              <w:rPr>
                <w:rFonts w:ascii="Times New Roman" w:eastAsia="Times New Roman" w:hAnsi="Times New Roman"/>
                <w:b/>
                <w:bCs/>
                <w:sz w:val="18"/>
                <w:szCs w:val="18"/>
              </w:rPr>
              <w:t>Joseph Couri</w:t>
            </w:r>
          </w:p>
        </w:tc>
        <w:tc>
          <w:tcPr>
            <w:tcW w:w="1147"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Capital</w:t>
            </w:r>
          </w:p>
        </w:tc>
        <w:tc>
          <w:tcPr>
            <w:tcW w:w="1075"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Assimpi</w:t>
            </w:r>
          </w:p>
        </w:tc>
        <w:tc>
          <w:tcPr>
            <w:tcW w:w="1006"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5</w:t>
            </w:r>
          </w:p>
        </w:tc>
      </w:tr>
      <w:tr w:rsidR="000F038F" w:rsidRPr="008211FD" w:rsidTr="00EA1CE3">
        <w:tc>
          <w:tcPr>
            <w:tcW w:w="1772"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8211FD" w:rsidRDefault="000F038F" w:rsidP="00EA1CE3">
            <w:pPr>
              <w:spacing w:after="0" w:line="240" w:lineRule="auto"/>
              <w:rPr>
                <w:rFonts w:ascii="Times New Roman" w:eastAsia="Times New Roman" w:hAnsi="Times New Roman"/>
                <w:b/>
                <w:bCs/>
                <w:sz w:val="18"/>
                <w:szCs w:val="18"/>
              </w:rPr>
            </w:pPr>
            <w:r w:rsidRPr="008211FD">
              <w:rPr>
                <w:rFonts w:ascii="Times New Roman" w:eastAsia="Times New Roman" w:hAnsi="Times New Roman"/>
                <w:b/>
                <w:bCs/>
                <w:sz w:val="18"/>
                <w:szCs w:val="18"/>
              </w:rPr>
              <w:t>Murillo Aragão</w:t>
            </w:r>
          </w:p>
        </w:tc>
        <w:tc>
          <w:tcPr>
            <w:tcW w:w="1147"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Capital</w:t>
            </w:r>
          </w:p>
        </w:tc>
        <w:tc>
          <w:tcPr>
            <w:tcW w:w="1075"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Não encontrado</w:t>
            </w:r>
          </w:p>
        </w:tc>
        <w:tc>
          <w:tcPr>
            <w:tcW w:w="1006"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6</w:t>
            </w:r>
          </w:p>
        </w:tc>
      </w:tr>
      <w:tr w:rsidR="000F038F" w:rsidRPr="008211FD" w:rsidTr="00EA1CE3">
        <w:tc>
          <w:tcPr>
            <w:tcW w:w="1772" w:type="pct"/>
            <w:tcBorders>
              <w:top w:val="single" w:sz="8" w:space="0" w:color="4F81BD"/>
              <w:left w:val="single" w:sz="8" w:space="0" w:color="4F81BD"/>
              <w:bottom w:val="single" w:sz="8" w:space="0" w:color="4F81BD"/>
              <w:right w:val="single" w:sz="8" w:space="0" w:color="4F81BD"/>
            </w:tcBorders>
            <w:noWrap/>
          </w:tcPr>
          <w:p w:rsidR="000F038F" w:rsidRPr="008211FD" w:rsidRDefault="000F038F" w:rsidP="00EA1CE3">
            <w:pPr>
              <w:spacing w:after="0" w:line="240" w:lineRule="auto"/>
              <w:rPr>
                <w:rFonts w:ascii="Times New Roman" w:eastAsia="Times New Roman" w:hAnsi="Times New Roman"/>
                <w:b/>
                <w:bCs/>
                <w:sz w:val="18"/>
                <w:szCs w:val="18"/>
              </w:rPr>
            </w:pPr>
            <w:r w:rsidRPr="008211FD">
              <w:rPr>
                <w:rFonts w:ascii="Times New Roman" w:eastAsia="Times New Roman" w:hAnsi="Times New Roman"/>
                <w:b/>
                <w:bCs/>
                <w:sz w:val="18"/>
                <w:szCs w:val="18"/>
              </w:rPr>
              <w:t>Paulo Godoy</w:t>
            </w:r>
          </w:p>
        </w:tc>
        <w:tc>
          <w:tcPr>
            <w:tcW w:w="1147"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Capital</w:t>
            </w:r>
          </w:p>
        </w:tc>
        <w:tc>
          <w:tcPr>
            <w:tcW w:w="1075"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ABDIB</w:t>
            </w:r>
          </w:p>
        </w:tc>
        <w:tc>
          <w:tcPr>
            <w:tcW w:w="1006"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7</w:t>
            </w:r>
          </w:p>
        </w:tc>
      </w:tr>
      <w:tr w:rsidR="000F038F" w:rsidRPr="008211FD" w:rsidTr="00EA1CE3">
        <w:tc>
          <w:tcPr>
            <w:tcW w:w="1772"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8211FD" w:rsidRDefault="000F038F" w:rsidP="00EA1CE3">
            <w:pPr>
              <w:spacing w:after="0" w:line="240" w:lineRule="auto"/>
              <w:rPr>
                <w:rFonts w:ascii="Times New Roman" w:eastAsia="Times New Roman" w:hAnsi="Times New Roman"/>
                <w:b/>
                <w:bCs/>
                <w:sz w:val="18"/>
                <w:szCs w:val="18"/>
              </w:rPr>
            </w:pPr>
            <w:r w:rsidRPr="008211FD">
              <w:rPr>
                <w:rFonts w:ascii="Times New Roman" w:eastAsia="Times New Roman" w:hAnsi="Times New Roman"/>
                <w:b/>
                <w:bCs/>
                <w:sz w:val="18"/>
                <w:szCs w:val="18"/>
              </w:rPr>
              <w:t>Paulo Simão</w:t>
            </w:r>
          </w:p>
        </w:tc>
        <w:tc>
          <w:tcPr>
            <w:tcW w:w="1147"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Capital</w:t>
            </w:r>
          </w:p>
        </w:tc>
        <w:tc>
          <w:tcPr>
            <w:tcW w:w="1075"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CBIC</w:t>
            </w:r>
          </w:p>
        </w:tc>
        <w:tc>
          <w:tcPr>
            <w:tcW w:w="1006"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5</w:t>
            </w:r>
          </w:p>
        </w:tc>
      </w:tr>
      <w:tr w:rsidR="000F038F" w:rsidRPr="008211FD" w:rsidTr="00EA1CE3">
        <w:tc>
          <w:tcPr>
            <w:tcW w:w="1772" w:type="pct"/>
            <w:tcBorders>
              <w:top w:val="single" w:sz="8" w:space="0" w:color="4F81BD"/>
              <w:left w:val="single" w:sz="8" w:space="0" w:color="4F81BD"/>
              <w:bottom w:val="single" w:sz="8" w:space="0" w:color="4F81BD"/>
              <w:right w:val="single" w:sz="8" w:space="0" w:color="4F81BD"/>
            </w:tcBorders>
            <w:noWrap/>
          </w:tcPr>
          <w:p w:rsidR="000F038F" w:rsidRPr="008211FD" w:rsidRDefault="000F038F" w:rsidP="00EA1CE3">
            <w:pPr>
              <w:spacing w:after="0" w:line="240" w:lineRule="auto"/>
              <w:rPr>
                <w:rFonts w:ascii="Times New Roman" w:eastAsia="Times New Roman" w:hAnsi="Times New Roman"/>
                <w:b/>
                <w:bCs/>
                <w:sz w:val="18"/>
                <w:szCs w:val="18"/>
              </w:rPr>
            </w:pPr>
            <w:r w:rsidRPr="008211FD">
              <w:rPr>
                <w:rFonts w:ascii="Times New Roman" w:eastAsia="Times New Roman" w:hAnsi="Times New Roman"/>
                <w:b/>
                <w:bCs/>
                <w:sz w:val="18"/>
                <w:szCs w:val="18"/>
              </w:rPr>
              <w:t>Rodrigo Loures</w:t>
            </w:r>
          </w:p>
        </w:tc>
        <w:tc>
          <w:tcPr>
            <w:tcW w:w="1147"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Capital</w:t>
            </w:r>
          </w:p>
        </w:tc>
        <w:tc>
          <w:tcPr>
            <w:tcW w:w="1075"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FIEP</w:t>
            </w:r>
          </w:p>
        </w:tc>
        <w:tc>
          <w:tcPr>
            <w:tcW w:w="1006"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center"/>
              <w:rPr>
                <w:rFonts w:ascii="Times New Roman" w:eastAsia="Times New Roman" w:hAnsi="Times New Roman"/>
                <w:sz w:val="18"/>
                <w:szCs w:val="18"/>
              </w:rPr>
            </w:pPr>
            <w:r w:rsidRPr="008211FD">
              <w:rPr>
                <w:rFonts w:ascii="Times New Roman" w:eastAsia="Times New Roman" w:hAnsi="Times New Roman"/>
                <w:sz w:val="18"/>
                <w:szCs w:val="18"/>
              </w:rPr>
              <w:t>5</w:t>
            </w:r>
          </w:p>
        </w:tc>
      </w:tr>
    </w:tbl>
    <w:p w:rsidR="00672A45" w:rsidRDefault="000F038F" w:rsidP="000F038F">
      <w:pPr>
        <w:autoSpaceDE w:val="0"/>
        <w:autoSpaceDN w:val="0"/>
        <w:adjustRightInd w:val="0"/>
        <w:spacing w:after="0" w:line="240" w:lineRule="auto"/>
        <w:ind w:left="993" w:right="140"/>
        <w:jc w:val="both"/>
        <w:rPr>
          <w:rFonts w:ascii="Times New Roman" w:hAnsi="Times New Roman"/>
          <w:sz w:val="18"/>
          <w:szCs w:val="18"/>
        </w:rPr>
      </w:pPr>
      <w:r w:rsidRPr="00672A45">
        <w:rPr>
          <w:rFonts w:ascii="Times New Roman" w:hAnsi="Times New Roman"/>
          <w:b/>
          <w:sz w:val="18"/>
          <w:szCs w:val="18"/>
        </w:rPr>
        <w:t>Elaboração própria</w:t>
      </w:r>
      <w:r w:rsidRPr="00672A45">
        <w:rPr>
          <w:rFonts w:ascii="Times New Roman" w:hAnsi="Times New Roman"/>
          <w:sz w:val="18"/>
          <w:szCs w:val="18"/>
        </w:rPr>
        <w:t xml:space="preserve">. </w:t>
      </w:r>
      <w:r w:rsidRPr="00672A45">
        <w:rPr>
          <w:rFonts w:ascii="Times New Roman" w:hAnsi="Times New Roman"/>
          <w:b/>
          <w:sz w:val="18"/>
          <w:szCs w:val="18"/>
        </w:rPr>
        <w:t>Fontes</w:t>
      </w:r>
      <w:r w:rsidRPr="00672A45">
        <w:rPr>
          <w:rFonts w:ascii="Times New Roman" w:hAnsi="Times New Roman"/>
          <w:sz w:val="18"/>
          <w:szCs w:val="18"/>
        </w:rPr>
        <w:t xml:space="preserve">: Atas do CDES e do documento “Trajetória do Debateno CDES </w:t>
      </w:r>
    </w:p>
    <w:p w:rsidR="000F038F" w:rsidRPr="005D40CF" w:rsidRDefault="00672A45" w:rsidP="000F038F">
      <w:pPr>
        <w:autoSpaceDE w:val="0"/>
        <w:autoSpaceDN w:val="0"/>
        <w:adjustRightInd w:val="0"/>
        <w:spacing w:after="0" w:line="240" w:lineRule="auto"/>
        <w:ind w:left="993" w:right="140"/>
        <w:jc w:val="both"/>
        <w:rPr>
          <w:rFonts w:ascii="Times New Roman" w:hAnsi="Times New Roman"/>
          <w:sz w:val="20"/>
          <w:szCs w:val="20"/>
        </w:rPr>
      </w:pPr>
      <w:r w:rsidRPr="00672A45">
        <w:rPr>
          <w:rFonts w:ascii="Times New Roman" w:hAnsi="Times New Roman"/>
          <w:sz w:val="18"/>
          <w:szCs w:val="18"/>
        </w:rPr>
        <w:t>S</w:t>
      </w:r>
      <w:r w:rsidR="000F038F" w:rsidRPr="00672A45">
        <w:rPr>
          <w:rFonts w:ascii="Times New Roman" w:hAnsi="Times New Roman"/>
          <w:sz w:val="18"/>
          <w:szCs w:val="18"/>
        </w:rPr>
        <w:t xml:space="preserve">obrea Crise Econômica Internacional”. CDES, SAE, 2ª </w:t>
      </w:r>
      <w:r w:rsidR="00DE47C6" w:rsidRPr="00672A45">
        <w:rPr>
          <w:rFonts w:ascii="Times New Roman" w:hAnsi="Times New Roman"/>
          <w:sz w:val="18"/>
          <w:szCs w:val="18"/>
        </w:rPr>
        <w:t>Ed.</w:t>
      </w:r>
      <w:r w:rsidR="000F038F" w:rsidRPr="00672A45">
        <w:rPr>
          <w:rFonts w:ascii="Times New Roman" w:hAnsi="Times New Roman"/>
          <w:sz w:val="18"/>
          <w:szCs w:val="18"/>
        </w:rPr>
        <w:t xml:space="preserve"> Brasília: 2013</w:t>
      </w:r>
      <w:r w:rsidR="000F038F" w:rsidRPr="005D40CF">
        <w:rPr>
          <w:rFonts w:ascii="Times New Roman" w:hAnsi="Times New Roman"/>
          <w:sz w:val="20"/>
          <w:szCs w:val="20"/>
        </w:rPr>
        <w:t>.</w:t>
      </w:r>
    </w:p>
    <w:p w:rsidR="000F038F" w:rsidRPr="005D40CF" w:rsidRDefault="00672A45" w:rsidP="00672A45">
      <w:pPr>
        <w:tabs>
          <w:tab w:val="left" w:pos="7329"/>
        </w:tabs>
        <w:autoSpaceDE w:val="0"/>
        <w:autoSpaceDN w:val="0"/>
        <w:adjustRightInd w:val="0"/>
        <w:spacing w:after="0" w:line="360" w:lineRule="auto"/>
        <w:jc w:val="both"/>
        <w:rPr>
          <w:rFonts w:ascii="Times New Roman" w:hAnsi="Times New Roman"/>
          <w:b/>
          <w:sz w:val="20"/>
          <w:szCs w:val="20"/>
        </w:rPr>
      </w:pPr>
      <w:r>
        <w:rPr>
          <w:rFonts w:ascii="Times New Roman" w:hAnsi="Times New Roman"/>
          <w:b/>
          <w:sz w:val="20"/>
          <w:szCs w:val="20"/>
        </w:rPr>
        <w:tab/>
      </w:r>
    </w:p>
    <w:p w:rsidR="000F038F" w:rsidRDefault="000F038F" w:rsidP="000F038F">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Não afirmamos que apenas estes 12 conselheiros influíram sobre os debates ocorridos no CDES sobre a crise econômica. Em geral, houve adesão significativa, mesmo que esporádica, de muitos conselheiros. A pesquisa informa, contudo, que houve um </w:t>
      </w:r>
      <w:r w:rsidRPr="00B828F9">
        <w:rPr>
          <w:rFonts w:ascii="Times New Roman" w:hAnsi="Times New Roman"/>
          <w:i/>
          <w:sz w:val="24"/>
          <w:szCs w:val="24"/>
        </w:rPr>
        <w:t>núcleo</w:t>
      </w:r>
      <w:r>
        <w:rPr>
          <w:rFonts w:ascii="Times New Roman" w:hAnsi="Times New Roman"/>
          <w:sz w:val="24"/>
          <w:szCs w:val="24"/>
        </w:rPr>
        <w:t>, de fato, de conselheiros ou mais interessados e/ou mais atuantes e articulados em torno deste debate e que, majoritariamente, este núcleo se vinculava ao setor empresarial. Não se deve, contudo, minorar, os destacados papéis, nestes e noutros debates, de organização e participação substantivaintra Conselho de dois membros ligados à destacadas entidades do mundo do trabalho: os conselheiros Clemente Ganz Lúcio (Dieese) e Artur Henrique (presidente da CUT). As pautas inseridas nas discussões sobre a crise econômica buscavam atender, prioritariamente, os interesses de frações do capital instaladas no Conselho, reforçando-se como mais uma das casamatas da burguesia brasileira na gestão e saídas da crise, concomitante a abertura de novas frentes de atuação do capital pela via das políticas públicas e das linhas de ação frente à classe trabalhadora.</w:t>
      </w:r>
    </w:p>
    <w:p w:rsidR="000F038F" w:rsidRPr="005460D0" w:rsidRDefault="000F038F" w:rsidP="00696A38">
      <w:pPr>
        <w:autoSpaceDE w:val="0"/>
        <w:autoSpaceDN w:val="0"/>
        <w:adjustRightInd w:val="0"/>
        <w:jc w:val="both"/>
        <w:rPr>
          <w:rFonts w:ascii="Times New Roman" w:hAnsi="Times New Roman"/>
          <w:b/>
          <w:sz w:val="24"/>
          <w:szCs w:val="24"/>
        </w:rPr>
      </w:pPr>
      <w:r>
        <w:rPr>
          <w:rFonts w:ascii="Times New Roman" w:hAnsi="Times New Roman"/>
          <w:sz w:val="24"/>
          <w:szCs w:val="24"/>
        </w:rPr>
        <w:tab/>
      </w:r>
      <w:r w:rsidRPr="005460D0">
        <w:rPr>
          <w:rFonts w:ascii="Times New Roman" w:hAnsi="Times New Roman"/>
          <w:b/>
          <w:sz w:val="24"/>
          <w:szCs w:val="24"/>
        </w:rPr>
        <w:t xml:space="preserve">4.2.1 – </w:t>
      </w:r>
      <w:r>
        <w:rPr>
          <w:rFonts w:ascii="Times New Roman" w:hAnsi="Times New Roman"/>
          <w:b/>
          <w:sz w:val="24"/>
          <w:szCs w:val="24"/>
        </w:rPr>
        <w:t>A crise e o grande capital no CDES: expectativas, demandas e consagrações</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 primeira intervenção promovida pelo CDES com o intuito de compreender a crise econômica internacional e seus desdobramentos sobre a economia brasileira foi a realização, em 13 de março de 2008, do “</w:t>
      </w:r>
      <w:r w:rsidRPr="001C2E95">
        <w:rPr>
          <w:rFonts w:ascii="Times New Roman" w:hAnsi="Times New Roman"/>
          <w:i/>
          <w:sz w:val="24"/>
          <w:szCs w:val="24"/>
        </w:rPr>
        <w:t xml:space="preserve">1º Colóquio Perspectiva de Crescimento da Economia Brasileira e a Crise </w:t>
      </w:r>
      <w:r w:rsidRPr="00DE47C6">
        <w:rPr>
          <w:rFonts w:ascii="Times New Roman" w:hAnsi="Times New Roman"/>
          <w:i/>
          <w:sz w:val="24"/>
          <w:szCs w:val="24"/>
        </w:rPr>
        <w:t>Internacional</w:t>
      </w:r>
      <w:r w:rsidRPr="00DE47C6">
        <w:rPr>
          <w:rFonts w:ascii="Times New Roman" w:hAnsi="Times New Roman"/>
          <w:sz w:val="24"/>
          <w:szCs w:val="24"/>
        </w:rPr>
        <w:t>”,</w:t>
      </w:r>
      <w:r>
        <w:rPr>
          <w:rFonts w:ascii="Times New Roman" w:hAnsi="Times New Roman"/>
          <w:sz w:val="24"/>
          <w:szCs w:val="24"/>
        </w:rPr>
        <w:t xml:space="preserve"> cujos palestrantes foram Paulo Nogueira Batista Jr., então Diretor-Executivo do FMI e Nelson Barbosa Filho, à época Secretário de Política Econômica do Ministério da Fazenda e o conselheiro Antoninho Trevisan, na condição de comentarista. </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Nesse evento, os conselheiros emitiram um </w:t>
      </w:r>
      <w:r w:rsidRPr="001C2E95">
        <w:rPr>
          <w:rFonts w:ascii="Times New Roman" w:hAnsi="Times New Roman"/>
          <w:i/>
          <w:sz w:val="24"/>
          <w:szCs w:val="24"/>
        </w:rPr>
        <w:t>Parecer</w:t>
      </w:r>
      <w:r>
        <w:rPr>
          <w:rStyle w:val="Refdenotaderodap"/>
          <w:rFonts w:ascii="Times New Roman" w:hAnsi="Times New Roman"/>
          <w:sz w:val="24"/>
          <w:szCs w:val="24"/>
        </w:rPr>
        <w:footnoteReference w:id="526"/>
      </w:r>
      <w:r>
        <w:rPr>
          <w:rFonts w:ascii="Times New Roman" w:hAnsi="Times New Roman"/>
          <w:sz w:val="24"/>
          <w:szCs w:val="24"/>
        </w:rPr>
        <w:t xml:space="preserve"> que foi apresentado ao Presidente Lula da Silva na </w:t>
      </w:r>
      <w:r w:rsidRPr="00B55E48">
        <w:rPr>
          <w:rFonts w:ascii="Times New Roman" w:hAnsi="Times New Roman"/>
          <w:i/>
          <w:sz w:val="24"/>
          <w:szCs w:val="24"/>
        </w:rPr>
        <w:t>25ª reunião plenária</w:t>
      </w:r>
      <w:r>
        <w:rPr>
          <w:rFonts w:ascii="Times New Roman" w:hAnsi="Times New Roman"/>
          <w:sz w:val="24"/>
          <w:szCs w:val="24"/>
        </w:rPr>
        <w:t xml:space="preserve">, em 1º de abril de 2008. Nele, os conselheiros avaliaram que a crise do </w:t>
      </w:r>
      <w:r>
        <w:rPr>
          <w:rFonts w:ascii="Times New Roman" w:hAnsi="Times New Roman"/>
          <w:i/>
          <w:sz w:val="24"/>
          <w:szCs w:val="24"/>
        </w:rPr>
        <w:t xml:space="preserve">subprime </w:t>
      </w:r>
      <w:r>
        <w:rPr>
          <w:rFonts w:ascii="Times New Roman" w:hAnsi="Times New Roman"/>
          <w:sz w:val="24"/>
          <w:szCs w:val="24"/>
        </w:rPr>
        <w:t>era grave, que já havia se espalhado para outros mercados financeiros e identificavam a desregulamentação desses mercados como um problema a ser equacionado. Para o plano interno, diagnosticaram que o Brasil encontrava-se numa conjuntura confortável (reservas internacionais elevadas, entrada de volumosos investimentos externos, consecutivos superávits na balança de pagamentos, condição de credor líquido externo e taxa de inflação próximo ao centro da meta (4,5%).</w:t>
      </w:r>
      <w:r>
        <w:rPr>
          <w:rStyle w:val="Refdenotaderodap"/>
          <w:rFonts w:ascii="Times New Roman" w:hAnsi="Times New Roman"/>
          <w:sz w:val="24"/>
          <w:szCs w:val="24"/>
        </w:rPr>
        <w:footnoteReference w:id="527"/>
      </w:r>
      <w:r>
        <w:rPr>
          <w:rFonts w:ascii="Times New Roman" w:hAnsi="Times New Roman"/>
          <w:sz w:val="24"/>
          <w:szCs w:val="24"/>
        </w:rPr>
        <w:t xml:space="preserve"> Alertaram ainda que “o medo exagerado da inflação pode nos levar a cometer o mesmo erro cometido em 2004”, em alusão à elevação da taxa de juros pelo Banco Central naquela ocasião, o que havia abortado “uma recuperação incipiente da economia”.</w:t>
      </w:r>
      <w:r>
        <w:rPr>
          <w:rStyle w:val="Refdenotaderodap"/>
          <w:rFonts w:ascii="Times New Roman" w:hAnsi="Times New Roman"/>
          <w:sz w:val="24"/>
          <w:szCs w:val="24"/>
        </w:rPr>
        <w:footnoteReference w:id="528"/>
      </w:r>
      <w:r>
        <w:rPr>
          <w:rFonts w:ascii="Times New Roman" w:hAnsi="Times New Roman"/>
          <w:sz w:val="24"/>
          <w:szCs w:val="24"/>
        </w:rPr>
        <w:t xml:space="preserve"> Por fim, o Parecer recomendava, em síntese: a) incentivos às exportações, ampliação de crédito, desonerações de impostos sobre o setor produtivo; b) buscar formas de regulação dos mercados financeiros; c) impedir que a deterioração da balança comercial recolocasse a economia na trajetória da vulnerabilidade externa; d) intensificar as relações econômicas com o Mercosul e a América do Sul, incluindo “os outros BRICs”.</w:t>
      </w:r>
      <w:r>
        <w:rPr>
          <w:rStyle w:val="Refdenotaderodap"/>
          <w:rFonts w:ascii="Times New Roman" w:hAnsi="Times New Roman"/>
          <w:sz w:val="24"/>
          <w:szCs w:val="24"/>
        </w:rPr>
        <w:footnoteReference w:id="529"/>
      </w:r>
    </w:p>
    <w:p w:rsidR="000F038F" w:rsidRDefault="000F038F" w:rsidP="000F038F">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b/>
        <w:t>Como parênteses, talvez com a exceção do item “b”, as exposições das medidas tomadas pelos ministros e autoridades responsáveis pela política econômica do governo vão ao encontro das recomendações presentes no relatório. Ao que consta nas atas, a preocupação das autoridades quanto ao item “b” não se devia apenas às operações bancário-financeiras, mas ao que o ministro Mantega batizou</w:t>
      </w:r>
      <w:r w:rsidRPr="00842938">
        <w:rPr>
          <w:rFonts w:ascii="Times New Roman" w:hAnsi="Times New Roman"/>
          <w:b/>
          <w:sz w:val="24"/>
          <w:szCs w:val="24"/>
        </w:rPr>
        <w:t xml:space="preserve">, </w:t>
      </w:r>
      <w:r w:rsidRPr="001C2E95">
        <w:rPr>
          <w:rFonts w:ascii="Times New Roman" w:hAnsi="Times New Roman"/>
          <w:sz w:val="24"/>
          <w:szCs w:val="24"/>
        </w:rPr>
        <w:t>na 28ª reunião plenária</w:t>
      </w:r>
      <w:r>
        <w:rPr>
          <w:rFonts w:ascii="Times New Roman" w:hAnsi="Times New Roman"/>
          <w:sz w:val="24"/>
          <w:szCs w:val="24"/>
        </w:rPr>
        <w:t>, de “paradoxo dos exportadores”: setores exportadores que, devido à valorização cambial, preferiam compensar a queda dos preços de seus produtos no mercado internacional por meio de “tomadas de posições de venda de dólares no mercado futuro”, ou seja, aplicações no mercado de derivativos.</w:t>
      </w:r>
      <w:r>
        <w:rPr>
          <w:rStyle w:val="Refdenotaderodap"/>
          <w:rFonts w:ascii="Times New Roman" w:hAnsi="Times New Roman"/>
          <w:sz w:val="24"/>
          <w:szCs w:val="24"/>
        </w:rPr>
        <w:footnoteReference w:id="530"/>
      </w:r>
      <w:r>
        <w:rPr>
          <w:rFonts w:ascii="Times New Roman" w:hAnsi="Times New Roman"/>
          <w:sz w:val="24"/>
          <w:szCs w:val="24"/>
        </w:rPr>
        <w:t xml:space="preserve"> Segundo Mantega, não havia razões para maiores temores, tendo em vista que</w:t>
      </w:r>
    </w:p>
    <w:p w:rsidR="000F038F" w:rsidRPr="0071641A" w:rsidRDefault="000F038F" w:rsidP="000F038F">
      <w:pPr>
        <w:autoSpaceDE w:val="0"/>
        <w:autoSpaceDN w:val="0"/>
        <w:adjustRightInd w:val="0"/>
        <w:spacing w:line="240" w:lineRule="auto"/>
        <w:ind w:left="2268"/>
        <w:jc w:val="both"/>
        <w:rPr>
          <w:rFonts w:ascii="Times New Roman" w:hAnsi="Times New Roman"/>
          <w:sz w:val="24"/>
          <w:szCs w:val="24"/>
        </w:rPr>
      </w:pPr>
      <w:r w:rsidRPr="0071641A">
        <w:rPr>
          <w:rFonts w:ascii="Times New Roman" w:hAnsi="Times New Roman"/>
          <w:sz w:val="20"/>
          <w:szCs w:val="20"/>
        </w:rPr>
        <w:t>Alguns cometeram algumas ousadias, mas esse fenômeno já está sendo absorvido pela economia brasileira. Num primeiro momento parecia um problema grande. Depois se viu que era um problema limitado. As maiores operações foram reveladas, vieram a público e elas já estão sendo liquidadas, concluídas, portanto, deixando de exercer alguma pressão negativa na economia brasileira</w:t>
      </w:r>
      <w:r>
        <w:rPr>
          <w:rFonts w:ascii="Times New Roman" w:hAnsi="Times New Roman"/>
          <w:sz w:val="20"/>
          <w:szCs w:val="20"/>
        </w:rPr>
        <w:t xml:space="preserve"> (Ata da 28ª Reunião Plenária, 06/11/08, p. 04).</w:t>
      </w:r>
    </w:p>
    <w:p w:rsidR="000F038F" w:rsidRDefault="000F038F" w:rsidP="000F038F">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b/>
        <w:t xml:space="preserve"> Quando da apresentação do Parecer </w:t>
      </w:r>
      <w:r w:rsidRPr="001C2E95">
        <w:rPr>
          <w:rFonts w:ascii="Times New Roman" w:hAnsi="Times New Roman"/>
          <w:sz w:val="24"/>
          <w:szCs w:val="24"/>
        </w:rPr>
        <w:t xml:space="preserve">na </w:t>
      </w:r>
      <w:r w:rsidRPr="00B55E48">
        <w:rPr>
          <w:rFonts w:ascii="Times New Roman" w:hAnsi="Times New Roman"/>
          <w:i/>
          <w:sz w:val="24"/>
          <w:szCs w:val="24"/>
        </w:rPr>
        <w:t>25ª Reunião Plenária</w:t>
      </w:r>
      <w:r>
        <w:rPr>
          <w:rFonts w:ascii="Times New Roman" w:hAnsi="Times New Roman"/>
          <w:sz w:val="24"/>
          <w:szCs w:val="24"/>
        </w:rPr>
        <w:t>, o conselheiro Antoninho Trevisan (FIESP/MBC), falando ao Presidente Lula da Silva, lembrou que não se cometesse “o mesmo erro que cometemos em 2004 [em que] se instalou uma política monetária (...) que jogou por terra um processo de crescimento que estava ali sendo iniciado com grande vigor”. Logo depois, insistiu no lembrete, afirmando que:</w:t>
      </w:r>
    </w:p>
    <w:p w:rsidR="000F038F" w:rsidRPr="000D5584" w:rsidRDefault="000F038F" w:rsidP="000F038F">
      <w:pPr>
        <w:autoSpaceDE w:val="0"/>
        <w:autoSpaceDN w:val="0"/>
        <w:adjustRightInd w:val="0"/>
        <w:spacing w:line="240" w:lineRule="auto"/>
        <w:ind w:left="2268"/>
        <w:jc w:val="both"/>
        <w:rPr>
          <w:rFonts w:ascii="Times New Roman" w:hAnsi="Times New Roman"/>
          <w:sz w:val="20"/>
          <w:szCs w:val="20"/>
        </w:rPr>
      </w:pPr>
      <w:r w:rsidRPr="000D5584">
        <w:rPr>
          <w:rFonts w:ascii="Times New Roman" w:hAnsi="Times New Roman"/>
          <w:sz w:val="20"/>
          <w:szCs w:val="20"/>
        </w:rPr>
        <w:t xml:space="preserve">Neste Colóquio, Presidente, nós discutimos profundamente o tema e ficamos </w:t>
      </w:r>
      <w:r>
        <w:rPr>
          <w:rFonts w:ascii="Times New Roman" w:hAnsi="Times New Roman"/>
          <w:sz w:val="20"/>
          <w:szCs w:val="20"/>
        </w:rPr>
        <w:t>tranquilos</w:t>
      </w:r>
      <w:r w:rsidRPr="000D5584">
        <w:rPr>
          <w:rFonts w:ascii="Times New Roman" w:hAnsi="Times New Roman"/>
          <w:sz w:val="20"/>
          <w:szCs w:val="20"/>
        </w:rPr>
        <w:t xml:space="preserve"> em vir e aconselhá-lo para que o senhor não nos decepcione nesse aspecto. O Brasil está numa rota formidável</w:t>
      </w:r>
      <w:r>
        <w:rPr>
          <w:rFonts w:ascii="Times New Roman" w:hAnsi="Times New Roman"/>
          <w:sz w:val="20"/>
          <w:szCs w:val="20"/>
        </w:rPr>
        <w:t>.</w:t>
      </w:r>
      <w:r w:rsidRPr="00B210CA">
        <w:rPr>
          <w:rFonts w:ascii="Times New Roman" w:hAnsi="Times New Roman"/>
          <w:b/>
          <w:sz w:val="20"/>
          <w:szCs w:val="20"/>
        </w:rPr>
        <w:t xml:space="preserve"> Nós não estamos enxergando nenhum ponto de ruptura. A economia está sólida, o mercado financeiro está sólido, as empresas estão bem, as centras sindicais estão felizes</w:t>
      </w:r>
      <w:r>
        <w:rPr>
          <w:rFonts w:ascii="Times New Roman" w:hAnsi="Times New Roman"/>
          <w:sz w:val="20"/>
          <w:szCs w:val="20"/>
        </w:rPr>
        <w:t xml:space="preserve"> (Ata da 25ª Reunião Plenária, 01/04/08, p. 33 – grifos meus)</w:t>
      </w:r>
      <w:r w:rsidRPr="000D5584">
        <w:rPr>
          <w:rFonts w:ascii="Times New Roman" w:hAnsi="Times New Roman"/>
          <w:sz w:val="20"/>
          <w:szCs w:val="20"/>
        </w:rPr>
        <w:t>.</w:t>
      </w:r>
    </w:p>
    <w:p w:rsidR="000F038F" w:rsidRDefault="000F038F" w:rsidP="000F038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 xml:space="preserve"> Percebe-se que, nesse cenário inicial de discussão sobre a crise no CDES, os conselheiros envolvidos não previam nenhuma expectativa, ao menos a curto prazo, de conturbações econômica e política no país. O fato de “não enxergar nenhum ponto de ruptura” significava que as lideranças empresariais e sindicais – aliás, é sintomática a absoluta desconsideração das organizações e movimentos sociais presentes</w:t>
      </w:r>
      <w:r>
        <w:rPr>
          <w:rStyle w:val="Refdenotaderodap"/>
          <w:rFonts w:ascii="Times New Roman" w:hAnsi="Times New Roman"/>
          <w:sz w:val="24"/>
          <w:szCs w:val="24"/>
        </w:rPr>
        <w:footnoteReference w:id="531"/>
      </w:r>
      <w:r>
        <w:rPr>
          <w:rFonts w:ascii="Times New Roman" w:hAnsi="Times New Roman"/>
          <w:sz w:val="24"/>
          <w:szCs w:val="24"/>
        </w:rPr>
        <w:t xml:space="preserve"> – expressavam satisfação quanto à manutenção do ritmo de crescimento econômico e seus rebatimentos na contenção da luta social, principalmente por meio da expansão do consumo das classes subalternas, instável e precariamente remediadas pela facilitação ao endividamento creditício (via crédito consignado e/ou via crediário comercial), pelas políticas de transferências de renda e pelos ganhos reais salariais, ainda que bastante modestos, mas que ofereceu certo “suspiro” às classes trabalhadoras mais pauperizadas. </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Trevisan, ao anunciar o regozijo dos setores da cúpula da burocracia sindical provavelmente não dizia respeito apenas aos incrementos de alguns indicadores econômicos e sociais alcançados pelo segundo governo Lula, mas também, não nos esqueçamos, que foi exatamente no dia anterior (31 de março de 2008) ao pronunciamento do conselheiro na plenária do CDES que foi publicada a Lei 11.648 que incorporava, agora legalmente, as Centrais à estrutura sindical corporativa, abrindo-lhes acesso aos recursos do imposto sindical, permitindo-lhes  assim assegurar o repasse de 10% da contribuição sindical para as Centrais reconhecidas.</w:t>
      </w:r>
      <w:r>
        <w:rPr>
          <w:rStyle w:val="Refdenotaderodap"/>
          <w:rFonts w:ascii="Times New Roman" w:hAnsi="Times New Roman"/>
          <w:sz w:val="24"/>
          <w:szCs w:val="24"/>
        </w:rPr>
        <w:footnoteReference w:id="532"/>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Deve-se levar em conta que a crise (econômica), para amplos setores burgueses, define-se por qualquer possibilidade ou ameaça de rebaixamento da taxa de lucros e de investimentos. Apesar do propalado hibridismo constitutivo do CDES, (ou, por isto mesmo, diante da configuração a qual foi constituído) quem diagnosticava e definia o que era a crise, ou seja, quem conduzia a produção da imagem da crise, seus requisitos e formas de enfrentamento, eram os setores do capital e/ou seus intelectuais. É necessário alertar </w:t>
      </w:r>
      <w:r w:rsidR="00DE47C6">
        <w:rPr>
          <w:rFonts w:ascii="Times New Roman" w:hAnsi="Times New Roman"/>
          <w:sz w:val="24"/>
          <w:szCs w:val="24"/>
        </w:rPr>
        <w:t>o que estava em jogo</w:t>
      </w:r>
      <w:r>
        <w:rPr>
          <w:rFonts w:ascii="Times New Roman" w:hAnsi="Times New Roman"/>
          <w:sz w:val="24"/>
          <w:szCs w:val="24"/>
        </w:rPr>
        <w:t xml:space="preserve">: os conselheiros participantes do 1º Colóquio sobre a crise econômica, por meio do representante da FIESP/MBC (Trevisan), expuseram para o presidente Lula da Silva na 25ª Reunião Plenária que o Brasil estava inserido numa “rota formidável”, ao mesmo tempo em que definiam ações contra a crise preventivamente. Ou seja, inaugurou-se uma </w:t>
      </w:r>
      <w:r>
        <w:rPr>
          <w:rFonts w:ascii="Times New Roman" w:hAnsi="Times New Roman"/>
          <w:i/>
          <w:sz w:val="24"/>
          <w:szCs w:val="24"/>
        </w:rPr>
        <w:t xml:space="preserve">retórica da </w:t>
      </w:r>
      <w:r w:rsidRPr="00194434">
        <w:rPr>
          <w:rFonts w:ascii="Times New Roman" w:hAnsi="Times New Roman"/>
          <w:i/>
          <w:sz w:val="24"/>
          <w:szCs w:val="24"/>
        </w:rPr>
        <w:t>crise</w:t>
      </w:r>
      <w:r>
        <w:rPr>
          <w:rFonts w:ascii="Times New Roman" w:hAnsi="Times New Roman"/>
          <w:sz w:val="24"/>
          <w:szCs w:val="24"/>
        </w:rPr>
        <w:t xml:space="preserve">dentro do Conselho: para impedir ou reduzir os impactos da crise era preciso fortes realocações dos recursos públicos para o capital de forma preventiva e urgente. </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Diante o aprofundamento da crise, em outubro de 2008 o GACE do CDES promoveu </w:t>
      </w:r>
      <w:r w:rsidRPr="00B55E48">
        <w:rPr>
          <w:rFonts w:ascii="Times New Roman" w:hAnsi="Times New Roman"/>
          <w:i/>
          <w:sz w:val="24"/>
          <w:szCs w:val="24"/>
        </w:rPr>
        <w:t>o “2º Colóquio Perspectivas de Crescimento da Economia Brasileira e a Crise Internacional”</w:t>
      </w:r>
      <w:r>
        <w:rPr>
          <w:rFonts w:ascii="Times New Roman" w:hAnsi="Times New Roman"/>
          <w:sz w:val="24"/>
          <w:szCs w:val="24"/>
        </w:rPr>
        <w:t xml:space="preserve"> com a participação de Luiz Gonzaga Belluzzo. Segundo consta no relatório da reunião, “o encontro foi proposto com objetivo de levantar informações e análises sobre a crise financeira global e refletir sobre a melhor forma de atuação do Conselho no assessoramento ao Presidente da República”.</w:t>
      </w:r>
      <w:r>
        <w:rPr>
          <w:rStyle w:val="Refdenotaderodap"/>
          <w:rFonts w:ascii="Times New Roman" w:hAnsi="Times New Roman"/>
          <w:sz w:val="24"/>
          <w:szCs w:val="24"/>
        </w:rPr>
        <w:footnoteReference w:id="533"/>
      </w:r>
      <w:r>
        <w:rPr>
          <w:rFonts w:ascii="Times New Roman" w:hAnsi="Times New Roman"/>
          <w:sz w:val="24"/>
          <w:szCs w:val="24"/>
        </w:rPr>
        <w:t xml:space="preserve"> Desaceleração de alguns setores exportadores, represamento da liquidez e do crédito e a desvalorização do real foram fatores que, aos olhos dos conselheiros, mostravam o impacto da crise no Brasil. Davam como importantes as medidas até então adotadas pelo governo, embora não as considerassem suficientes. Propuseram, diante disso, a elaboração de uma </w:t>
      </w:r>
      <w:r w:rsidRPr="00B55E48">
        <w:rPr>
          <w:rFonts w:ascii="Times New Roman" w:hAnsi="Times New Roman"/>
          <w:i/>
          <w:sz w:val="24"/>
          <w:szCs w:val="24"/>
        </w:rPr>
        <w:t xml:space="preserve">moção </w:t>
      </w:r>
      <w:r>
        <w:rPr>
          <w:rFonts w:ascii="Times New Roman" w:hAnsi="Times New Roman"/>
          <w:sz w:val="24"/>
          <w:szCs w:val="24"/>
        </w:rPr>
        <w:t>a ser encaminhada ao Presidente da República a fim de apresentar os principais pontos analisados e as recomendações do CDES, demandando a manutenção do debate sobre o tema no Conselho.</w:t>
      </w:r>
      <w:r>
        <w:rPr>
          <w:rStyle w:val="Refdenotaderodap"/>
          <w:rFonts w:ascii="Times New Roman" w:hAnsi="Times New Roman"/>
          <w:sz w:val="24"/>
          <w:szCs w:val="24"/>
        </w:rPr>
        <w:footnoteReference w:id="534"/>
      </w:r>
    </w:p>
    <w:p w:rsidR="000F038F" w:rsidRDefault="000F038F" w:rsidP="000F038F">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b/>
        <w:t>A entrega da moção do Comitê Gestor do CDES ao Presidente Lula da Silva foi realizada em audiência no dia 24 de outubro de 2008 quando o próprio Presidente definiu a conjuntura econômica internacional como tema a ser debatido na 28ª reunião plenária.</w:t>
      </w:r>
      <w:r>
        <w:rPr>
          <w:rStyle w:val="Refdenotaderodap"/>
          <w:rFonts w:ascii="Times New Roman" w:hAnsi="Times New Roman"/>
          <w:sz w:val="24"/>
          <w:szCs w:val="24"/>
        </w:rPr>
        <w:footnoteReference w:id="535"/>
      </w:r>
      <w:r>
        <w:rPr>
          <w:rFonts w:ascii="Times New Roman" w:hAnsi="Times New Roman"/>
          <w:sz w:val="24"/>
          <w:szCs w:val="24"/>
        </w:rPr>
        <w:t xml:space="preserve"> No conteúdo, </w:t>
      </w:r>
      <w:r w:rsidRPr="00B55E48">
        <w:rPr>
          <w:rFonts w:ascii="Times New Roman" w:hAnsi="Times New Roman"/>
          <w:sz w:val="24"/>
          <w:szCs w:val="24"/>
        </w:rPr>
        <w:t>a moção</w:t>
      </w:r>
      <w:r>
        <w:rPr>
          <w:rFonts w:ascii="Times New Roman" w:hAnsi="Times New Roman"/>
          <w:sz w:val="24"/>
          <w:szCs w:val="24"/>
        </w:rPr>
        <w:t xml:space="preserve"> entregue ao Presidente dizia que o objetivo era oferecer recomendações para o enfrentamento aos efeitos da crise, ressaltando a capacidade das condições econômicas criadas desde 2003 de “agir e proteger o desenvolvimento com distribuição de renda”,</w:t>
      </w:r>
      <w:r>
        <w:rPr>
          <w:rStyle w:val="Refdenotaderodap"/>
          <w:rFonts w:ascii="Times New Roman" w:hAnsi="Times New Roman"/>
          <w:sz w:val="24"/>
          <w:szCs w:val="24"/>
        </w:rPr>
        <w:footnoteReference w:id="536"/>
      </w:r>
      <w:r>
        <w:rPr>
          <w:rFonts w:ascii="Times New Roman" w:hAnsi="Times New Roman"/>
          <w:sz w:val="24"/>
          <w:szCs w:val="24"/>
        </w:rPr>
        <w:t xml:space="preserve"> alertando que os “vasos comunicantes entre as economias nacionais” poderiam causar consequências danosas para o Brasil e que os impactos da crise já se faziam presentes. Solicitava também a adaptatibidade das políticas monetárias e fiscal ante a situação de crise e a ação imediata do Estado. As recomendações eram as seguintes:</w:t>
      </w:r>
    </w:p>
    <w:p w:rsidR="000F038F" w:rsidRDefault="000F038F" w:rsidP="000F038F">
      <w:pPr>
        <w:pStyle w:val="PargrafodaLista"/>
        <w:numPr>
          <w:ilvl w:val="0"/>
          <w:numId w:val="28"/>
        </w:numPr>
        <w:autoSpaceDE w:val="0"/>
        <w:autoSpaceDN w:val="0"/>
        <w:adjustRightInd w:val="0"/>
        <w:spacing w:after="0" w:line="240" w:lineRule="auto"/>
        <w:ind w:left="2552"/>
        <w:jc w:val="both"/>
        <w:rPr>
          <w:rFonts w:ascii="Times New Roman" w:hAnsi="Times New Roman"/>
          <w:sz w:val="20"/>
          <w:szCs w:val="20"/>
        </w:rPr>
      </w:pPr>
      <w:r w:rsidRPr="005E63D1">
        <w:rPr>
          <w:rFonts w:ascii="Times New Roman" w:hAnsi="Times New Roman"/>
          <w:sz w:val="20"/>
          <w:szCs w:val="20"/>
        </w:rPr>
        <w:t>Intensificar a ação do Banco Central visando à estabilização do câmbio, num nível de equilíbrio, variável fundamental para restaurar o comércio internacional e a previsibilidade para os investimentos privados de médio e longo prazo.</w:t>
      </w:r>
    </w:p>
    <w:p w:rsidR="000F038F" w:rsidRPr="005E63D1" w:rsidRDefault="000F038F" w:rsidP="000F038F">
      <w:pPr>
        <w:pStyle w:val="PargrafodaLista"/>
        <w:numPr>
          <w:ilvl w:val="0"/>
          <w:numId w:val="28"/>
        </w:numPr>
        <w:autoSpaceDE w:val="0"/>
        <w:autoSpaceDN w:val="0"/>
        <w:adjustRightInd w:val="0"/>
        <w:spacing w:after="0" w:line="240" w:lineRule="auto"/>
        <w:ind w:left="2552"/>
        <w:jc w:val="both"/>
        <w:rPr>
          <w:rFonts w:ascii="Times New Roman" w:hAnsi="Times New Roman"/>
          <w:sz w:val="20"/>
          <w:szCs w:val="20"/>
        </w:rPr>
      </w:pPr>
      <w:r w:rsidRPr="005E63D1">
        <w:rPr>
          <w:rFonts w:ascii="Times New Roman" w:hAnsi="Times New Roman"/>
          <w:sz w:val="20"/>
          <w:szCs w:val="20"/>
        </w:rPr>
        <w:t>Restabelecimento do crédito para as atividades produtivas e o comércio, o que exige uma intervenção mais ativa da autoridade monetária com relação aos bancos públicos e privados.</w:t>
      </w:r>
    </w:p>
    <w:p w:rsidR="000F038F" w:rsidRDefault="000F038F" w:rsidP="000F038F">
      <w:pPr>
        <w:pStyle w:val="PargrafodaLista"/>
        <w:numPr>
          <w:ilvl w:val="0"/>
          <w:numId w:val="28"/>
        </w:numPr>
        <w:autoSpaceDE w:val="0"/>
        <w:autoSpaceDN w:val="0"/>
        <w:adjustRightInd w:val="0"/>
        <w:spacing w:after="0" w:line="240" w:lineRule="auto"/>
        <w:ind w:left="2552"/>
        <w:jc w:val="both"/>
        <w:rPr>
          <w:rFonts w:ascii="Times New Roman" w:hAnsi="Times New Roman"/>
          <w:sz w:val="20"/>
          <w:szCs w:val="20"/>
        </w:rPr>
      </w:pPr>
      <w:r w:rsidRPr="005E63D1">
        <w:rPr>
          <w:rFonts w:ascii="Times New Roman" w:hAnsi="Times New Roman"/>
          <w:sz w:val="20"/>
          <w:szCs w:val="20"/>
        </w:rPr>
        <w:t>Suspensão do processo de aumento da taxa de juros (SELIC) a partir da próxima reunião do Copom.</w:t>
      </w:r>
    </w:p>
    <w:p w:rsidR="000F038F" w:rsidRDefault="000F038F" w:rsidP="000F038F">
      <w:pPr>
        <w:pStyle w:val="PargrafodaLista"/>
        <w:numPr>
          <w:ilvl w:val="0"/>
          <w:numId w:val="28"/>
        </w:numPr>
        <w:autoSpaceDE w:val="0"/>
        <w:autoSpaceDN w:val="0"/>
        <w:adjustRightInd w:val="0"/>
        <w:spacing w:after="0" w:line="240" w:lineRule="auto"/>
        <w:ind w:left="2552"/>
        <w:jc w:val="both"/>
        <w:rPr>
          <w:rFonts w:ascii="Times New Roman" w:hAnsi="Times New Roman"/>
          <w:sz w:val="20"/>
          <w:szCs w:val="20"/>
        </w:rPr>
      </w:pPr>
      <w:r w:rsidRPr="001925F4">
        <w:rPr>
          <w:rFonts w:ascii="Times New Roman" w:hAnsi="Times New Roman"/>
          <w:sz w:val="20"/>
          <w:szCs w:val="20"/>
        </w:rPr>
        <w:t>Manutenção da taxa de crescimento dos investimentos públicos, do compromisso com o Programa de Aceleração de Crescimento, com a Política de Desenvolvimento Produtivo e com os Programas Sociais</w:t>
      </w:r>
      <w:r>
        <w:rPr>
          <w:rFonts w:ascii="Times New Roman" w:hAnsi="Times New Roman"/>
          <w:sz w:val="20"/>
          <w:szCs w:val="20"/>
        </w:rPr>
        <w:t>.</w:t>
      </w:r>
    </w:p>
    <w:p w:rsidR="000F038F" w:rsidRPr="0050575D" w:rsidRDefault="000F038F" w:rsidP="000F038F">
      <w:pPr>
        <w:autoSpaceDE w:val="0"/>
        <w:autoSpaceDN w:val="0"/>
        <w:adjustRightInd w:val="0"/>
        <w:spacing w:after="0" w:line="240" w:lineRule="auto"/>
        <w:jc w:val="both"/>
        <w:rPr>
          <w:rFonts w:ascii="Times New Roman" w:hAnsi="Times New Roman"/>
          <w:sz w:val="20"/>
          <w:szCs w:val="20"/>
        </w:rPr>
      </w:pPr>
    </w:p>
    <w:p w:rsidR="000F038F" w:rsidRPr="002659E6" w:rsidRDefault="000F038F" w:rsidP="000F038F">
      <w:pPr>
        <w:pStyle w:val="PargrafodaLista"/>
        <w:autoSpaceDE w:val="0"/>
        <w:autoSpaceDN w:val="0"/>
        <w:adjustRightInd w:val="0"/>
        <w:spacing w:line="240" w:lineRule="auto"/>
        <w:ind w:left="2268"/>
        <w:jc w:val="both"/>
        <w:rPr>
          <w:rFonts w:ascii="Times New Roman" w:hAnsi="Times New Roman"/>
          <w:sz w:val="24"/>
          <w:szCs w:val="24"/>
        </w:rPr>
      </w:pPr>
      <w:r w:rsidRPr="001925F4">
        <w:rPr>
          <w:rFonts w:ascii="Times New Roman" w:hAnsi="Times New Roman"/>
          <w:sz w:val="20"/>
          <w:szCs w:val="20"/>
        </w:rPr>
        <w:t>O CDES defende que o momento é de entendimento nacional entre governos, parlamento, empresários, trabalhadores e organizações sociais para proteger nosso desenvolvimento com equidade, geração de emprego e distribuição de renda, baseado nas atividades produtivas,</w:t>
      </w:r>
      <w:r>
        <w:rPr>
          <w:rFonts w:ascii="Times New Roman" w:hAnsi="Times New Roman"/>
          <w:sz w:val="20"/>
          <w:szCs w:val="20"/>
        </w:rPr>
        <w:t xml:space="preserve"> no trabalho e na solidariedade.</w:t>
      </w:r>
      <w:r>
        <w:rPr>
          <w:rStyle w:val="Refdenotaderodap"/>
          <w:rFonts w:ascii="Times New Roman" w:hAnsi="Times New Roman"/>
        </w:rPr>
        <w:footnoteReference w:id="537"/>
      </w:r>
    </w:p>
    <w:p w:rsidR="000F038F" w:rsidRDefault="000F038F" w:rsidP="000F038F">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ab/>
      </w:r>
      <w:r w:rsidRPr="00B55E48">
        <w:rPr>
          <w:rFonts w:ascii="Times New Roman" w:hAnsi="Times New Roman"/>
          <w:i/>
          <w:sz w:val="24"/>
          <w:szCs w:val="24"/>
        </w:rPr>
        <w:t>Na 28ª reunião plenária</w:t>
      </w:r>
      <w:r>
        <w:rPr>
          <w:rFonts w:ascii="Times New Roman" w:hAnsi="Times New Roman"/>
          <w:sz w:val="24"/>
          <w:szCs w:val="24"/>
        </w:rPr>
        <w:t>, ocorrida em 06 de novembro de 2008, os ministros Guido Mantega, Henrique Meireles e Dilma Rousseff pareciam estar munidos de dados e argumentos suficientes para acalmar os ânimos e dissipar preocupações, legitimando as ações do governo por meio da abordagem de todos os pontos contidos nas recomendações dos conselheiros apresentadas pela moção.</w:t>
      </w:r>
    </w:p>
    <w:p w:rsidR="000F038F" w:rsidRDefault="000F038F" w:rsidP="000F038F">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Guido Mantega afirmou que o pior da crise econômica internacional já havia passado e que se estava saindo da fase mais aguda.  Após rápida exposição das dificuldades da economia internacional naquele momento (falta de crédito, saída de capitais e de investimentos nas economias emergentes, desvalorização cambial, queda das bolsas de valores), apresentou algumas “medidas emergenciais importantes” tomadas pelo governo que, bastante sumariamente, podem ser elencadas:</w:t>
      </w:r>
    </w:p>
    <w:p w:rsidR="000F038F" w:rsidRDefault="000F038F" w:rsidP="000F038F">
      <w:pPr>
        <w:pStyle w:val="PargrafodaLista"/>
        <w:numPr>
          <w:ilvl w:val="0"/>
          <w:numId w:val="15"/>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Liberação do compulsório bancário (maior volume de recursos disponibilizados pelo BACEN aos bancos para concessão de empréstimos, créditos, etc);</w:t>
      </w:r>
    </w:p>
    <w:p w:rsidR="000F038F" w:rsidRDefault="000F038F" w:rsidP="000F038F">
      <w:pPr>
        <w:pStyle w:val="PargrafodaLista"/>
        <w:numPr>
          <w:ilvl w:val="0"/>
          <w:numId w:val="15"/>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Venda de dólares do governo no mercado futuro (</w:t>
      </w:r>
      <w:r>
        <w:rPr>
          <w:rFonts w:ascii="Times New Roman" w:hAnsi="Times New Roman"/>
          <w:i/>
          <w:sz w:val="24"/>
          <w:szCs w:val="24"/>
        </w:rPr>
        <w:t>swap</w:t>
      </w:r>
      <w:r>
        <w:rPr>
          <w:rFonts w:ascii="Times New Roman" w:hAnsi="Times New Roman"/>
          <w:sz w:val="24"/>
          <w:szCs w:val="24"/>
        </w:rPr>
        <w:t>) – importante na oferta de liquidez de dólares, beneficiando setores exportadores (R$ 14 bilhões);</w:t>
      </w:r>
    </w:p>
    <w:p w:rsidR="000F038F" w:rsidRPr="001718EF" w:rsidRDefault="000F038F" w:rsidP="000F038F">
      <w:pPr>
        <w:pStyle w:val="PargrafodaLista"/>
        <w:numPr>
          <w:ilvl w:val="0"/>
          <w:numId w:val="15"/>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Oferecimento de melhores condições para linhas de financiamento de exportações;</w:t>
      </w:r>
    </w:p>
    <w:p w:rsidR="000F038F" w:rsidRDefault="000F038F" w:rsidP="000F038F">
      <w:pPr>
        <w:pStyle w:val="PargrafodaLista"/>
        <w:numPr>
          <w:ilvl w:val="0"/>
          <w:numId w:val="15"/>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Financiamento da produção:</w:t>
      </w:r>
    </w:p>
    <w:p w:rsidR="000F038F" w:rsidRDefault="000F038F" w:rsidP="000F038F">
      <w:pPr>
        <w:pStyle w:val="PargrafodaLista"/>
        <w:numPr>
          <w:ilvl w:val="0"/>
          <w:numId w:val="15"/>
        </w:numPr>
        <w:autoSpaceDE w:val="0"/>
        <w:autoSpaceDN w:val="0"/>
        <w:adjustRightInd w:val="0"/>
        <w:spacing w:after="0" w:line="360" w:lineRule="auto"/>
        <w:ind w:left="1843"/>
        <w:jc w:val="both"/>
        <w:rPr>
          <w:rFonts w:ascii="Times New Roman" w:hAnsi="Times New Roman"/>
          <w:sz w:val="24"/>
          <w:szCs w:val="24"/>
        </w:rPr>
      </w:pPr>
      <w:r>
        <w:rPr>
          <w:rFonts w:ascii="Times New Roman" w:hAnsi="Times New Roman"/>
          <w:sz w:val="24"/>
          <w:szCs w:val="24"/>
        </w:rPr>
        <w:t xml:space="preserve">R$ 90 bilhões para investimentos via BNDES para vários setores: para expansão de projetos de petróleo e gás e projetos navais; para o Revitaliza (incremento </w:t>
      </w:r>
      <w:r w:rsidR="00DE47C6">
        <w:rPr>
          <w:rFonts w:ascii="Times New Roman" w:hAnsi="Times New Roman"/>
          <w:sz w:val="24"/>
          <w:szCs w:val="24"/>
        </w:rPr>
        <w:t>n</w:t>
      </w:r>
      <w:r>
        <w:rPr>
          <w:rFonts w:ascii="Times New Roman" w:hAnsi="Times New Roman"/>
          <w:sz w:val="24"/>
          <w:szCs w:val="24"/>
        </w:rPr>
        <w:t>o capital de giro das empresas) e para a construção civil na realização de projetos habitacionais, via CEF (R$ 3 bilhões) com recursos da poupança habitacional.</w:t>
      </w:r>
    </w:p>
    <w:p w:rsidR="000F038F" w:rsidRDefault="000F038F" w:rsidP="000F038F">
      <w:pPr>
        <w:pStyle w:val="PargrafodaLista"/>
        <w:numPr>
          <w:ilvl w:val="0"/>
          <w:numId w:val="15"/>
        </w:numPr>
        <w:autoSpaceDE w:val="0"/>
        <w:autoSpaceDN w:val="0"/>
        <w:adjustRightInd w:val="0"/>
        <w:spacing w:after="0" w:line="360" w:lineRule="auto"/>
        <w:ind w:left="1843"/>
        <w:jc w:val="both"/>
        <w:rPr>
          <w:rFonts w:ascii="Times New Roman" w:hAnsi="Times New Roman"/>
          <w:sz w:val="24"/>
          <w:szCs w:val="24"/>
        </w:rPr>
      </w:pPr>
      <w:r w:rsidRPr="001718EF">
        <w:rPr>
          <w:rFonts w:ascii="Times New Roman" w:hAnsi="Times New Roman"/>
          <w:bCs/>
          <w:sz w:val="24"/>
          <w:szCs w:val="24"/>
        </w:rPr>
        <w:t>Financiamento da Agricultura: a</w:t>
      </w:r>
      <w:r w:rsidRPr="001718EF">
        <w:rPr>
          <w:rFonts w:ascii="Times New Roman" w:hAnsi="Times New Roman"/>
          <w:sz w:val="24"/>
          <w:szCs w:val="24"/>
        </w:rPr>
        <w:t xml:space="preserve">ntecipação de desembolsos </w:t>
      </w:r>
      <w:r w:rsidR="00DE47C6">
        <w:rPr>
          <w:rFonts w:ascii="Times New Roman" w:hAnsi="Times New Roman"/>
          <w:sz w:val="24"/>
          <w:szCs w:val="24"/>
        </w:rPr>
        <w:t xml:space="preserve">do </w:t>
      </w:r>
      <w:r w:rsidRPr="001718EF">
        <w:rPr>
          <w:rFonts w:ascii="Times New Roman" w:hAnsi="Times New Roman"/>
          <w:sz w:val="24"/>
          <w:szCs w:val="24"/>
        </w:rPr>
        <w:t xml:space="preserve">BB; recursos adicionais de vários fundos (R$ 5 bilhões); </w:t>
      </w:r>
      <w:r>
        <w:rPr>
          <w:rFonts w:ascii="Times New Roman" w:hAnsi="Times New Roman"/>
          <w:sz w:val="24"/>
          <w:szCs w:val="24"/>
        </w:rPr>
        <w:t>a</w:t>
      </w:r>
      <w:r w:rsidRPr="001718EF">
        <w:rPr>
          <w:rFonts w:ascii="Times New Roman" w:hAnsi="Times New Roman"/>
          <w:sz w:val="24"/>
          <w:szCs w:val="24"/>
        </w:rPr>
        <w:t>umento do crédito direcionado</w:t>
      </w:r>
      <w:r>
        <w:rPr>
          <w:rFonts w:ascii="Times New Roman" w:hAnsi="Times New Roman"/>
          <w:sz w:val="24"/>
          <w:szCs w:val="24"/>
        </w:rPr>
        <w:t>; garantia de preço mínimo para comercialização dos produtos agrícolas;</w:t>
      </w:r>
    </w:p>
    <w:p w:rsidR="000F038F" w:rsidRPr="001718EF" w:rsidRDefault="006F1BCE" w:rsidP="000F038F">
      <w:pPr>
        <w:pStyle w:val="PargrafodaLista"/>
        <w:numPr>
          <w:ilvl w:val="0"/>
          <w:numId w:val="15"/>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Com a MP 443, ficaram</w:t>
      </w:r>
      <w:r w:rsidR="000F038F">
        <w:rPr>
          <w:rFonts w:ascii="Times New Roman" w:hAnsi="Times New Roman"/>
          <w:sz w:val="24"/>
          <w:szCs w:val="24"/>
        </w:rPr>
        <w:t xml:space="preserve"> autorizado</w:t>
      </w:r>
      <w:r>
        <w:rPr>
          <w:rFonts w:ascii="Times New Roman" w:hAnsi="Times New Roman"/>
          <w:sz w:val="24"/>
          <w:szCs w:val="24"/>
        </w:rPr>
        <w:t>s</w:t>
      </w:r>
      <w:r w:rsidR="000F038F">
        <w:rPr>
          <w:rFonts w:ascii="Times New Roman" w:hAnsi="Times New Roman"/>
          <w:sz w:val="24"/>
          <w:szCs w:val="24"/>
        </w:rPr>
        <w:t xml:space="preserve"> o Banco do Brasil e a Caixa Econômica Federal adquirirem participação acionária nos bancos privados. Criação da Caixa Banco Investimento para adquirir participações minoritárias no setor de habitação, oferecendo capital de giro às empresas do setor;</w:t>
      </w:r>
    </w:p>
    <w:p w:rsidR="000F038F" w:rsidRDefault="000F038F" w:rsidP="000F038F">
      <w:pPr>
        <w:pStyle w:val="PargrafodaLista"/>
        <w:numPr>
          <w:ilvl w:val="0"/>
          <w:numId w:val="15"/>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Para o setor automobilístico: o BACEN disponibilizou parte a mais do compulsório dos grandes bancos privados para ser direcionado à irrigação dos bancos do setor automotivo;</w:t>
      </w:r>
    </w:p>
    <w:p w:rsidR="000F038F" w:rsidRDefault="000F038F" w:rsidP="000F038F">
      <w:pPr>
        <w:pStyle w:val="PargrafodaLista"/>
        <w:numPr>
          <w:ilvl w:val="0"/>
          <w:numId w:val="15"/>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Disponibilização de mais R$ 5 bilhões para pequenas e médias empresas via BB e mais R$ 10 bilhões, via BNDES, para capital de giro de grandes e médias empresas para pré-embarque de exportações;</w:t>
      </w:r>
    </w:p>
    <w:p w:rsidR="000F038F" w:rsidRDefault="000F038F" w:rsidP="000F038F">
      <w:pPr>
        <w:pStyle w:val="PargrafodaLista"/>
        <w:numPr>
          <w:ilvl w:val="0"/>
          <w:numId w:val="15"/>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Prorrogação de prazo para pagamento de tributos (IPI, PIS e COFINS);</w:t>
      </w:r>
    </w:p>
    <w:p w:rsidR="000F038F" w:rsidRDefault="000F038F" w:rsidP="000F038F">
      <w:pPr>
        <w:pStyle w:val="PargrafodaLista"/>
        <w:numPr>
          <w:ilvl w:val="0"/>
          <w:numId w:val="15"/>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Aceleração da devolução do crédito tributário às empresas;</w:t>
      </w:r>
    </w:p>
    <w:p w:rsidR="000F038F" w:rsidRDefault="000F038F" w:rsidP="000F038F">
      <w:pPr>
        <w:pStyle w:val="PargrafodaLista"/>
        <w:numPr>
          <w:ilvl w:val="0"/>
          <w:numId w:val="15"/>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Manutenção dos investimentos no PAC, no Pré-Sal e nos programas sociais;</w:t>
      </w:r>
    </w:p>
    <w:p w:rsidR="000F038F" w:rsidRDefault="000F038F" w:rsidP="000F038F">
      <w:pPr>
        <w:pStyle w:val="PargrafodaLista"/>
        <w:numPr>
          <w:ilvl w:val="0"/>
          <w:numId w:val="15"/>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Contenção do crescimento dos gastos de custeio.</w:t>
      </w:r>
    </w:p>
    <w:p w:rsidR="000F038F" w:rsidRPr="004D444E" w:rsidRDefault="000F038F" w:rsidP="000F038F">
      <w:pPr>
        <w:autoSpaceDE w:val="0"/>
        <w:autoSpaceDN w:val="0"/>
        <w:adjustRightInd w:val="0"/>
        <w:spacing w:after="0" w:line="360" w:lineRule="auto"/>
        <w:jc w:val="both"/>
        <w:rPr>
          <w:rFonts w:ascii="Times New Roman" w:hAnsi="Times New Roman"/>
          <w:sz w:val="24"/>
          <w:szCs w:val="24"/>
        </w:rPr>
      </w:pP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Após o relato das medidas que vinham sendo adotadas pelo governo, Mantega esforçou-se em apresentar dados que convencessem os conselheiros de quanto o país estava preparado para enfrentar a crise. Procurou ressaltar indicadores econômicos que os tranquilizassem, tais como crescimento do PIB, redução do déficit fiscal e da dívida líquida do setor público, aumento do superávit primário, elevação do consumo, a criação da “nova classe média”, manutenção de elevadas reservas internacionais, controle inflacionário, aumento dos investimentos do governo, principalmente em infraestrutura, manutenção do nível de emprego e da renda. Contra o encolhimento do comércio internacional, Mantega ressaltou sua substituição pelo mercado interno e frisou o aumento das exportações para os países emergentes. </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Sobre a redução da volatilidade cambial e da bolsa de valores, Mantega enfatizou que a situação de crise ainda perdurara, mas que estava se estabilizando aos poucos. Foi Henrique Meirelles quem, sobre esse assunto, mais claramente respondeu às demandas empresariais no Conselho, ressaltando a venda de dólares futura (</w:t>
      </w:r>
      <w:r>
        <w:rPr>
          <w:rFonts w:ascii="Times New Roman" w:hAnsi="Times New Roman"/>
          <w:i/>
          <w:sz w:val="24"/>
          <w:szCs w:val="24"/>
        </w:rPr>
        <w:t xml:space="preserve">swaps </w:t>
      </w:r>
      <w:r>
        <w:rPr>
          <w:rFonts w:ascii="Times New Roman" w:hAnsi="Times New Roman"/>
          <w:sz w:val="24"/>
          <w:szCs w:val="24"/>
        </w:rPr>
        <w:t>cambiais) no valor de 24,5 bilhões de dólares e o anúncio de que o BACEN estava preparado para vender até 50 bilhões de dólares, permitindo reduzir a volatilidade do mercado de câmbio sem comprometer reservas internacionais.</w:t>
      </w:r>
    </w:p>
    <w:p w:rsidR="000F038F" w:rsidRDefault="000F038F" w:rsidP="000F038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A então ministra da Casa Civil, Dilma Rousseff, diz ser a continuidade de execução do PAC “a forma diferencial com que como enfrentamos essa crise”, em comparação à gestão do governo FHC. Ressaltou o “caráter anticíclico” do programa, posto que sustentava “patamar elevado de investimento público e privado”, já que “assegura a manutenção desse ciclo de crescimento econômico, principalmente porque há essa decisão do governo do PAC não ter cortes, do PAC ter como sustentação essa capacidade do governo de organizar essa demanda e assegurar crédito de longo prazo”.</w:t>
      </w:r>
      <w:r>
        <w:rPr>
          <w:rStyle w:val="Refdenotaderodap"/>
          <w:rFonts w:ascii="Times New Roman" w:hAnsi="Times New Roman"/>
          <w:sz w:val="24"/>
          <w:szCs w:val="24"/>
        </w:rPr>
        <w:footnoteReference w:id="538"/>
      </w:r>
    </w:p>
    <w:p w:rsidR="000F038F" w:rsidRDefault="000F038F" w:rsidP="000F038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 xml:space="preserve">As exposições dos ministros satisfizeram boa parte dos conselheiros, ao menos dos que se manifestaram na reunião. Os mais empolgados foram Paulo Godoy (presidente da ABDIB), Armando Monteiro Neto (presidente da CNI), Fábio Barbosa (presidente da Febraban) e Abílio Diniz (presidente do Grupo Pão de Açúcar), ou seja, algumas das mais destacadas lideranças empresariais e de suas entidades no país. </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O conselheiro Paulo Godoy </w:t>
      </w:r>
      <w:r w:rsidRPr="002D33CF">
        <w:rPr>
          <w:rFonts w:ascii="Times New Roman" w:hAnsi="Times New Roman"/>
          <w:i/>
          <w:sz w:val="24"/>
          <w:szCs w:val="24"/>
        </w:rPr>
        <w:t>reconheceu que alguns pontos da moção entregue à Presidência foram levados em consideração nas medidas adotadas pelos ministros</w:t>
      </w:r>
      <w:r>
        <w:rPr>
          <w:rFonts w:ascii="Times New Roman" w:hAnsi="Times New Roman"/>
          <w:sz w:val="24"/>
          <w:szCs w:val="24"/>
        </w:rPr>
        <w:t xml:space="preserve"> (questão do câmbio, do crédito e da proteção ao mercado financeiro),  e  de que era preciso avançar na reforma tributária (ponto recorrente no CDES) e na concessão de portos e aeroportos para iniciativa privada.</w:t>
      </w:r>
      <w:r>
        <w:rPr>
          <w:rStyle w:val="Refdenotaderodap"/>
          <w:rFonts w:ascii="Times New Roman" w:hAnsi="Times New Roman"/>
          <w:sz w:val="24"/>
          <w:szCs w:val="24"/>
        </w:rPr>
        <w:footnoteReference w:id="539"/>
      </w:r>
    </w:p>
    <w:p w:rsidR="000F038F" w:rsidRDefault="000F038F" w:rsidP="000F038F">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O empresário Armando Monteiro Neto, por sua vez, elogiou o esforço do governo na adoção das medidas anunciadas:</w:t>
      </w:r>
    </w:p>
    <w:p w:rsidR="000F038F" w:rsidRPr="00C146E1" w:rsidRDefault="000F038F" w:rsidP="000F038F">
      <w:pPr>
        <w:autoSpaceDE w:val="0"/>
        <w:autoSpaceDN w:val="0"/>
        <w:adjustRightInd w:val="0"/>
        <w:spacing w:after="0" w:line="240" w:lineRule="auto"/>
        <w:ind w:left="2268"/>
        <w:jc w:val="both"/>
        <w:rPr>
          <w:rFonts w:ascii="Times New Roman" w:hAnsi="Times New Roman"/>
          <w:sz w:val="20"/>
          <w:szCs w:val="20"/>
        </w:rPr>
      </w:pPr>
      <w:r w:rsidRPr="00C146E1">
        <w:rPr>
          <w:rFonts w:ascii="Times New Roman" w:hAnsi="Times New Roman"/>
          <w:sz w:val="20"/>
          <w:szCs w:val="20"/>
        </w:rPr>
        <w:t xml:space="preserve">Nós não podemos deixar de reconhecer que nesse contexto, o repertório de medidas que vêm sendo adotadas pelo Governo, sem nenhuma dúvida, </w:t>
      </w:r>
      <w:r w:rsidRPr="00C146E1">
        <w:rPr>
          <w:rFonts w:ascii="Times New Roman" w:hAnsi="Times New Roman"/>
          <w:b/>
          <w:sz w:val="20"/>
          <w:szCs w:val="20"/>
        </w:rPr>
        <w:t>representam medidas adequadas no seu conjunto, e que têm sido adotadas de maneira razoavelmente tempestivas</w:t>
      </w:r>
      <w:r w:rsidRPr="00C146E1">
        <w:rPr>
          <w:rFonts w:ascii="Times New Roman" w:hAnsi="Times New Roman"/>
          <w:sz w:val="20"/>
          <w:szCs w:val="20"/>
        </w:rPr>
        <w:t xml:space="preserve"> (...) e quero saudar nesse momento, a notícia que o Ministro Guido Mantega nos anuncia de medidas relacionadas com a ampliação de prazo de recolhimento de tributos (...) </w:t>
      </w:r>
      <w:r>
        <w:rPr>
          <w:rFonts w:ascii="Times New Roman" w:hAnsi="Times New Roman"/>
          <w:sz w:val="20"/>
          <w:szCs w:val="20"/>
        </w:rPr>
        <w:t>(Ata da 28ª reunião plenária, 06/11/08, p. 16 – grifos meus).</w:t>
      </w:r>
    </w:p>
    <w:p w:rsidR="000F038F" w:rsidRDefault="000F038F" w:rsidP="000F038F">
      <w:pPr>
        <w:autoSpaceDE w:val="0"/>
        <w:autoSpaceDN w:val="0"/>
        <w:adjustRightInd w:val="0"/>
        <w:spacing w:after="0" w:line="360" w:lineRule="auto"/>
        <w:jc w:val="both"/>
        <w:rPr>
          <w:rFonts w:ascii="Times New Roman" w:hAnsi="Times New Roman"/>
          <w:b/>
          <w:sz w:val="24"/>
          <w:szCs w:val="24"/>
        </w:rPr>
      </w:pPr>
    </w:p>
    <w:p w:rsidR="000F038F" w:rsidRDefault="000F038F" w:rsidP="000F038F">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b/>
        <w:t xml:space="preserve">O conselheiro Fábio Barbosa, igualmente, ressaltou que “diversas medidas já foram implementadas pelo Governo, </w:t>
      </w:r>
      <w:r>
        <w:rPr>
          <w:rFonts w:ascii="Times New Roman" w:hAnsi="Times New Roman"/>
          <w:i/>
          <w:sz w:val="24"/>
          <w:szCs w:val="24"/>
        </w:rPr>
        <w:t>boa parte fruto de diálogo com o setor privado</w:t>
      </w:r>
      <w:r>
        <w:rPr>
          <w:rFonts w:ascii="Times New Roman" w:hAnsi="Times New Roman"/>
          <w:sz w:val="24"/>
          <w:szCs w:val="24"/>
        </w:rPr>
        <w:t xml:space="preserve">” (grifos meus), destacando que a “irrigação do sistema”, fruto da liberação de compulsório, “tem ajudado muito a aumentar a liquidez e a restabelecer o equilíbrio do mercado”. Na mesma reunião, o Presidente Lula da Silva validou a observação de Fábio Barbosa sobre o fortalecimento e/ou abertura de pontes e fluxos entre Estado e empresários para o gerenciamento da crise: </w:t>
      </w:r>
    </w:p>
    <w:p w:rsidR="000F038F" w:rsidRPr="001F335B" w:rsidRDefault="000F038F" w:rsidP="000F038F">
      <w:pPr>
        <w:autoSpaceDE w:val="0"/>
        <w:autoSpaceDN w:val="0"/>
        <w:adjustRightInd w:val="0"/>
        <w:spacing w:line="240" w:lineRule="auto"/>
        <w:ind w:left="2268"/>
        <w:jc w:val="both"/>
        <w:rPr>
          <w:rFonts w:ascii="Times New Roman" w:hAnsi="Times New Roman"/>
          <w:sz w:val="20"/>
          <w:szCs w:val="20"/>
        </w:rPr>
      </w:pPr>
      <w:r w:rsidRPr="001F335B">
        <w:rPr>
          <w:rFonts w:ascii="Times New Roman" w:hAnsi="Times New Roman"/>
          <w:sz w:val="20"/>
          <w:szCs w:val="20"/>
        </w:rPr>
        <w:t xml:space="preserve">Uma coisa importante e que faz diferença é </w:t>
      </w:r>
      <w:r w:rsidRPr="000C7765">
        <w:rPr>
          <w:rFonts w:ascii="Times New Roman" w:hAnsi="Times New Roman"/>
          <w:b/>
          <w:sz w:val="20"/>
          <w:szCs w:val="20"/>
        </w:rPr>
        <w:t>consultar os setores envolvidos</w:t>
      </w:r>
      <w:r w:rsidRPr="001F335B">
        <w:rPr>
          <w:rFonts w:ascii="Times New Roman" w:hAnsi="Times New Roman"/>
          <w:sz w:val="20"/>
          <w:szCs w:val="20"/>
        </w:rPr>
        <w:t xml:space="preserve"> antes de a gente tomar uma decisão, porque muitas vezes, na pressa de acertar, a gente dá um tiro no pé ou dá um tiro onde não deveria dar. Então, nós sempre tomamos o cuidad</w:t>
      </w:r>
      <w:r>
        <w:rPr>
          <w:rFonts w:ascii="Times New Roman" w:hAnsi="Times New Roman"/>
          <w:sz w:val="20"/>
          <w:szCs w:val="20"/>
        </w:rPr>
        <w:t>o</w:t>
      </w:r>
      <w:r w:rsidRPr="001F335B">
        <w:rPr>
          <w:rFonts w:ascii="Times New Roman" w:hAnsi="Times New Roman"/>
          <w:sz w:val="20"/>
          <w:szCs w:val="20"/>
        </w:rPr>
        <w:t xml:space="preserve"> de conversar com </w:t>
      </w:r>
      <w:r w:rsidRPr="000C7765">
        <w:rPr>
          <w:rFonts w:ascii="Times New Roman" w:hAnsi="Times New Roman"/>
          <w:b/>
          <w:sz w:val="20"/>
          <w:szCs w:val="20"/>
        </w:rPr>
        <w:t>os setores econômicos</w:t>
      </w:r>
      <w:r w:rsidRPr="001F335B">
        <w:rPr>
          <w:rFonts w:ascii="Times New Roman" w:hAnsi="Times New Roman"/>
          <w:sz w:val="20"/>
          <w:szCs w:val="20"/>
        </w:rPr>
        <w:t xml:space="preserve">. </w:t>
      </w:r>
      <w:r w:rsidRPr="000C7765">
        <w:rPr>
          <w:rFonts w:ascii="Times New Roman" w:hAnsi="Times New Roman"/>
          <w:b/>
          <w:sz w:val="20"/>
          <w:szCs w:val="20"/>
        </w:rPr>
        <w:t>Quase todos os setores aqui já foram ouvidos pelo governo</w:t>
      </w:r>
      <w:r>
        <w:rPr>
          <w:rFonts w:ascii="Times New Roman" w:hAnsi="Times New Roman"/>
          <w:sz w:val="20"/>
          <w:szCs w:val="20"/>
        </w:rPr>
        <w:t xml:space="preserve"> (Presidente Lula da Silva, Ata da 28ª Reunião Plenária, 06/11/08, p. 23, grifos meus).</w:t>
      </w:r>
    </w:p>
    <w:p w:rsidR="000F038F" w:rsidRDefault="000F038F" w:rsidP="000F038F">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As conexões não se davam, obviamente, apenas entre Estado e empresários, mas também entre setores do capital com vistas ao alinhamento frente à administração do capitalismo em crise, o que implicava na criação de novos espaços da sociedade civil e na calibragem, na graduação correta, do </w:t>
      </w:r>
      <w:r>
        <w:rPr>
          <w:rFonts w:ascii="Times New Roman" w:hAnsi="Times New Roman"/>
          <w:i/>
          <w:sz w:val="24"/>
          <w:szCs w:val="24"/>
        </w:rPr>
        <w:t xml:space="preserve">modus operandi </w:t>
      </w:r>
      <w:r>
        <w:rPr>
          <w:rFonts w:ascii="Times New Roman" w:hAnsi="Times New Roman"/>
          <w:sz w:val="24"/>
          <w:szCs w:val="24"/>
        </w:rPr>
        <w:t xml:space="preserve">de largos setores do capital junto ao Estado. Como nos alude conselheiro Fábio Barbosa:   </w:t>
      </w:r>
    </w:p>
    <w:p w:rsidR="000F038F" w:rsidRPr="00ED2E34" w:rsidRDefault="000F038F" w:rsidP="000F038F">
      <w:pPr>
        <w:autoSpaceDE w:val="0"/>
        <w:autoSpaceDN w:val="0"/>
        <w:adjustRightInd w:val="0"/>
        <w:spacing w:line="240" w:lineRule="auto"/>
        <w:ind w:left="2268"/>
        <w:jc w:val="both"/>
        <w:rPr>
          <w:rFonts w:ascii="Times New Roman" w:hAnsi="Times New Roman"/>
          <w:sz w:val="20"/>
          <w:szCs w:val="20"/>
        </w:rPr>
      </w:pPr>
      <w:r w:rsidRPr="00ED2E34">
        <w:rPr>
          <w:rFonts w:ascii="Times New Roman" w:hAnsi="Times New Roman"/>
          <w:sz w:val="20"/>
          <w:szCs w:val="20"/>
        </w:rPr>
        <w:t>O sistema financeiro vem atuando com responsabilidade em conjunto com o Governo, e tem mantido contatos freq</w:t>
      </w:r>
      <w:r>
        <w:rPr>
          <w:rFonts w:ascii="Times New Roman" w:hAnsi="Times New Roman"/>
          <w:sz w:val="20"/>
          <w:szCs w:val="20"/>
        </w:rPr>
        <w:t>u</w:t>
      </w:r>
      <w:r w:rsidRPr="00ED2E34">
        <w:rPr>
          <w:rFonts w:ascii="Times New Roman" w:hAnsi="Times New Roman"/>
          <w:sz w:val="20"/>
          <w:szCs w:val="20"/>
        </w:rPr>
        <w:t xml:space="preserve">entes com a </w:t>
      </w:r>
      <w:r>
        <w:rPr>
          <w:rFonts w:ascii="Times New Roman" w:hAnsi="Times New Roman"/>
          <w:sz w:val="20"/>
          <w:szCs w:val="20"/>
        </w:rPr>
        <w:t>FIESP</w:t>
      </w:r>
      <w:r w:rsidRPr="00ED2E34">
        <w:rPr>
          <w:rFonts w:ascii="Times New Roman" w:hAnsi="Times New Roman"/>
          <w:sz w:val="20"/>
          <w:szCs w:val="20"/>
        </w:rPr>
        <w:t>, ANFAVEA, ABDIB, bem como com o setor de agricultura e comércio, por meio de um conselho cons</w:t>
      </w:r>
      <w:r>
        <w:rPr>
          <w:rFonts w:ascii="Times New Roman" w:hAnsi="Times New Roman"/>
          <w:sz w:val="20"/>
          <w:szCs w:val="20"/>
        </w:rPr>
        <w:t>ultivo recém criado na Febraban (idem: p. 17).</w:t>
      </w:r>
    </w:p>
    <w:p w:rsidR="000F038F" w:rsidRDefault="000F038F" w:rsidP="00696A38">
      <w:pPr>
        <w:autoSpaceDE w:val="0"/>
        <w:autoSpaceDN w:val="0"/>
        <w:adjustRightInd w:val="0"/>
        <w:spacing w:before="240"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No relatório anual de 2009 da FEBRABAN, importa observar, consta que o Conselho Consultivo, presidido pelo próprio Fábio Barbosa, contava com vários e ilustres integrantes do CDES, destacadas lideranças empresariais de diversas frações do capital, de suas entidades patronais e, inclusive, com ex-ministros do primeiro governo Lula da Silva.</w:t>
      </w:r>
      <w:r>
        <w:rPr>
          <w:rStyle w:val="Refdenotaderodap"/>
          <w:rFonts w:ascii="Times New Roman" w:hAnsi="Times New Roman"/>
          <w:sz w:val="24"/>
          <w:szCs w:val="24"/>
        </w:rPr>
        <w:footnoteReference w:id="540"/>
      </w:r>
    </w:p>
    <w:p w:rsidR="000F038F" w:rsidRDefault="000F038F" w:rsidP="000F038F">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b/>
        <w:t xml:space="preserve">Ainda na </w:t>
      </w:r>
      <w:r w:rsidRPr="00B55E48">
        <w:rPr>
          <w:rFonts w:ascii="Times New Roman" w:hAnsi="Times New Roman"/>
          <w:sz w:val="24"/>
          <w:szCs w:val="24"/>
        </w:rPr>
        <w:t>28ª reunião plenária</w:t>
      </w:r>
      <w:r>
        <w:rPr>
          <w:rFonts w:ascii="Times New Roman" w:hAnsi="Times New Roman"/>
          <w:sz w:val="24"/>
          <w:szCs w:val="24"/>
        </w:rPr>
        <w:t xml:space="preserve">, o conselheiro Abílio Diniz, por sua vez, colocou-se, ainda na referida reunião, como analista das causas da crise, entendendo como causa o “excesso de liquidez” e derivações especulativas: “tinha muita gente vendendo vento e na outra ponta muita gente comprando vento. O mundo vai ter que sofrer um ajuste” em que “aqueles do mundo real vão sair fortalecidos”, adjetivando a condução da política monetária e cambial realizada por Henrique Meirelles como “brilhante” e, no entusiasmo discursivo, evocou oportunamente o keynesianismo </w:t>
      </w:r>
      <w:r w:rsidR="00F729D2">
        <w:rPr>
          <w:rFonts w:ascii="Times New Roman" w:hAnsi="Times New Roman"/>
          <w:sz w:val="24"/>
          <w:szCs w:val="24"/>
        </w:rPr>
        <w:t>pragmático</w:t>
      </w:r>
      <w:r>
        <w:rPr>
          <w:rFonts w:ascii="Times New Roman" w:hAnsi="Times New Roman"/>
          <w:sz w:val="24"/>
          <w:szCs w:val="24"/>
        </w:rPr>
        <w:t xml:space="preserve"> do capitalista em tempos de crise:</w:t>
      </w:r>
    </w:p>
    <w:p w:rsidR="000F038F" w:rsidRPr="004116AF" w:rsidRDefault="000F038F" w:rsidP="000F038F">
      <w:pPr>
        <w:autoSpaceDE w:val="0"/>
        <w:autoSpaceDN w:val="0"/>
        <w:adjustRightInd w:val="0"/>
        <w:spacing w:line="240" w:lineRule="auto"/>
        <w:ind w:left="2268"/>
        <w:jc w:val="both"/>
        <w:rPr>
          <w:rFonts w:ascii="Times New Roman" w:hAnsi="Times New Roman"/>
          <w:sz w:val="20"/>
          <w:szCs w:val="20"/>
        </w:rPr>
      </w:pPr>
      <w:r w:rsidRPr="004116AF">
        <w:rPr>
          <w:rFonts w:ascii="Times New Roman" w:hAnsi="Times New Roman"/>
          <w:sz w:val="20"/>
          <w:szCs w:val="20"/>
        </w:rPr>
        <w:t>Não sou apenas um torcedor, eu acho que, conversando com todas as pessoas do setor financeiro, ninguém pode se queixar, nem mesmo na crise, e nas crise</w:t>
      </w:r>
      <w:r w:rsidR="006F1BCE">
        <w:rPr>
          <w:rFonts w:ascii="Times New Roman" w:hAnsi="Times New Roman"/>
          <w:sz w:val="20"/>
          <w:szCs w:val="20"/>
        </w:rPr>
        <w:t>s</w:t>
      </w:r>
      <w:r w:rsidRPr="004116AF">
        <w:rPr>
          <w:rFonts w:ascii="Times New Roman" w:hAnsi="Times New Roman"/>
          <w:sz w:val="20"/>
          <w:szCs w:val="20"/>
        </w:rPr>
        <w:t>, normalmente, todos choram e ninguém tem razão. (...) Tem certos momentos, como diria Friedman – todos nós somos ke</w:t>
      </w:r>
      <w:r>
        <w:rPr>
          <w:rFonts w:ascii="Times New Roman" w:hAnsi="Times New Roman"/>
          <w:sz w:val="20"/>
          <w:szCs w:val="20"/>
        </w:rPr>
        <w:t>y</w:t>
      </w:r>
      <w:r w:rsidRPr="004116AF">
        <w:rPr>
          <w:rFonts w:ascii="Times New Roman" w:hAnsi="Times New Roman"/>
          <w:sz w:val="20"/>
          <w:szCs w:val="20"/>
        </w:rPr>
        <w:t>nesianos – tem que intervir mesmo, tem que entrar, tem que fazer, tem que assumir a responsabilidade. É Governo ou não é Governo? Tem que assumir. Ah! Porque vai estatizar banco! Que horror! Tem que fazer! Porque isso dá, traz confiança</w:t>
      </w:r>
      <w:r>
        <w:rPr>
          <w:rFonts w:ascii="Times New Roman" w:hAnsi="Times New Roman"/>
          <w:sz w:val="20"/>
          <w:szCs w:val="20"/>
        </w:rPr>
        <w:t xml:space="preserve"> (Conselheiro Abílio Diniz, Ata da Ata da 28ª Reunião Plenária, 06/11/08, p. 18).</w:t>
      </w:r>
    </w:p>
    <w:p w:rsidR="000F038F" w:rsidRDefault="000F038F" w:rsidP="000F038F">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Sindicalistas como Manoel José dos Santos (Contag) e Artur Henrique (CUT) bateram na tecla de que caberia ao governo proteger os investimentos do “setor produtivo”, a fim de resguardar a geração de empregos, a distribuição de renda e o fortalecimento do mercado interno. Enfatizaram que a “intervenção do Estado” não poderia se direcionar à “socialização das perdas, do setor especulativo com a sociedade em geral” (idem: 22</w:t>
      </w:r>
      <w:r w:rsidR="0078655D">
        <w:rPr>
          <w:rFonts w:ascii="Times New Roman" w:hAnsi="Times New Roman"/>
          <w:sz w:val="24"/>
          <w:szCs w:val="24"/>
        </w:rPr>
        <w:t>). Apesar de não estarem sozinha</w:t>
      </w:r>
      <w:bookmarkStart w:id="2" w:name="_GoBack"/>
      <w:bookmarkEnd w:id="2"/>
      <w:r>
        <w:rPr>
          <w:rFonts w:ascii="Times New Roman" w:hAnsi="Times New Roman"/>
          <w:sz w:val="24"/>
          <w:szCs w:val="24"/>
        </w:rPr>
        <w:t xml:space="preserve">s, as lideranças sindicais eram as que mais destacavam o papel corrosivo do “especulador financeiro” como o principal agente promotor e detonador da crise, esta interpretada como sendo expressão do “modelo neoliberal”. Em contrapartida, ressaltavam que era “preciso dar valor a quem produz, dar valor a quem efetivamente constrói o PIB do mundo”, nas palavras de Artur Henrique (idem). </w:t>
      </w:r>
    </w:p>
    <w:p w:rsidR="000F038F" w:rsidRPr="00B77729" w:rsidRDefault="000F038F" w:rsidP="000F038F">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Era lugar-comum, entre os integrantes da “esquerda para o capital” no CDES, a ideia (na verdade um pressuposto) de relação direta entre setor financeiro e neoliberalismo, opostos a “desenvolvimento” e “mundo da produção” (proprietários não financistas). Estes, em diálogos e acordos com as lideranças dos sindicatos de trabalhadores e de organizações e movimentos sociais, viabilizar-se-iam como “sustentáveis”, com vistas à “inclusão social”, dando azo a uma peculiar percepção de bipolaridade entre um suposto “capital benfazejo” em oposição a outro “espoliativo e parasitário”. Nesse diapasão, as pautas das lideranças sindicais frente à crise buscavam se coadunar, enriquecidas com um pitada distributivista (“manter o emprego, manter a renda, manter o consumo”) -  às demandas tipicamente oriundas do empresariado, como as que se evidenciam na passagem abaixo: </w:t>
      </w:r>
    </w:p>
    <w:p w:rsidR="000F038F" w:rsidRPr="00211831" w:rsidRDefault="000F038F" w:rsidP="000F038F">
      <w:pPr>
        <w:autoSpaceDE w:val="0"/>
        <w:autoSpaceDN w:val="0"/>
        <w:adjustRightInd w:val="0"/>
        <w:spacing w:line="240" w:lineRule="auto"/>
        <w:ind w:left="2268"/>
        <w:jc w:val="both"/>
        <w:rPr>
          <w:rFonts w:ascii="Times New Roman" w:hAnsi="Times New Roman"/>
          <w:sz w:val="20"/>
          <w:szCs w:val="20"/>
        </w:rPr>
      </w:pPr>
      <w:r w:rsidRPr="006358DB">
        <w:rPr>
          <w:rFonts w:ascii="Times New Roman" w:hAnsi="Times New Roman"/>
          <w:sz w:val="20"/>
          <w:szCs w:val="20"/>
        </w:rPr>
        <w:t xml:space="preserve">Para os trabalhadores, o enfrentamento dessa crise se passa pela valorização do trabalho, pela </w:t>
      </w:r>
      <w:r w:rsidRPr="000A768D">
        <w:rPr>
          <w:rFonts w:ascii="Times New Roman" w:hAnsi="Times New Roman"/>
          <w:b/>
          <w:sz w:val="20"/>
          <w:szCs w:val="20"/>
        </w:rPr>
        <w:t>ampliação do crédito</w:t>
      </w:r>
      <w:r w:rsidRPr="006358DB">
        <w:rPr>
          <w:rFonts w:ascii="Times New Roman" w:hAnsi="Times New Roman"/>
          <w:sz w:val="20"/>
          <w:szCs w:val="20"/>
        </w:rPr>
        <w:t xml:space="preserve"> e pela </w:t>
      </w:r>
      <w:r w:rsidRPr="000A768D">
        <w:rPr>
          <w:rFonts w:ascii="Times New Roman" w:hAnsi="Times New Roman"/>
          <w:b/>
          <w:sz w:val="20"/>
          <w:szCs w:val="20"/>
        </w:rPr>
        <w:t>manutenção dos investimentos</w:t>
      </w:r>
      <w:r w:rsidRPr="006358DB">
        <w:rPr>
          <w:rFonts w:ascii="Times New Roman" w:hAnsi="Times New Roman"/>
          <w:sz w:val="20"/>
          <w:szCs w:val="20"/>
        </w:rPr>
        <w:t xml:space="preserve">, mais e melhores empregos e </w:t>
      </w:r>
      <w:r w:rsidRPr="000A768D">
        <w:rPr>
          <w:rFonts w:ascii="Times New Roman" w:hAnsi="Times New Roman"/>
          <w:b/>
          <w:sz w:val="20"/>
          <w:szCs w:val="20"/>
        </w:rPr>
        <w:t>menos juros, mais crédito para quem quer produzir</w:t>
      </w:r>
      <w:r w:rsidRPr="006358DB">
        <w:rPr>
          <w:rFonts w:ascii="Times New Roman" w:hAnsi="Times New Roman"/>
          <w:sz w:val="20"/>
          <w:szCs w:val="20"/>
        </w:rPr>
        <w:t xml:space="preserve">, para quem quer gerar emprego, e menos juros na especulação ou no controle da inflação, porque ninguém quer a volta da inflação. Por isso a nossa posição é de que as ações devem ser focadas para a continuidade desse processo de crescimento econômico, com a manutenção e ampliação das políticas públicas e dos programas sociais, a exemplo do PAC, do Bolsa Família, dos Territórios da Cidadania, do </w:t>
      </w:r>
      <w:r w:rsidRPr="000A768D">
        <w:rPr>
          <w:rFonts w:ascii="Times New Roman" w:hAnsi="Times New Roman"/>
          <w:b/>
          <w:sz w:val="20"/>
          <w:szCs w:val="20"/>
        </w:rPr>
        <w:t>Programa de Desenvolvimento Produtivo</w:t>
      </w:r>
      <w:r w:rsidRPr="006358DB">
        <w:rPr>
          <w:rFonts w:ascii="Times New Roman" w:hAnsi="Times New Roman"/>
          <w:sz w:val="20"/>
          <w:szCs w:val="20"/>
        </w:rPr>
        <w:t xml:space="preserve"> e do desenvolvimento sustentável, </w:t>
      </w:r>
      <w:r w:rsidRPr="000A768D">
        <w:rPr>
          <w:rFonts w:ascii="Times New Roman" w:hAnsi="Times New Roman"/>
          <w:b/>
          <w:sz w:val="20"/>
          <w:szCs w:val="20"/>
        </w:rPr>
        <w:t>com investimento na produção</w:t>
      </w:r>
      <w:r w:rsidRPr="006358DB">
        <w:rPr>
          <w:rFonts w:ascii="Times New Roman" w:hAnsi="Times New Roman"/>
          <w:sz w:val="20"/>
          <w:szCs w:val="20"/>
        </w:rPr>
        <w:t xml:space="preserve"> e no mercado interno, assim como do papel que as centrais sindicais tiveram para garantir o aumento do salário mínimo, a renda e portanto o consumo das famílias, que fazem com que esse ciclo virtuoso permanece ativo e positivo na economia</w:t>
      </w:r>
      <w:r>
        <w:rPr>
          <w:rFonts w:ascii="Times New Roman" w:hAnsi="Times New Roman"/>
          <w:sz w:val="20"/>
          <w:szCs w:val="20"/>
        </w:rPr>
        <w:t xml:space="preserve"> (Conselheiro Artur Henrique, Ata da 28ª Reunião Plenária, 06/11/08, p. 22, grifos meus).</w:t>
      </w:r>
    </w:p>
    <w:p w:rsidR="000F038F" w:rsidRDefault="000F038F" w:rsidP="00696A38">
      <w:pPr>
        <w:autoSpaceDE w:val="0"/>
        <w:autoSpaceDN w:val="0"/>
        <w:adjustRightInd w:val="0"/>
        <w:spacing w:before="240" w:after="0" w:line="360" w:lineRule="auto"/>
        <w:jc w:val="both"/>
        <w:rPr>
          <w:rFonts w:ascii="Times New Roman" w:hAnsi="Times New Roman"/>
          <w:sz w:val="24"/>
          <w:szCs w:val="24"/>
        </w:rPr>
      </w:pPr>
      <w:r>
        <w:rPr>
          <w:rFonts w:ascii="Times New Roman" w:hAnsi="Times New Roman"/>
          <w:sz w:val="24"/>
          <w:szCs w:val="24"/>
        </w:rPr>
        <w:tab/>
        <w:t>Claro está que os conselheiros não se limitavam a monitorar ou a acompanhar a evolução da crise econômica e seus reflexos no Brasil. Detinham papéis muito mais complexos e visualizavam o contexto de ameaça de profunda instabilidade e de real desaquecimento econômico (em 2009, principalmente) para recuperar, reforçar e ampliar o conjunto de medidas que estavam sendo demandadas por seus setores bem antes da deflagração da crise. Como espécie de “vigia-noturno” (o Conselho trabalhava com pouca inserção e aparição no</w:t>
      </w:r>
      <w:r w:rsidR="006F1BCE">
        <w:rPr>
          <w:rFonts w:ascii="Times New Roman" w:hAnsi="Times New Roman"/>
          <w:sz w:val="24"/>
          <w:szCs w:val="24"/>
        </w:rPr>
        <w:t>s grandes meios de comunicação), a</w:t>
      </w:r>
      <w:r>
        <w:rPr>
          <w:rFonts w:ascii="Times New Roman" w:hAnsi="Times New Roman"/>
          <w:sz w:val="24"/>
          <w:szCs w:val="24"/>
        </w:rPr>
        <w:t>s recomendações colocadas em 2008 seriam repostas e reforçadas em 2009, cobrando das autoridades dos altos escalões ministeriais e da Presidência da República a celeridade, a execução e/ou a ampliação das medidas que, apresentadas como “sugestão”, se colocavam, naquela conjuntura, cada vez mais como roteiros e rumos inevitáveis ou inescapáveis. Para os conselheiros nada estava garantido e era preciso estar à espreita, acompanhando o movimento e, ao mesmo tempo, direcionando-o.</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Tampouco os encaminhamentos propostos eram congruentes e sem tensões. Nos debates para a construção da Agenda para um Novo Ciclo de Desenvolvimento (ANC), por exemplo, durante o ano de 2010, apareceram importantes divergências de fundo entre o segmento empresarial e as lideranças das centrais sindicais no que tange, principalmente, a quatro temáticas: redução da jornada de trabalho para 40 horas semanais,</w:t>
      </w:r>
      <w:r>
        <w:rPr>
          <w:rStyle w:val="Refdenotaderodap"/>
          <w:rFonts w:ascii="Times New Roman" w:hAnsi="Times New Roman"/>
          <w:sz w:val="24"/>
          <w:szCs w:val="24"/>
        </w:rPr>
        <w:footnoteReference w:id="541"/>
      </w:r>
      <w:r>
        <w:rPr>
          <w:rFonts w:ascii="Times New Roman" w:hAnsi="Times New Roman"/>
          <w:sz w:val="24"/>
          <w:szCs w:val="24"/>
        </w:rPr>
        <w:t xml:space="preserve"> implementação da resolução 158 da OIT,</w:t>
      </w:r>
      <w:r>
        <w:rPr>
          <w:rStyle w:val="Refdenotaderodap"/>
          <w:rFonts w:ascii="Times New Roman" w:hAnsi="Times New Roman"/>
          <w:sz w:val="24"/>
          <w:szCs w:val="24"/>
        </w:rPr>
        <w:footnoteReference w:id="542"/>
      </w:r>
      <w:r>
        <w:rPr>
          <w:rFonts w:ascii="Times New Roman" w:hAnsi="Times New Roman"/>
          <w:sz w:val="24"/>
          <w:szCs w:val="24"/>
        </w:rPr>
        <w:t xml:space="preserve"> regulamentação do imposto sobre grandes fortunas</w:t>
      </w:r>
      <w:r>
        <w:rPr>
          <w:rStyle w:val="Refdenotaderodap"/>
          <w:rFonts w:ascii="Times New Roman" w:hAnsi="Times New Roman"/>
          <w:sz w:val="24"/>
          <w:szCs w:val="24"/>
        </w:rPr>
        <w:footnoteReference w:id="543"/>
      </w:r>
      <w:r>
        <w:rPr>
          <w:rFonts w:ascii="Times New Roman" w:hAnsi="Times New Roman"/>
          <w:sz w:val="24"/>
          <w:szCs w:val="24"/>
        </w:rPr>
        <w:t xml:space="preserve"> e desoneração da folha de pagamento.</w:t>
      </w:r>
      <w:r>
        <w:rPr>
          <w:rStyle w:val="Refdenotaderodap"/>
          <w:rFonts w:ascii="Times New Roman" w:hAnsi="Times New Roman"/>
          <w:sz w:val="24"/>
          <w:szCs w:val="24"/>
        </w:rPr>
        <w:footnoteReference w:id="544"/>
      </w:r>
      <w:r>
        <w:rPr>
          <w:rFonts w:ascii="Times New Roman" w:hAnsi="Times New Roman"/>
          <w:sz w:val="24"/>
          <w:szCs w:val="24"/>
        </w:rPr>
        <w:t xml:space="preserve"> Um sumário acompanhamento da evolução desses temas no primeiro governo de Dilma Rousseff demonstra que apenas a última proposta (empresarial) foi implementada, aprimorada e ampliada.</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Importa-nos destacar que no Conselho, especialmente a partir da crise econômica internacional em </w:t>
      </w:r>
      <w:r w:rsidRPr="00C7733A">
        <w:rPr>
          <w:rFonts w:ascii="Times New Roman" w:hAnsi="Times New Roman"/>
          <w:sz w:val="24"/>
          <w:szCs w:val="24"/>
        </w:rPr>
        <w:t>2008</w:t>
      </w:r>
      <w:r w:rsidRPr="00C7733A">
        <w:rPr>
          <w:rFonts w:ascii="Times New Roman" w:hAnsi="Times New Roman"/>
          <w:i/>
          <w:sz w:val="24"/>
          <w:szCs w:val="24"/>
        </w:rPr>
        <w:t xml:space="preserve">, </w:t>
      </w:r>
      <w:r w:rsidRPr="00842938">
        <w:rPr>
          <w:rFonts w:ascii="Times New Roman" w:hAnsi="Times New Roman"/>
          <w:i/>
          <w:sz w:val="24"/>
          <w:szCs w:val="24"/>
        </w:rPr>
        <w:t>predominavam as demandas empresariais que marcavam a pauta empresarial anterior</w:t>
      </w:r>
      <w:r>
        <w:rPr>
          <w:rFonts w:ascii="Times New Roman" w:hAnsi="Times New Roman"/>
          <w:i/>
          <w:sz w:val="24"/>
          <w:szCs w:val="24"/>
        </w:rPr>
        <w:t xml:space="preserve"> e que </w:t>
      </w:r>
      <w:r w:rsidRPr="00C7733A">
        <w:rPr>
          <w:rFonts w:ascii="Times New Roman" w:hAnsi="Times New Roman"/>
          <w:i/>
          <w:sz w:val="24"/>
          <w:szCs w:val="24"/>
        </w:rPr>
        <w:t>se exponenciaram a partir de intensa</w:t>
      </w:r>
      <w:r>
        <w:rPr>
          <w:rFonts w:ascii="Times New Roman" w:hAnsi="Times New Roman"/>
          <w:i/>
          <w:sz w:val="24"/>
          <w:szCs w:val="24"/>
        </w:rPr>
        <w:t xml:space="preserve">, ampliada e exigente </w:t>
      </w:r>
      <w:r w:rsidRPr="00C7733A">
        <w:rPr>
          <w:rFonts w:ascii="Times New Roman" w:hAnsi="Times New Roman"/>
          <w:i/>
          <w:sz w:val="24"/>
          <w:szCs w:val="24"/>
        </w:rPr>
        <w:t>vocalização e recorrente presença nos documentos internos do CDES sobre a crise</w:t>
      </w:r>
      <w:r>
        <w:rPr>
          <w:rFonts w:ascii="Times New Roman" w:hAnsi="Times New Roman"/>
          <w:sz w:val="24"/>
          <w:szCs w:val="24"/>
        </w:rPr>
        <w:t xml:space="preserve">. Não seria o caso – prolixo e improdutivo – de esmiuçar a gama de reivindicações, demandas, recomendações, enfim, presente em cada documento produzido pelo Conselho na administração (diagnóstico, prevenção e encaminhamentos) da crise. </w:t>
      </w:r>
    </w:p>
    <w:p w:rsidR="000F038F" w:rsidRDefault="006F1BCE"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Até aqui priorizamos os debates realizados n</w:t>
      </w:r>
      <w:r w:rsidR="000F038F">
        <w:rPr>
          <w:rFonts w:ascii="Times New Roman" w:hAnsi="Times New Roman"/>
          <w:sz w:val="24"/>
          <w:szCs w:val="24"/>
        </w:rPr>
        <w:t>a 25ª e 28ª reunião plenária do CDES, ocorridos em abril e em novembro de 2008, respectivamente. A nosso ver, eles condensaram importantes discussões e respostas das altas autoridades governamentais às demandas dos empresários, focalizadas principalmente no trato das questões econômicas. Realçamos, igualmente, as propostas formuladas pelo 1º e 2º Colóquios ou Encontros de Monitoramento da Crise do CDES, ocorridos em março e em outubro de 2008, respectivamente.</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Ademais, como vimos no quadro 4.1, o GACE do CDES, com apoio da SEDES, promoveu e articulou uma série de eventos durante o ano de 2009 para o gerenciamento da crise econômica. Podemos condensar, de forma bastante esquemática no quadro abaixo, as recomendações dos conselheiros do CDES para a administração dos efeitos da crise, no plano interno:</w:t>
      </w:r>
    </w:p>
    <w:p w:rsidR="000F038F" w:rsidRPr="00A354ED" w:rsidRDefault="000F038F" w:rsidP="000F038F">
      <w:pPr>
        <w:autoSpaceDE w:val="0"/>
        <w:autoSpaceDN w:val="0"/>
        <w:adjustRightInd w:val="0"/>
        <w:spacing w:before="240"/>
        <w:ind w:firstLine="708"/>
        <w:jc w:val="center"/>
        <w:rPr>
          <w:rFonts w:ascii="Times New Roman" w:hAnsi="Times New Roman"/>
          <w:b/>
          <w:sz w:val="24"/>
          <w:szCs w:val="24"/>
        </w:rPr>
      </w:pPr>
      <w:r>
        <w:rPr>
          <w:rFonts w:ascii="Times New Roman" w:hAnsi="Times New Roman"/>
          <w:b/>
          <w:sz w:val="24"/>
          <w:szCs w:val="24"/>
        </w:rPr>
        <w:t>Quadro 4.3 – Eventos promovidos pelo CDES em 2009 para o debate da crise econômica</w:t>
      </w:r>
    </w:p>
    <w:tbl>
      <w:tblPr>
        <w:tblW w:w="4877"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661"/>
        <w:gridCol w:w="890"/>
        <w:gridCol w:w="6508"/>
      </w:tblGrid>
      <w:tr w:rsidR="000F038F" w:rsidRPr="008211FD" w:rsidTr="00696A38">
        <w:tc>
          <w:tcPr>
            <w:tcW w:w="917" w:type="pct"/>
            <w:tcBorders>
              <w:top w:val="single" w:sz="8" w:space="0" w:color="4F81BD"/>
              <w:left w:val="single" w:sz="8" w:space="0" w:color="4F81BD"/>
              <w:bottom w:val="single" w:sz="18" w:space="0" w:color="4F81BD"/>
              <w:right w:val="single" w:sz="8" w:space="0" w:color="4F81BD"/>
            </w:tcBorders>
            <w:noWrap/>
          </w:tcPr>
          <w:p w:rsidR="000F038F" w:rsidRPr="008211FD" w:rsidRDefault="000F038F" w:rsidP="00EA1CE3">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 xml:space="preserve">Eventos </w:t>
            </w:r>
          </w:p>
        </w:tc>
        <w:tc>
          <w:tcPr>
            <w:tcW w:w="491" w:type="pct"/>
            <w:tcBorders>
              <w:top w:val="single" w:sz="8" w:space="0" w:color="4F81BD"/>
              <w:left w:val="single" w:sz="8" w:space="0" w:color="4F81BD"/>
              <w:bottom w:val="single" w:sz="18" w:space="0" w:color="4F81BD"/>
              <w:right w:val="single" w:sz="8" w:space="0" w:color="4F81BD"/>
            </w:tcBorders>
          </w:tcPr>
          <w:p w:rsidR="000F038F" w:rsidRPr="008211FD" w:rsidRDefault="000F038F" w:rsidP="00EA1CE3">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Data</w:t>
            </w:r>
          </w:p>
        </w:tc>
        <w:tc>
          <w:tcPr>
            <w:tcW w:w="3591" w:type="pct"/>
            <w:tcBorders>
              <w:top w:val="single" w:sz="8" w:space="0" w:color="4F81BD"/>
              <w:left w:val="single" w:sz="8" w:space="0" w:color="4F81BD"/>
              <w:bottom w:val="single" w:sz="18" w:space="0" w:color="4F81BD"/>
              <w:right w:val="single" w:sz="8" w:space="0" w:color="4F81BD"/>
            </w:tcBorders>
          </w:tcPr>
          <w:p w:rsidR="000F038F" w:rsidRPr="008211FD" w:rsidRDefault="000F038F" w:rsidP="00EA1CE3">
            <w:pPr>
              <w:spacing w:after="0" w:line="240" w:lineRule="auto"/>
              <w:rPr>
                <w:rFonts w:ascii="Times New Roman" w:eastAsia="Times New Roman" w:hAnsi="Times New Roman"/>
                <w:b/>
                <w:bCs/>
                <w:sz w:val="20"/>
                <w:szCs w:val="20"/>
              </w:rPr>
            </w:pPr>
            <w:r>
              <w:rPr>
                <w:rFonts w:ascii="Times New Roman" w:eastAsia="Times New Roman" w:hAnsi="Times New Roman"/>
                <w:b/>
                <w:bCs/>
                <w:sz w:val="20"/>
                <w:szCs w:val="20"/>
              </w:rPr>
              <w:t>Recomendações dos conselheiros</w:t>
            </w:r>
          </w:p>
        </w:tc>
      </w:tr>
      <w:tr w:rsidR="000F038F" w:rsidRPr="008211FD" w:rsidTr="00696A38">
        <w:tc>
          <w:tcPr>
            <w:tcW w:w="917"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6B6D54" w:rsidRDefault="000F038F" w:rsidP="00EA1CE3">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3º Encontro de Monitoramento da Crise</w:t>
            </w:r>
            <w:r>
              <w:rPr>
                <w:rStyle w:val="Refdenotaderodap"/>
                <w:rFonts w:ascii="Times New Roman" w:eastAsia="Times New Roman" w:hAnsi="Times New Roman"/>
                <w:bCs/>
                <w:sz w:val="20"/>
                <w:szCs w:val="20"/>
              </w:rPr>
              <w:footnoteReference w:id="545"/>
            </w:r>
          </w:p>
        </w:tc>
        <w:tc>
          <w:tcPr>
            <w:tcW w:w="491"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center"/>
              <w:rPr>
                <w:rFonts w:ascii="Times New Roman" w:eastAsia="Times New Roman" w:hAnsi="Times New Roman"/>
                <w:sz w:val="20"/>
                <w:szCs w:val="20"/>
              </w:rPr>
            </w:pPr>
            <w:r w:rsidRPr="008211FD">
              <w:rPr>
                <w:rFonts w:ascii="Times New Roman" w:hAnsi="Times New Roman"/>
                <w:sz w:val="20"/>
                <w:szCs w:val="20"/>
              </w:rPr>
              <w:t>22</w:t>
            </w:r>
            <w:r>
              <w:rPr>
                <w:rFonts w:ascii="Times New Roman" w:hAnsi="Times New Roman"/>
                <w:sz w:val="20"/>
                <w:szCs w:val="20"/>
              </w:rPr>
              <w:t xml:space="preserve"> de janeiro de 2009</w:t>
            </w:r>
          </w:p>
        </w:tc>
        <w:tc>
          <w:tcPr>
            <w:tcW w:w="3591"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autoSpaceDE w:val="0"/>
              <w:autoSpaceDN w:val="0"/>
              <w:adjustRightInd w:val="0"/>
              <w:spacing w:after="0" w:line="240" w:lineRule="auto"/>
              <w:rPr>
                <w:rFonts w:ascii="Times New Roman" w:hAnsi="Times New Roman"/>
                <w:sz w:val="20"/>
                <w:szCs w:val="20"/>
              </w:rPr>
            </w:pPr>
            <w:r w:rsidRPr="00A12C41">
              <w:rPr>
                <w:rFonts w:ascii="Times New Roman" w:hAnsi="Times New Roman"/>
                <w:sz w:val="20"/>
                <w:szCs w:val="20"/>
              </w:rPr>
              <w:t>Incentivos às exportações; ampliação de crédito;</w:t>
            </w:r>
            <w:r w:rsidRPr="00A12C41">
              <w:rPr>
                <w:rStyle w:val="Refdenotaderodap"/>
                <w:rFonts w:ascii="Times New Roman" w:hAnsi="Times New Roman"/>
                <w:sz w:val="20"/>
                <w:szCs w:val="20"/>
              </w:rPr>
              <w:footnoteReference w:id="546"/>
            </w:r>
            <w:r w:rsidRPr="00A12C41">
              <w:rPr>
                <w:rFonts w:ascii="Times New Roman" w:hAnsi="Times New Roman"/>
                <w:sz w:val="20"/>
                <w:szCs w:val="20"/>
              </w:rPr>
              <w:t xml:space="preserve">  desoneração de impostos que incidem sobre o setor produtivo; estabilização do câmbio; manutenção dos investimentos públicos (PAC, PDP e Programas Sociais); Proteção do emprego; fortalecimento do mercado interno (geração de emprego e renda, valorização do salário mínimo, transferência de renda e apoio à MPEs; </w:t>
            </w:r>
            <w:r w:rsidRPr="00A12C41">
              <w:rPr>
                <w:rFonts w:ascii="Times New Roman" w:eastAsiaTheme="minorHAnsi" w:hAnsi="Times New Roman"/>
                <w:sz w:val="20"/>
                <w:szCs w:val="20"/>
              </w:rPr>
              <w:t>Busca de soluções ágeis para os créditos de exportação relativos ao PIS, COFINS e IPI, como oportunidade para o enfrentamento da escassez de recursos para financiamento da produção.</w:t>
            </w:r>
            <w:r w:rsidRPr="00A12C41">
              <w:rPr>
                <w:rFonts w:ascii="Times New Roman" w:hAnsi="Times New Roman"/>
                <w:sz w:val="20"/>
                <w:szCs w:val="20"/>
              </w:rPr>
              <w:t xml:space="preserve"> Firme</w:t>
            </w:r>
            <w:r>
              <w:rPr>
                <w:rFonts w:ascii="Times New Roman" w:hAnsi="Times New Roman"/>
                <w:sz w:val="20"/>
                <w:szCs w:val="20"/>
              </w:rPr>
              <w:t xml:space="preserve"> e ágil redução da taxa básica de juros, diminuindo o custo do crédito e criar expectativa de investimento; retomada das reuniões mensais do COPOM; Aprimoramento da governança do CMN; Necessidade imperiosa de redução dos spreads bancários; </w:t>
            </w:r>
          </w:p>
        </w:tc>
      </w:tr>
      <w:tr w:rsidR="000F038F" w:rsidRPr="008211FD" w:rsidTr="00696A38">
        <w:tc>
          <w:tcPr>
            <w:tcW w:w="917" w:type="pct"/>
            <w:tcBorders>
              <w:top w:val="single" w:sz="8" w:space="0" w:color="4F81BD"/>
              <w:left w:val="single" w:sz="8" w:space="0" w:color="4F81BD"/>
              <w:bottom w:val="single" w:sz="8" w:space="0" w:color="4F81BD"/>
              <w:right w:val="single" w:sz="8" w:space="0" w:color="4F81BD"/>
            </w:tcBorders>
            <w:noWrap/>
          </w:tcPr>
          <w:p w:rsidR="000F038F" w:rsidRPr="006B6D54" w:rsidRDefault="000F038F" w:rsidP="00EA1CE3">
            <w:pPr>
              <w:spacing w:after="0" w:line="240" w:lineRule="auto"/>
              <w:rPr>
                <w:rFonts w:ascii="Times New Roman" w:eastAsia="Times New Roman" w:hAnsi="Times New Roman"/>
                <w:bCs/>
                <w:sz w:val="20"/>
                <w:szCs w:val="20"/>
              </w:rPr>
            </w:pPr>
            <w:r w:rsidRPr="006B6D54">
              <w:rPr>
                <w:rFonts w:ascii="Times New Roman" w:eastAsia="Times New Roman" w:hAnsi="Times New Roman"/>
                <w:bCs/>
                <w:sz w:val="20"/>
                <w:szCs w:val="20"/>
              </w:rPr>
              <w:t>4º Encontro de Monitoramento da Crise</w:t>
            </w:r>
            <w:r>
              <w:rPr>
                <w:rStyle w:val="Refdenotaderodap"/>
                <w:rFonts w:ascii="Times New Roman" w:eastAsia="Times New Roman" w:hAnsi="Times New Roman"/>
                <w:bCs/>
                <w:sz w:val="20"/>
                <w:szCs w:val="20"/>
              </w:rPr>
              <w:footnoteReference w:id="547"/>
            </w:r>
          </w:p>
        </w:tc>
        <w:tc>
          <w:tcPr>
            <w:tcW w:w="491" w:type="pct"/>
            <w:tcBorders>
              <w:top w:val="single" w:sz="8" w:space="0" w:color="4F81BD"/>
              <w:left w:val="single" w:sz="8" w:space="0" w:color="4F81BD"/>
              <w:bottom w:val="single" w:sz="8" w:space="0" w:color="4F81BD"/>
              <w:right w:val="single" w:sz="8" w:space="0" w:color="4F81BD"/>
            </w:tcBorders>
          </w:tcPr>
          <w:p w:rsidR="000F038F" w:rsidRPr="008211FD" w:rsidRDefault="00696A38" w:rsidP="00EA1CE3">
            <w:pPr>
              <w:spacing w:after="0" w:line="240" w:lineRule="auto"/>
              <w:jc w:val="center"/>
              <w:rPr>
                <w:rFonts w:ascii="Times New Roman" w:hAnsi="Times New Roman"/>
                <w:sz w:val="20"/>
                <w:szCs w:val="20"/>
              </w:rPr>
            </w:pPr>
            <w:r>
              <w:rPr>
                <w:rFonts w:ascii="Times New Roman" w:hAnsi="Times New Roman"/>
                <w:sz w:val="20"/>
                <w:szCs w:val="20"/>
              </w:rPr>
              <w:t>16 de feverei-ro de 2009</w:t>
            </w:r>
          </w:p>
        </w:tc>
        <w:tc>
          <w:tcPr>
            <w:tcW w:w="3591" w:type="pct"/>
            <w:tcBorders>
              <w:top w:val="single" w:sz="8" w:space="0" w:color="4F81BD"/>
              <w:left w:val="single" w:sz="8" w:space="0" w:color="4F81BD"/>
              <w:bottom w:val="single" w:sz="8" w:space="0" w:color="4F81BD"/>
              <w:right w:val="single" w:sz="8" w:space="0" w:color="4F81BD"/>
            </w:tcBorders>
          </w:tcPr>
          <w:p w:rsidR="000F038F" w:rsidRPr="006D6D31" w:rsidRDefault="000F038F" w:rsidP="00EA1CE3">
            <w:pPr>
              <w:spacing w:after="0" w:line="240" w:lineRule="auto"/>
              <w:rPr>
                <w:rFonts w:ascii="Times New Roman" w:hAnsi="Times New Roman"/>
                <w:sz w:val="20"/>
                <w:szCs w:val="20"/>
              </w:rPr>
            </w:pPr>
            <w:r w:rsidRPr="006D6D31">
              <w:rPr>
                <w:rFonts w:ascii="Times New Roman" w:hAnsi="Times New Roman"/>
                <w:sz w:val="20"/>
                <w:szCs w:val="20"/>
              </w:rPr>
              <w:t xml:space="preserve">Redução dos juros cobrados pelos bancos às pessoas físicas e o aumento do crédito para os setores produtivos e o consumo. Redução acelerada da taxa básica de juros e diminuição do intervalo entre as reuniões do COPOM. </w:t>
            </w:r>
            <w:r>
              <w:rPr>
                <w:rFonts w:ascii="Times New Roman" w:hAnsi="Times New Roman"/>
                <w:sz w:val="20"/>
                <w:szCs w:val="20"/>
              </w:rPr>
              <w:t>R</w:t>
            </w:r>
            <w:r w:rsidRPr="006D6D31">
              <w:rPr>
                <w:rFonts w:ascii="Times New Roman" w:hAnsi="Times New Roman"/>
                <w:sz w:val="20"/>
                <w:szCs w:val="20"/>
              </w:rPr>
              <w:t>egulação mais forte do BACEN visan</w:t>
            </w:r>
            <w:r>
              <w:rPr>
                <w:rFonts w:ascii="Times New Roman" w:hAnsi="Times New Roman"/>
                <w:sz w:val="20"/>
                <w:szCs w:val="20"/>
              </w:rPr>
              <w:t xml:space="preserve">do à redução do spread bancário. Sugestão de </w:t>
            </w:r>
            <w:r w:rsidRPr="006D6D31">
              <w:rPr>
                <w:rFonts w:ascii="Times New Roman" w:hAnsi="Times New Roman"/>
                <w:sz w:val="20"/>
                <w:szCs w:val="20"/>
              </w:rPr>
              <w:t>nova formação para</w:t>
            </w:r>
            <w:r>
              <w:rPr>
                <w:rFonts w:ascii="Times New Roman" w:hAnsi="Times New Roman"/>
                <w:sz w:val="20"/>
                <w:szCs w:val="20"/>
              </w:rPr>
              <w:t xml:space="preserve"> o </w:t>
            </w:r>
            <w:r w:rsidRPr="006D6D31">
              <w:rPr>
                <w:rFonts w:ascii="Times New Roman" w:hAnsi="Times New Roman"/>
                <w:sz w:val="20"/>
                <w:szCs w:val="20"/>
              </w:rPr>
              <w:t>CMN</w:t>
            </w:r>
            <w:r>
              <w:rPr>
                <w:rFonts w:ascii="Times New Roman" w:hAnsi="Times New Roman"/>
                <w:sz w:val="20"/>
                <w:szCs w:val="20"/>
              </w:rPr>
              <w:t>.</w:t>
            </w:r>
          </w:p>
        </w:tc>
      </w:tr>
      <w:tr w:rsidR="000F038F" w:rsidRPr="008211FD" w:rsidTr="00696A38">
        <w:tc>
          <w:tcPr>
            <w:tcW w:w="917" w:type="pct"/>
            <w:tcBorders>
              <w:top w:val="single" w:sz="8" w:space="0" w:color="4F81BD"/>
              <w:left w:val="single" w:sz="8" w:space="0" w:color="4F81BD"/>
              <w:bottom w:val="single" w:sz="8" w:space="0" w:color="4F81BD"/>
              <w:right w:val="single" w:sz="8" w:space="0" w:color="4F81BD"/>
            </w:tcBorders>
            <w:noWrap/>
          </w:tcPr>
          <w:p w:rsidR="000F038F" w:rsidRPr="003957C2" w:rsidRDefault="000F038F" w:rsidP="00EA1CE3">
            <w:pPr>
              <w:spacing w:after="0" w:line="240" w:lineRule="auto"/>
              <w:rPr>
                <w:rFonts w:ascii="Times New Roman" w:eastAsia="Times New Roman" w:hAnsi="Times New Roman"/>
                <w:bCs/>
                <w:sz w:val="20"/>
                <w:szCs w:val="20"/>
              </w:rPr>
            </w:pPr>
            <w:r w:rsidRPr="003957C2">
              <w:rPr>
                <w:rFonts w:ascii="Times New Roman" w:eastAsia="Times New Roman" w:hAnsi="Times New Roman"/>
                <w:bCs/>
                <w:sz w:val="20"/>
                <w:szCs w:val="20"/>
              </w:rPr>
              <w:t>Reunião com a Comissão de Acompanhamento da Crise Financeira do Senado</w:t>
            </w:r>
            <w:r>
              <w:rPr>
                <w:rStyle w:val="Refdenotaderodap"/>
                <w:rFonts w:ascii="Times New Roman" w:eastAsia="Times New Roman" w:hAnsi="Times New Roman"/>
                <w:bCs/>
                <w:sz w:val="20"/>
                <w:szCs w:val="20"/>
              </w:rPr>
              <w:footnoteReference w:id="548"/>
            </w:r>
          </w:p>
        </w:tc>
        <w:tc>
          <w:tcPr>
            <w:tcW w:w="491" w:type="pct"/>
            <w:tcBorders>
              <w:top w:val="single" w:sz="8" w:space="0" w:color="4F81BD"/>
              <w:left w:val="single" w:sz="8" w:space="0" w:color="4F81BD"/>
              <w:bottom w:val="single" w:sz="8" w:space="0" w:color="4F81BD"/>
              <w:right w:val="single" w:sz="8" w:space="0" w:color="4F81BD"/>
            </w:tcBorders>
          </w:tcPr>
          <w:p w:rsidR="000F038F" w:rsidRPr="008211FD" w:rsidRDefault="00696A38" w:rsidP="00EA1CE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 de março de 2009</w:t>
            </w:r>
          </w:p>
        </w:tc>
        <w:tc>
          <w:tcPr>
            <w:tcW w:w="3591" w:type="pct"/>
            <w:tcBorders>
              <w:top w:val="single" w:sz="8" w:space="0" w:color="4F81BD"/>
              <w:left w:val="single" w:sz="8" w:space="0" w:color="4F81BD"/>
              <w:bottom w:val="single" w:sz="8" w:space="0" w:color="4F81BD"/>
              <w:right w:val="single" w:sz="8" w:space="0" w:color="4F81BD"/>
            </w:tcBorders>
          </w:tcPr>
          <w:p w:rsidR="000F038F" w:rsidRDefault="000F038F" w:rsidP="00EA1CE3">
            <w:pPr>
              <w:spacing w:after="0" w:line="240" w:lineRule="auto"/>
              <w:rPr>
                <w:rFonts w:ascii="Times New Roman" w:hAnsi="Times New Roman"/>
                <w:sz w:val="20"/>
                <w:szCs w:val="20"/>
              </w:rPr>
            </w:pPr>
            <w:r>
              <w:rPr>
                <w:rFonts w:ascii="Times New Roman" w:eastAsiaTheme="minorHAnsi" w:hAnsi="Times New Roman"/>
                <w:sz w:val="20"/>
                <w:szCs w:val="20"/>
              </w:rPr>
              <w:t>“</w:t>
            </w:r>
            <w:r w:rsidRPr="003957C2">
              <w:rPr>
                <w:rFonts w:ascii="Times New Roman" w:eastAsiaTheme="minorHAnsi" w:hAnsi="Times New Roman"/>
                <w:sz w:val="20"/>
                <w:szCs w:val="20"/>
              </w:rPr>
              <w:t>Trevisan fez um breve relato das características da crise financeira internacional, sob a ótica de análise que vem sendo desenvolvida no âmbito do CDES, mostrando preocupações com a questão doaprofundamento da crise pela carência de crédito, que compromete a disponibilidade de capital de giro e que por sua vez dificulta a normalização do processo produtivo e a geração/manutenção do emprego</w:t>
            </w:r>
            <w:r>
              <w:rPr>
                <w:rFonts w:ascii="Times New Roman" w:eastAsiaTheme="minorHAnsi" w:hAnsi="Times New Roman"/>
                <w:sz w:val="20"/>
                <w:szCs w:val="20"/>
              </w:rPr>
              <w:t>”</w:t>
            </w:r>
            <w:r w:rsidRPr="003957C2">
              <w:rPr>
                <w:rFonts w:ascii="Times New Roman" w:eastAsiaTheme="minorHAnsi" w:hAnsi="Times New Roman"/>
                <w:sz w:val="20"/>
                <w:szCs w:val="20"/>
              </w:rPr>
              <w:t>.</w:t>
            </w:r>
          </w:p>
        </w:tc>
      </w:tr>
      <w:tr w:rsidR="000F038F" w:rsidRPr="008211FD" w:rsidTr="00696A38">
        <w:tc>
          <w:tcPr>
            <w:tcW w:w="917"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6B6D54" w:rsidRDefault="000F038F" w:rsidP="00EA1CE3">
            <w:pPr>
              <w:spacing w:after="0" w:line="240" w:lineRule="auto"/>
              <w:rPr>
                <w:rFonts w:ascii="Times New Roman" w:eastAsia="Times New Roman" w:hAnsi="Times New Roman"/>
                <w:bCs/>
                <w:sz w:val="20"/>
                <w:szCs w:val="20"/>
              </w:rPr>
            </w:pPr>
            <w:r w:rsidRPr="006B6D54">
              <w:rPr>
                <w:rFonts w:ascii="Times New Roman" w:eastAsia="Times New Roman" w:hAnsi="Times New Roman"/>
                <w:bCs/>
                <w:sz w:val="20"/>
                <w:szCs w:val="20"/>
              </w:rPr>
              <w:t>1ª Mesa-Redonda da Sociedade Civil Brasil – União Europeia</w:t>
            </w:r>
            <w:r>
              <w:rPr>
                <w:rStyle w:val="Refdenotaderodap"/>
                <w:rFonts w:ascii="Times New Roman" w:eastAsia="Times New Roman" w:hAnsi="Times New Roman"/>
                <w:bCs/>
                <w:sz w:val="20"/>
                <w:szCs w:val="20"/>
              </w:rPr>
              <w:footnoteReference w:id="549"/>
            </w:r>
          </w:p>
        </w:tc>
        <w:tc>
          <w:tcPr>
            <w:tcW w:w="491"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696A38" w:rsidP="00EA1CE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7 e 8 de julho de 2009</w:t>
            </w:r>
          </w:p>
        </w:tc>
        <w:tc>
          <w:tcPr>
            <w:tcW w:w="3591" w:type="pct"/>
            <w:tcBorders>
              <w:top w:val="single" w:sz="8" w:space="0" w:color="4F81BD"/>
              <w:left w:val="single" w:sz="8" w:space="0" w:color="4F81BD"/>
              <w:bottom w:val="single" w:sz="8" w:space="0" w:color="4F81BD"/>
              <w:right w:val="single" w:sz="8" w:space="0" w:color="4F81BD"/>
            </w:tcBorders>
            <w:shd w:val="clear" w:color="auto" w:fill="D3DFEE"/>
          </w:tcPr>
          <w:p w:rsidR="000F038F" w:rsidRPr="005B3F67" w:rsidRDefault="000F038F" w:rsidP="00EA1CE3">
            <w:pPr>
              <w:spacing w:after="0" w:line="240" w:lineRule="auto"/>
              <w:rPr>
                <w:rFonts w:ascii="Times New Roman" w:eastAsia="Times New Roman" w:hAnsi="Times New Roman"/>
                <w:sz w:val="20"/>
                <w:szCs w:val="20"/>
              </w:rPr>
            </w:pPr>
            <w:r>
              <w:rPr>
                <w:rFonts w:ascii="Times New Roman" w:eastAsia="Times New Roman" w:hAnsi="Times New Roman"/>
                <w:sz w:val="20"/>
                <w:szCs w:val="20"/>
              </w:rPr>
              <w:t>Investimentos em Infraestrutura (PAC); Sistema de financiamento público capaz de alavancar a política de desenvolvimento (BB, CEF e BNDES);</w:t>
            </w:r>
            <w:r>
              <w:rPr>
                <w:rStyle w:val="Refdenotaderodap"/>
                <w:rFonts w:ascii="Times New Roman" w:eastAsia="Times New Roman" w:hAnsi="Times New Roman"/>
                <w:sz w:val="20"/>
                <w:szCs w:val="20"/>
              </w:rPr>
              <w:footnoteReference w:id="550"/>
            </w:r>
            <w:r>
              <w:rPr>
                <w:rFonts w:ascii="Times New Roman" w:eastAsia="Times New Roman" w:hAnsi="Times New Roman"/>
                <w:sz w:val="20"/>
                <w:szCs w:val="20"/>
              </w:rPr>
              <w:t xml:space="preserve"> Ajustes na política de juros e </w:t>
            </w:r>
            <w:r>
              <w:rPr>
                <w:rFonts w:ascii="Times New Roman" w:eastAsia="Times New Roman" w:hAnsi="Times New Roman"/>
                <w:i/>
                <w:sz w:val="20"/>
                <w:szCs w:val="20"/>
              </w:rPr>
              <w:t xml:space="preserve">spreads </w:t>
            </w:r>
            <w:r>
              <w:rPr>
                <w:rFonts w:ascii="Times New Roman" w:eastAsia="Times New Roman" w:hAnsi="Times New Roman"/>
                <w:sz w:val="20"/>
                <w:szCs w:val="20"/>
              </w:rPr>
              <w:t>de intermediação, eliminação de barreiras ao crédito pelas MPEs; Existência de empresas públicas fortes, como a Petrobrás; Sistema de proteção social reforçado e ampliado.</w:t>
            </w:r>
          </w:p>
        </w:tc>
      </w:tr>
    </w:tbl>
    <w:p w:rsidR="000F038F" w:rsidRPr="00672A45" w:rsidRDefault="00672A45" w:rsidP="000F038F">
      <w:pPr>
        <w:autoSpaceDE w:val="0"/>
        <w:autoSpaceDN w:val="0"/>
        <w:adjustRightInd w:val="0"/>
        <w:spacing w:after="0" w:line="240" w:lineRule="auto"/>
        <w:rPr>
          <w:rFonts w:ascii="Times New Roman" w:eastAsiaTheme="minorHAnsi" w:hAnsi="Times New Roman"/>
          <w:sz w:val="18"/>
          <w:szCs w:val="18"/>
        </w:rPr>
      </w:pPr>
      <w:r>
        <w:rPr>
          <w:rFonts w:ascii="Times New Roman" w:eastAsiaTheme="minorHAnsi" w:hAnsi="Times New Roman"/>
          <w:b/>
          <w:sz w:val="18"/>
          <w:szCs w:val="18"/>
        </w:rPr>
        <w:t>Elaboração própria.</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 rigor, percebe-se de pronto a continuidade de algumas reivindicações que foram alvo de muitas controvérsias e insatisfações nas plenárias do CDES no primeiro governo Lula da Silva: a redução da taxa básica de juros, o imbróglio acerca da ampliação de número de membros no CMN e a redução dos </w:t>
      </w:r>
      <w:r>
        <w:rPr>
          <w:rFonts w:ascii="Times New Roman" w:hAnsi="Times New Roman"/>
          <w:i/>
          <w:sz w:val="24"/>
          <w:szCs w:val="24"/>
        </w:rPr>
        <w:t xml:space="preserve">spreads </w:t>
      </w:r>
      <w:r>
        <w:rPr>
          <w:rFonts w:ascii="Times New Roman" w:hAnsi="Times New Roman"/>
          <w:sz w:val="24"/>
          <w:szCs w:val="24"/>
        </w:rPr>
        <w:t xml:space="preserve">bancários, todas devidamente analisadas no capítulo 3. Percebe-se que os conselheiros aproveitavam o contexto de crise e de atendimento (parcial, mas substantivo) às suas demandas para incluir pautas advindas – e não atendidas – do período palocciano. </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 demanda por reuniões mensais do COPOM foi outra pauta que apareceu no contexto de crise cuja alegação era “garantir agilidade na administração da crise”</w:t>
      </w:r>
      <w:r>
        <w:rPr>
          <w:rStyle w:val="Refdenotaderodap"/>
          <w:rFonts w:ascii="Times New Roman" w:hAnsi="Times New Roman"/>
          <w:sz w:val="24"/>
          <w:szCs w:val="24"/>
        </w:rPr>
        <w:footnoteReference w:id="551"/>
      </w:r>
      <w:r>
        <w:rPr>
          <w:rFonts w:ascii="Times New Roman" w:hAnsi="Times New Roman"/>
          <w:sz w:val="24"/>
          <w:szCs w:val="24"/>
        </w:rPr>
        <w:t xml:space="preserve"> e que </w:t>
      </w:r>
      <w:r w:rsidRPr="00BE2CC9">
        <w:rPr>
          <w:rFonts w:ascii="Times New Roman" w:hAnsi="Times New Roman"/>
          <w:i/>
          <w:sz w:val="24"/>
          <w:szCs w:val="24"/>
        </w:rPr>
        <w:t>não foi atendida</w:t>
      </w:r>
      <w:r>
        <w:rPr>
          <w:rFonts w:ascii="Times New Roman" w:hAnsi="Times New Roman"/>
          <w:sz w:val="24"/>
          <w:szCs w:val="24"/>
        </w:rPr>
        <w:t xml:space="preserve">, apesar da forte pressão empresarial, </w:t>
      </w:r>
      <w:r w:rsidRPr="00BE2CC9">
        <w:rPr>
          <w:rFonts w:ascii="Times New Roman" w:hAnsi="Times New Roman"/>
          <w:i/>
          <w:sz w:val="24"/>
          <w:szCs w:val="24"/>
        </w:rPr>
        <w:t>o mesmo ocorrendo sobre a demanda de ampliação da composição do CMN</w:t>
      </w:r>
      <w:r>
        <w:rPr>
          <w:rFonts w:ascii="Times New Roman" w:hAnsi="Times New Roman"/>
          <w:sz w:val="24"/>
          <w:szCs w:val="24"/>
        </w:rPr>
        <w:t>. Por outro lado, constatou-se a diminuição na taxa básica de juros entre 2009 e 2010: a Selic caiu de 12,66 p.p. para 8,65 p.p., e assim permaneceu entre 12.03.2009 (140ª reunião do Copom) e 17.03.2010 (149ª reunião do Copom), quando voltou a subir.</w:t>
      </w:r>
      <w:r>
        <w:rPr>
          <w:rStyle w:val="Refdenotaderodap"/>
          <w:rFonts w:ascii="Times New Roman" w:hAnsi="Times New Roman"/>
          <w:sz w:val="24"/>
          <w:szCs w:val="24"/>
        </w:rPr>
        <w:footnoteReference w:id="552"/>
      </w:r>
      <w:r>
        <w:rPr>
          <w:rFonts w:ascii="Times New Roman" w:hAnsi="Times New Roman"/>
          <w:sz w:val="24"/>
          <w:szCs w:val="24"/>
        </w:rPr>
        <w:t xml:space="preserve"> Ou seja, conforme as recomendações dos eventos, mesmo em queda, a taxa de juros era considerada alta pelo empresariado. Já os </w:t>
      </w:r>
      <w:r>
        <w:rPr>
          <w:rFonts w:ascii="Times New Roman" w:hAnsi="Times New Roman"/>
          <w:i/>
          <w:sz w:val="24"/>
          <w:szCs w:val="24"/>
        </w:rPr>
        <w:t>spreads</w:t>
      </w:r>
      <w:r>
        <w:rPr>
          <w:rFonts w:ascii="Times New Roman" w:hAnsi="Times New Roman"/>
          <w:sz w:val="24"/>
          <w:szCs w:val="24"/>
        </w:rPr>
        <w:t xml:space="preserve"> bancários havia</w:t>
      </w:r>
      <w:r w:rsidR="00B23D60">
        <w:rPr>
          <w:rFonts w:ascii="Times New Roman" w:hAnsi="Times New Roman"/>
          <w:sz w:val="24"/>
          <w:szCs w:val="24"/>
        </w:rPr>
        <w:t>m</w:t>
      </w:r>
      <w:r>
        <w:rPr>
          <w:rFonts w:ascii="Times New Roman" w:hAnsi="Times New Roman"/>
          <w:sz w:val="24"/>
          <w:szCs w:val="24"/>
        </w:rPr>
        <w:t xml:space="preserve"> aumentado substancialmente devido </w:t>
      </w:r>
      <w:r w:rsidR="00B23D60">
        <w:rPr>
          <w:rFonts w:ascii="Times New Roman" w:hAnsi="Times New Roman"/>
          <w:sz w:val="24"/>
          <w:szCs w:val="24"/>
        </w:rPr>
        <w:t>à</w:t>
      </w:r>
      <w:r>
        <w:rPr>
          <w:rFonts w:ascii="Times New Roman" w:hAnsi="Times New Roman"/>
          <w:sz w:val="24"/>
          <w:szCs w:val="24"/>
        </w:rPr>
        <w:t xml:space="preserve"> falta de crédito no contexto de crise econômica, mas, a partir de setembro de 2009, havia</w:t>
      </w:r>
      <w:r w:rsidR="00B23D60">
        <w:rPr>
          <w:rFonts w:ascii="Times New Roman" w:hAnsi="Times New Roman"/>
          <w:sz w:val="24"/>
          <w:szCs w:val="24"/>
        </w:rPr>
        <w:t>m</w:t>
      </w:r>
      <w:r>
        <w:rPr>
          <w:rFonts w:ascii="Times New Roman" w:hAnsi="Times New Roman"/>
          <w:sz w:val="24"/>
          <w:szCs w:val="24"/>
        </w:rPr>
        <w:t xml:space="preserve"> retomado a tendência de queda, estabilizando-se em patamares do período anterior à crise, mantendo-se na faixa de 32%, considerada bastante elevada pelos tomadores capitalistas.</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Com exceção das demandas pela ampliação do CMN, pela retomada das reuniões mensais do COPOM (que se realizam a cada 45 dias) e talvez, pelo não atendimento satisfatório na queda dos </w:t>
      </w:r>
      <w:r>
        <w:rPr>
          <w:rFonts w:ascii="Times New Roman" w:hAnsi="Times New Roman"/>
          <w:i/>
          <w:sz w:val="24"/>
          <w:szCs w:val="24"/>
        </w:rPr>
        <w:t xml:space="preserve">spreads </w:t>
      </w:r>
      <w:r>
        <w:rPr>
          <w:rFonts w:ascii="Times New Roman" w:hAnsi="Times New Roman"/>
          <w:sz w:val="24"/>
          <w:szCs w:val="24"/>
        </w:rPr>
        <w:t xml:space="preserve">bancários e da taxa de juros, na dimensão e velocidade requerida pelo grande capital, grande parte das demais demandas constantes no quadro 4.3 acima foram atendidas. </w:t>
      </w:r>
    </w:p>
    <w:p w:rsidR="000F038F" w:rsidRDefault="000F038F" w:rsidP="000F038F">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Na </w:t>
      </w:r>
      <w:r w:rsidRPr="00597181">
        <w:rPr>
          <w:rFonts w:ascii="Times New Roman" w:hAnsi="Times New Roman"/>
          <w:i/>
          <w:sz w:val="24"/>
          <w:szCs w:val="24"/>
        </w:rPr>
        <w:t>31ª reunião plenária</w:t>
      </w:r>
      <w:r>
        <w:rPr>
          <w:rFonts w:ascii="Times New Roman" w:hAnsi="Times New Roman"/>
          <w:sz w:val="24"/>
          <w:szCs w:val="24"/>
        </w:rPr>
        <w:t xml:space="preserve"> do CDES, em agosto de 2009, o conselheiro Antoninho Trevisan, discursando diretamente ao presidente Lula da Silva, na condição de membro do Comitê Gestor, assinalava a satisfação dos conselheiros quanto ao atendimento, pelo governo, de algumas medidas consideradas essenciais para o combate à crise, um ano depois da entrega da moção ao presidente:</w:t>
      </w:r>
    </w:p>
    <w:p w:rsidR="000F038F" w:rsidRPr="00CA63C8" w:rsidRDefault="000F038F" w:rsidP="000F038F">
      <w:pPr>
        <w:autoSpaceDE w:val="0"/>
        <w:autoSpaceDN w:val="0"/>
        <w:adjustRightInd w:val="0"/>
        <w:spacing w:after="0" w:line="240" w:lineRule="auto"/>
        <w:ind w:left="2268"/>
        <w:jc w:val="both"/>
        <w:rPr>
          <w:rFonts w:ascii="Times New Roman" w:hAnsi="Times New Roman"/>
          <w:sz w:val="20"/>
          <w:szCs w:val="20"/>
        </w:rPr>
      </w:pPr>
      <w:r w:rsidRPr="00CA63C8">
        <w:rPr>
          <w:rFonts w:ascii="Times New Roman" w:eastAsiaTheme="minorHAnsi" w:hAnsi="Times New Roman"/>
          <w:sz w:val="20"/>
          <w:szCs w:val="20"/>
        </w:rPr>
        <w:t xml:space="preserve">(...) eu quero enfatizar que o </w:t>
      </w:r>
      <w:r w:rsidRPr="00597181">
        <w:rPr>
          <w:rFonts w:ascii="Times New Roman" w:eastAsiaTheme="minorHAnsi" w:hAnsi="Times New Roman"/>
          <w:b/>
          <w:sz w:val="20"/>
          <w:szCs w:val="20"/>
        </w:rPr>
        <w:t>momento histórico desse Conselho</w:t>
      </w:r>
      <w:r w:rsidRPr="00CA63C8">
        <w:rPr>
          <w:rFonts w:ascii="Times New Roman" w:eastAsiaTheme="minorHAnsi" w:hAnsi="Times New Roman"/>
          <w:sz w:val="20"/>
          <w:szCs w:val="20"/>
        </w:rPr>
        <w:t xml:space="preserve"> foi quando no dia 14 de outubro de 2008, o Comitê Gestor, de posse desse documento aprovado neste plenário, se reuniu com o Presidente Lula para apresentar a ele as conclusões deste Conselho acerca da crise que estava se instalando e já se instalara nos Estados Unidos e na Europa e na Ásia. Aí apresentamos ao Presidente quatro pontos: </w:t>
      </w:r>
      <w:r w:rsidRPr="00597181">
        <w:rPr>
          <w:rFonts w:ascii="Times New Roman" w:eastAsiaTheme="minorHAnsi" w:hAnsi="Times New Roman"/>
          <w:b/>
          <w:sz w:val="20"/>
          <w:szCs w:val="20"/>
        </w:rPr>
        <w:t>juros</w:t>
      </w:r>
      <w:r w:rsidRPr="00CA63C8">
        <w:rPr>
          <w:rFonts w:ascii="Times New Roman" w:eastAsiaTheme="minorHAnsi" w:hAnsi="Times New Roman"/>
          <w:sz w:val="20"/>
          <w:szCs w:val="20"/>
        </w:rPr>
        <w:t xml:space="preserve"> - deveriam ser compatíveis com a rentabilidade do setor produtivo. A gente descobre que se os juros cobrados no setor produtivo são maiores do que a rentabilidade do setor produtivo ele só tem um resultado, a empresa vai quebrar, como 2 e 2 são 4. </w:t>
      </w:r>
      <w:r w:rsidRPr="00597181">
        <w:rPr>
          <w:rFonts w:ascii="Times New Roman" w:eastAsiaTheme="minorHAnsi" w:hAnsi="Times New Roman"/>
          <w:b/>
          <w:sz w:val="20"/>
          <w:szCs w:val="20"/>
        </w:rPr>
        <w:t>E o Presidente Lula incorporou essa visão</w:t>
      </w:r>
      <w:r w:rsidRPr="00CA63C8">
        <w:rPr>
          <w:rFonts w:ascii="Times New Roman" w:eastAsiaTheme="minorHAnsi" w:hAnsi="Times New Roman"/>
          <w:sz w:val="20"/>
          <w:szCs w:val="20"/>
        </w:rPr>
        <w:t>.</w:t>
      </w:r>
      <w:r>
        <w:rPr>
          <w:rStyle w:val="Refdenotaderodap"/>
          <w:rFonts w:ascii="Times New Roman" w:eastAsiaTheme="minorHAnsi" w:hAnsi="Times New Roman"/>
          <w:sz w:val="20"/>
          <w:szCs w:val="20"/>
        </w:rPr>
        <w:footnoteReference w:id="553"/>
      </w:r>
      <w:r w:rsidRPr="00CA63C8">
        <w:rPr>
          <w:rFonts w:ascii="Times New Roman" w:eastAsiaTheme="minorHAnsi" w:hAnsi="Times New Roman"/>
          <w:sz w:val="20"/>
          <w:szCs w:val="20"/>
        </w:rPr>
        <w:t xml:space="preserve"> Segunda visão, </w:t>
      </w:r>
      <w:r w:rsidRPr="00597181">
        <w:rPr>
          <w:rFonts w:ascii="Times New Roman" w:eastAsiaTheme="minorHAnsi" w:hAnsi="Times New Roman"/>
          <w:b/>
          <w:sz w:val="20"/>
          <w:szCs w:val="20"/>
        </w:rPr>
        <w:t>o crédito</w:t>
      </w:r>
      <w:r w:rsidRPr="00CA63C8">
        <w:rPr>
          <w:rFonts w:ascii="Times New Roman" w:eastAsiaTheme="minorHAnsi" w:hAnsi="Times New Roman"/>
          <w:sz w:val="20"/>
          <w:szCs w:val="20"/>
        </w:rPr>
        <w:t xml:space="preserve">. O Conselho de Desenvolvimento afirmou para o Presidente que era a hora de manter a economia aquecida e o Presidente decidiu não aderir a crise, como muita gente fez. Como é que você faz a adesão a crise? Fácil. Suspende o crédito e aumenta os juros e suspende os investimentos. Essa é a maneira de aderir, não é Ministro? É a maneira de aderir à crise e o Presidente Lula decidiu e falou: “à crise, o Brasil não vai aderir”. Teve país que aderiu e que estão aí vivendo a crise, não é Ministro Velloso que nos assessorou enormemente nesse documento. O terceiro ponto, </w:t>
      </w:r>
      <w:r w:rsidRPr="00597181">
        <w:rPr>
          <w:rFonts w:ascii="Times New Roman" w:eastAsiaTheme="minorHAnsi" w:hAnsi="Times New Roman"/>
          <w:b/>
          <w:sz w:val="20"/>
          <w:szCs w:val="20"/>
        </w:rPr>
        <w:t>o câmbio</w:t>
      </w:r>
      <w:r w:rsidRPr="00CA63C8">
        <w:rPr>
          <w:rFonts w:ascii="Times New Roman" w:eastAsiaTheme="minorHAnsi" w:hAnsi="Times New Roman"/>
          <w:sz w:val="20"/>
          <w:szCs w:val="20"/>
        </w:rPr>
        <w:t xml:space="preserve">. O câmbio não podia ficar solto e o </w:t>
      </w:r>
      <w:r w:rsidRPr="00597181">
        <w:rPr>
          <w:rFonts w:ascii="Times New Roman" w:eastAsiaTheme="minorHAnsi" w:hAnsi="Times New Roman"/>
          <w:b/>
          <w:sz w:val="20"/>
          <w:szCs w:val="20"/>
        </w:rPr>
        <w:t>Presidente também incorporou essa visão</w:t>
      </w:r>
      <w:r w:rsidRPr="00CA63C8">
        <w:rPr>
          <w:rFonts w:ascii="Times New Roman" w:eastAsiaTheme="minorHAnsi" w:hAnsi="Times New Roman"/>
          <w:sz w:val="20"/>
          <w:szCs w:val="20"/>
        </w:rPr>
        <w:t xml:space="preserve">. (...). E, finalmente, </w:t>
      </w:r>
      <w:r w:rsidRPr="00597181">
        <w:rPr>
          <w:rFonts w:ascii="Times New Roman" w:eastAsiaTheme="minorHAnsi" w:hAnsi="Times New Roman"/>
          <w:b/>
          <w:sz w:val="20"/>
          <w:szCs w:val="20"/>
        </w:rPr>
        <w:t>a questão do emprego</w:t>
      </w:r>
      <w:r w:rsidRPr="00CA63C8">
        <w:rPr>
          <w:rFonts w:ascii="Times New Roman" w:eastAsiaTheme="minorHAnsi" w:hAnsi="Times New Roman"/>
          <w:sz w:val="20"/>
          <w:szCs w:val="20"/>
        </w:rPr>
        <w:t xml:space="preserve">. O Presidente incorporou esses quatro pontos e transformou isso em ação. E aí, então, </w:t>
      </w:r>
      <w:r w:rsidRPr="00597181">
        <w:rPr>
          <w:rFonts w:ascii="Times New Roman" w:eastAsiaTheme="minorHAnsi" w:hAnsi="Times New Roman"/>
          <w:b/>
          <w:sz w:val="20"/>
          <w:szCs w:val="20"/>
        </w:rPr>
        <w:t>vai a minha saudação aos bancos públicos brasileiros</w:t>
      </w:r>
      <w:r w:rsidRPr="00CA63C8">
        <w:rPr>
          <w:rFonts w:ascii="Times New Roman" w:eastAsiaTheme="minorHAnsi" w:hAnsi="Times New Roman"/>
          <w:sz w:val="20"/>
          <w:szCs w:val="20"/>
        </w:rPr>
        <w:t xml:space="preserve">, na pessoa do Presidente do Banco do Brasil, que seguramente deu uma aula de como é que se faz uma gestão na crise, </w:t>
      </w:r>
      <w:r w:rsidRPr="00597181">
        <w:rPr>
          <w:rFonts w:ascii="Times New Roman" w:eastAsiaTheme="minorHAnsi" w:hAnsi="Times New Roman"/>
          <w:b/>
          <w:sz w:val="20"/>
          <w:szCs w:val="20"/>
        </w:rPr>
        <w:t>graças a esse Conselho</w:t>
      </w:r>
      <w:r>
        <w:rPr>
          <w:rFonts w:ascii="Times New Roman" w:eastAsiaTheme="minorHAnsi" w:hAnsi="Times New Roman"/>
          <w:sz w:val="20"/>
          <w:szCs w:val="20"/>
        </w:rPr>
        <w:t>, Ministro (Conselheiro Antoninho Trevisan, ATA da 31ª reunião plenária, 27/08/2009, p. 8</w:t>
      </w:r>
      <w:r w:rsidR="00B23D60">
        <w:rPr>
          <w:rFonts w:ascii="Times New Roman" w:eastAsiaTheme="minorHAnsi" w:hAnsi="Times New Roman"/>
          <w:sz w:val="20"/>
          <w:szCs w:val="20"/>
        </w:rPr>
        <w:t>, grifos meus</w:t>
      </w:r>
      <w:r>
        <w:rPr>
          <w:rFonts w:ascii="Times New Roman" w:eastAsiaTheme="minorHAnsi" w:hAnsi="Times New Roman"/>
          <w:sz w:val="20"/>
          <w:szCs w:val="20"/>
        </w:rPr>
        <w:t>).</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Na </w:t>
      </w:r>
      <w:r w:rsidRPr="00437BB6">
        <w:rPr>
          <w:rFonts w:ascii="Times New Roman" w:hAnsi="Times New Roman"/>
          <w:i/>
          <w:sz w:val="24"/>
          <w:szCs w:val="24"/>
        </w:rPr>
        <w:t>32ª reunião plenária</w:t>
      </w:r>
      <w:r>
        <w:rPr>
          <w:rFonts w:ascii="Times New Roman" w:hAnsi="Times New Roman"/>
          <w:sz w:val="24"/>
          <w:szCs w:val="24"/>
        </w:rPr>
        <w:t>, de dezembro de 2009, os ministros Guido Mantega e Luciano Coutinho anunciaram mais medidas econômicas que iam ao encontro das solicitações dos empresários no Conselho, principalmente no que se refere à oferta de crédito e outros incentivos governamentais como desonerações e suspensões tributárias e criação de novas linhas de desembolsos do BNDES em prol de setores do capital:</w:t>
      </w:r>
    </w:p>
    <w:p w:rsidR="000F038F" w:rsidRDefault="000F038F" w:rsidP="000F038F">
      <w:pPr>
        <w:pStyle w:val="PargrafodaLista"/>
        <w:numPr>
          <w:ilvl w:val="0"/>
          <w:numId w:val="16"/>
        </w:numPr>
        <w:autoSpaceDE w:val="0"/>
        <w:autoSpaceDN w:val="0"/>
        <w:adjustRightInd w:val="0"/>
        <w:spacing w:after="0" w:line="360" w:lineRule="auto"/>
        <w:ind w:left="1134"/>
        <w:jc w:val="both"/>
        <w:rPr>
          <w:rFonts w:ascii="Times New Roman" w:hAnsi="Times New Roman"/>
          <w:sz w:val="24"/>
          <w:szCs w:val="24"/>
        </w:rPr>
      </w:pPr>
      <w:r w:rsidRPr="001A2C9B">
        <w:rPr>
          <w:rFonts w:ascii="Times New Roman" w:hAnsi="Times New Roman"/>
          <w:sz w:val="24"/>
          <w:szCs w:val="24"/>
        </w:rPr>
        <w:t xml:space="preserve">Para 2010-11, concessão de nova linha de crédito da União para o BNDES, </w:t>
      </w:r>
      <w:r>
        <w:rPr>
          <w:rFonts w:ascii="Times New Roman" w:hAnsi="Times New Roman"/>
          <w:sz w:val="24"/>
          <w:szCs w:val="24"/>
        </w:rPr>
        <w:t xml:space="preserve">no montante de R$ 80 bilhões, taxa de juros de longo prazo (TJLP), </w:t>
      </w:r>
      <w:r w:rsidRPr="001A2C9B">
        <w:rPr>
          <w:rFonts w:ascii="Times New Roman" w:hAnsi="Times New Roman"/>
          <w:sz w:val="24"/>
          <w:szCs w:val="24"/>
        </w:rPr>
        <w:t>para o financiamento de investimentos</w:t>
      </w:r>
      <w:r>
        <w:rPr>
          <w:rFonts w:ascii="Times New Roman" w:hAnsi="Times New Roman"/>
          <w:sz w:val="24"/>
          <w:szCs w:val="24"/>
        </w:rPr>
        <w:t xml:space="preserve"> e do desenvolvimento produtivo</w:t>
      </w:r>
      <w:r w:rsidRPr="001A2C9B">
        <w:rPr>
          <w:rFonts w:ascii="Times New Roman" w:hAnsi="Times New Roman"/>
          <w:sz w:val="24"/>
          <w:szCs w:val="24"/>
        </w:rPr>
        <w:t>. Atividades prioritárias: infra-estrutura econômica e social, bens de capital, exportações, inovação, ciência e tecnologia.</w:t>
      </w:r>
    </w:p>
    <w:p w:rsidR="000F038F" w:rsidRPr="000B330C" w:rsidRDefault="000F038F" w:rsidP="000F038F">
      <w:pPr>
        <w:pStyle w:val="PargrafodaLista"/>
        <w:numPr>
          <w:ilvl w:val="0"/>
          <w:numId w:val="16"/>
        </w:numPr>
        <w:autoSpaceDE w:val="0"/>
        <w:autoSpaceDN w:val="0"/>
        <w:adjustRightInd w:val="0"/>
        <w:spacing w:after="0" w:line="360" w:lineRule="auto"/>
        <w:ind w:left="1134"/>
        <w:jc w:val="both"/>
        <w:rPr>
          <w:rFonts w:ascii="Times New Roman" w:hAnsi="Times New Roman"/>
          <w:sz w:val="24"/>
          <w:szCs w:val="24"/>
        </w:rPr>
      </w:pPr>
      <w:r w:rsidRPr="000B330C">
        <w:rPr>
          <w:rFonts w:ascii="Times New Roman" w:hAnsi="Times New Roman"/>
          <w:sz w:val="24"/>
          <w:szCs w:val="24"/>
        </w:rPr>
        <w:t>Novo empréstimo da União para o Fundo da Marinha Mercante (FMM) no valor de R$ 15 bilhões, resultante da crescente demanda por embarcações em virtude dos investimentos em petróleo e gás.</w:t>
      </w:r>
    </w:p>
    <w:p w:rsidR="000F038F" w:rsidRDefault="000F038F" w:rsidP="000F038F">
      <w:pPr>
        <w:pStyle w:val="PargrafodaLista"/>
        <w:numPr>
          <w:ilvl w:val="0"/>
          <w:numId w:val="16"/>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Prorrogação do Programa de Sustentação dos Investimentos (PSI) o qual estabelece taxas mais baixas para aquisição de bens de capital (4,5% a.a.) por meio do BNDES FINAME (financiamento, por meio de instituições financeiras credenciadas, para aquisição de máquinas e equipamentos novos, de fabricação nacional);</w:t>
      </w:r>
      <w:r>
        <w:rPr>
          <w:rStyle w:val="Refdenotaderodap"/>
          <w:rFonts w:ascii="Times New Roman" w:hAnsi="Times New Roman"/>
          <w:sz w:val="24"/>
          <w:szCs w:val="24"/>
        </w:rPr>
        <w:footnoteReference w:id="554"/>
      </w:r>
    </w:p>
    <w:p w:rsidR="000F038F" w:rsidRDefault="000F038F" w:rsidP="000F038F">
      <w:pPr>
        <w:pStyle w:val="PargrafodaLista"/>
        <w:numPr>
          <w:ilvl w:val="0"/>
          <w:numId w:val="16"/>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Permissão para que bancos privados emitam letras financeiras (debêntures) para captar recursos no longo prazo e realizarem empréstimos também ao longo prazo a taxas menores. Aporte de R$ 10 bilhões do BNDES, no prazo de 5 anos, para “dar apoio à emissão de debêntures corporativas”.</w:t>
      </w:r>
    </w:p>
    <w:p w:rsidR="000F038F" w:rsidRDefault="000F038F" w:rsidP="000F038F">
      <w:pPr>
        <w:pStyle w:val="PargrafodaLista"/>
        <w:numPr>
          <w:ilvl w:val="0"/>
          <w:numId w:val="16"/>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Prorrogação da desoneração de vários itens na aquisição de bens de capital pela redução do IPI;</w:t>
      </w:r>
      <w:r>
        <w:rPr>
          <w:rStyle w:val="Refdenotaderodap"/>
          <w:rFonts w:ascii="Times New Roman" w:hAnsi="Times New Roman"/>
          <w:sz w:val="24"/>
          <w:szCs w:val="24"/>
        </w:rPr>
        <w:footnoteReference w:id="555"/>
      </w:r>
    </w:p>
    <w:p w:rsidR="000F038F" w:rsidRDefault="000F038F" w:rsidP="000F038F">
      <w:pPr>
        <w:pStyle w:val="PargrafodaLista"/>
        <w:numPr>
          <w:ilvl w:val="0"/>
          <w:numId w:val="16"/>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 xml:space="preserve">Suspensão de tributos para a indústria petroquímica (IPI, PIS, COFINS, II) </w:t>
      </w:r>
      <w:r w:rsidRPr="001A2C9B">
        <w:rPr>
          <w:rFonts w:ascii="Times New Roman" w:hAnsi="Times New Roman"/>
          <w:sz w:val="24"/>
          <w:szCs w:val="24"/>
        </w:rPr>
        <w:t>no</w:t>
      </w:r>
      <w:r>
        <w:rPr>
          <w:rFonts w:ascii="Times New Roman" w:hAnsi="Times New Roman"/>
          <w:sz w:val="24"/>
          <w:szCs w:val="24"/>
        </w:rPr>
        <w:t xml:space="preserve"> norte, nordeste e centro oeste;</w:t>
      </w:r>
    </w:p>
    <w:p w:rsidR="000F038F" w:rsidRPr="005248AB" w:rsidRDefault="000F038F" w:rsidP="000F038F">
      <w:pPr>
        <w:pStyle w:val="PargrafodaLista"/>
        <w:numPr>
          <w:ilvl w:val="0"/>
          <w:numId w:val="16"/>
        </w:numPr>
        <w:autoSpaceDE w:val="0"/>
        <w:autoSpaceDN w:val="0"/>
        <w:adjustRightInd w:val="0"/>
        <w:spacing w:after="0" w:line="360" w:lineRule="auto"/>
        <w:ind w:left="1134"/>
        <w:jc w:val="both"/>
        <w:rPr>
          <w:rFonts w:ascii="Times New Roman" w:hAnsi="Times New Roman"/>
          <w:sz w:val="24"/>
          <w:szCs w:val="24"/>
        </w:rPr>
      </w:pPr>
      <w:r w:rsidRPr="003D787F">
        <w:rPr>
          <w:rFonts w:ascii="Times New Roman" w:hAnsi="Times New Roman"/>
          <w:sz w:val="24"/>
          <w:szCs w:val="24"/>
        </w:rPr>
        <w:t>Ampliação do limite de crédito do Cartão BNDES de R$ 500 mil para R$ 1 milhão por banco emissor</w:t>
      </w:r>
      <w:r>
        <w:rPr>
          <w:rFonts w:ascii="Times New Roman" w:hAnsi="Times New Roman"/>
          <w:sz w:val="24"/>
          <w:szCs w:val="24"/>
        </w:rPr>
        <w:t>, ajudando sobretudo o financiamento de longo prazo e para médias e pequenas empresas (MPEs);</w:t>
      </w:r>
    </w:p>
    <w:p w:rsidR="000F038F" w:rsidRDefault="000F038F" w:rsidP="000F038F">
      <w:pPr>
        <w:pStyle w:val="PargrafodaLista"/>
        <w:numPr>
          <w:ilvl w:val="0"/>
          <w:numId w:val="16"/>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Desoneração de PIS e COFINS incidentes sobre a venda de computadores;</w:t>
      </w:r>
    </w:p>
    <w:p w:rsidR="000F038F" w:rsidRDefault="000F038F" w:rsidP="000F038F">
      <w:pPr>
        <w:pStyle w:val="PargrafodaLista"/>
        <w:numPr>
          <w:ilvl w:val="0"/>
          <w:numId w:val="16"/>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Programação de R$ 126 bilhões de desembolsos para 2010: R$ 54 bilhões para indústria e serviços, R$ 47 bilhões para infraestrutura e R$ 25 bilhões para apoio à pequena empresa e à exportação de serviços;</w:t>
      </w:r>
    </w:p>
    <w:p w:rsidR="000F038F" w:rsidRPr="009737B3" w:rsidRDefault="000F038F" w:rsidP="000F038F">
      <w:pPr>
        <w:pStyle w:val="PargrafodaLista"/>
        <w:numPr>
          <w:ilvl w:val="0"/>
          <w:numId w:val="16"/>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 xml:space="preserve">Criação de nova linha que permite o FINAME funcionar para empresas brasileiras instaladas na América Latina, África e em outros países por meio do Programa BNDES EXIM Automático: </w:t>
      </w:r>
      <w:r w:rsidRPr="00B31684">
        <w:rPr>
          <w:rFonts w:ascii="Times New Roman" w:hAnsi="Times New Roman"/>
          <w:bCs/>
          <w:sz w:val="24"/>
          <w:szCs w:val="24"/>
        </w:rPr>
        <w:t>apoiar a comercialização externa de máquinas, equipamentos e serviços brasileiros por meio da abertura de linhas de crédito abancos locais no exterior</w:t>
      </w:r>
      <w:r>
        <w:rPr>
          <w:rFonts w:ascii="Times New Roman" w:hAnsi="Times New Roman"/>
          <w:bCs/>
          <w:sz w:val="24"/>
          <w:szCs w:val="24"/>
        </w:rPr>
        <w:t xml:space="preserve"> (o ministro Luciano Coutinho observou que esta medida foi à ele solicitada pessoalmente pelo Presidente Lula da Silva);</w:t>
      </w:r>
    </w:p>
    <w:p w:rsidR="000F038F" w:rsidRPr="00713312" w:rsidRDefault="000F038F" w:rsidP="000F038F">
      <w:pPr>
        <w:pStyle w:val="PargrafodaLista"/>
        <w:numPr>
          <w:ilvl w:val="0"/>
          <w:numId w:val="16"/>
        </w:numPr>
        <w:autoSpaceDE w:val="0"/>
        <w:autoSpaceDN w:val="0"/>
        <w:adjustRightInd w:val="0"/>
        <w:spacing w:after="0" w:line="360" w:lineRule="auto"/>
        <w:ind w:left="1134"/>
        <w:jc w:val="both"/>
        <w:rPr>
          <w:rFonts w:ascii="Times New Roman" w:hAnsi="Times New Roman"/>
          <w:sz w:val="24"/>
          <w:szCs w:val="24"/>
        </w:rPr>
      </w:pPr>
      <w:r w:rsidRPr="009737B3">
        <w:rPr>
          <w:rFonts w:ascii="Times New Roman" w:hAnsi="Times New Roman"/>
          <w:sz w:val="24"/>
          <w:szCs w:val="24"/>
        </w:rPr>
        <w:t xml:space="preserve">Criação de projeto piloto </w:t>
      </w:r>
      <w:r>
        <w:rPr>
          <w:rFonts w:ascii="Times New Roman" w:hAnsi="Times New Roman"/>
          <w:sz w:val="24"/>
          <w:szCs w:val="24"/>
        </w:rPr>
        <w:t xml:space="preserve">(PROCAP BK) - atualmente já definitivo -, que objetiva </w:t>
      </w:r>
      <w:r>
        <w:rPr>
          <w:rFonts w:ascii="Times New Roman" w:hAnsi="Times New Roman"/>
          <w:bCs/>
          <w:sz w:val="24"/>
          <w:szCs w:val="24"/>
        </w:rPr>
        <w:t>c</w:t>
      </w:r>
      <w:r w:rsidRPr="009737B3">
        <w:rPr>
          <w:rFonts w:ascii="Times New Roman" w:hAnsi="Times New Roman"/>
          <w:bCs/>
          <w:sz w:val="24"/>
          <w:szCs w:val="24"/>
        </w:rPr>
        <w:t xml:space="preserve">apitalizar </w:t>
      </w:r>
      <w:r>
        <w:rPr>
          <w:rFonts w:ascii="Times New Roman" w:hAnsi="Times New Roman"/>
          <w:bCs/>
          <w:sz w:val="24"/>
          <w:szCs w:val="24"/>
        </w:rPr>
        <w:t>Micro, Pequenas e Médias Empresas</w:t>
      </w:r>
      <w:r w:rsidRPr="009737B3">
        <w:rPr>
          <w:rFonts w:ascii="Times New Roman" w:hAnsi="Times New Roman"/>
          <w:bCs/>
          <w:sz w:val="24"/>
          <w:szCs w:val="24"/>
        </w:rPr>
        <w:t xml:space="preserve"> de Bens de Capital, Componentes e Autopeças, </w:t>
      </w:r>
      <w:r>
        <w:rPr>
          <w:rFonts w:ascii="Times New Roman" w:hAnsi="Times New Roman"/>
          <w:bCs/>
          <w:sz w:val="24"/>
          <w:szCs w:val="24"/>
        </w:rPr>
        <w:t xml:space="preserve">por meio de empréstimos de instituições autorizadas a empregados para que estes financiem as empresas por meio de </w:t>
      </w:r>
      <w:r w:rsidRPr="009737B3">
        <w:rPr>
          <w:rFonts w:ascii="Times New Roman" w:hAnsi="Times New Roman"/>
          <w:bCs/>
          <w:sz w:val="24"/>
          <w:szCs w:val="24"/>
        </w:rPr>
        <w:t>compra de</w:t>
      </w:r>
      <w:r>
        <w:rPr>
          <w:rFonts w:ascii="Times New Roman" w:hAnsi="Times New Roman"/>
          <w:bCs/>
          <w:sz w:val="24"/>
          <w:szCs w:val="24"/>
        </w:rPr>
        <w:t xml:space="preserve"> suas</w:t>
      </w:r>
      <w:r w:rsidRPr="009737B3">
        <w:rPr>
          <w:rFonts w:ascii="Times New Roman" w:hAnsi="Times New Roman"/>
          <w:bCs/>
          <w:sz w:val="24"/>
          <w:szCs w:val="24"/>
        </w:rPr>
        <w:t xml:space="preserve"> ações</w:t>
      </w:r>
      <w:r>
        <w:rPr>
          <w:rFonts w:ascii="Times New Roman" w:hAnsi="Times New Roman"/>
          <w:bCs/>
          <w:sz w:val="24"/>
          <w:szCs w:val="24"/>
        </w:rPr>
        <w:t>.</w:t>
      </w:r>
    </w:p>
    <w:p w:rsidR="000F038F" w:rsidRPr="00BD55B0" w:rsidRDefault="000F038F" w:rsidP="000F038F">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ab/>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 direção e o teor destas e de outras medidas anunciadas pelas autoridades responsáveis pelas políticas fiscais, monetárias e de investimentos do Estado e de combate à crise econômica sobrevinham na esteira de ações de incentivo ou de impulso ao desenvolvimento do capitalismo nos governos Lula da Silva. A análise econômica pormenorizada constitui temática ampla e complexa, trabalhada por analistas econômicos e cientistas políticos de vários matizes teóricos. Não nos propomos apresentar e analisar o arsenal de medidas monetárias, fiscais, tributárias, político-institucionais, s</w:t>
      </w:r>
      <w:r w:rsidR="00CA0999">
        <w:rPr>
          <w:rFonts w:ascii="Times New Roman" w:hAnsi="Times New Roman"/>
          <w:sz w:val="24"/>
          <w:szCs w:val="24"/>
        </w:rPr>
        <w:t>o</w:t>
      </w:r>
      <w:r>
        <w:rPr>
          <w:rFonts w:ascii="Times New Roman" w:hAnsi="Times New Roman"/>
          <w:sz w:val="24"/>
          <w:szCs w:val="24"/>
        </w:rPr>
        <w:t>cioeducacionais, de microrreformas, de política industrial, de comércio exterior etc., todas empreendidas pelo governo para contentar diferenciados setores econômicos.</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Contudo, pelo até aqui exposto, muitas das principais demandas do grande empresariado presente no CDES foram não apenas atendidas, como também ampliadas. Todos os setores representados no CDES foram contemplados pelas medidas governamentais, inclusive do setor bancário-financeiro, o que não podia ser diferente no atual estágio de  monopolização financeira (união entre capital funcionante e monetário) do capitalismo, não importando seu esvaziamento no CDES a partir de 2007. Não houve fração do capital preterida pelas políticas públicas de inibição da crise econômica anunciadas pelos ministros no CDES. Vários setores do capital produtor de valor foram  </w:t>
      </w:r>
      <w:r>
        <w:rPr>
          <w:rFonts w:ascii="Times New Roman" w:hAnsi="Times New Roman"/>
          <w:i/>
          <w:sz w:val="24"/>
          <w:szCs w:val="24"/>
        </w:rPr>
        <w:t>mais atendidos</w:t>
      </w:r>
      <w:r>
        <w:rPr>
          <w:rFonts w:ascii="Times New Roman" w:hAnsi="Times New Roman"/>
          <w:sz w:val="24"/>
          <w:szCs w:val="24"/>
        </w:rPr>
        <w:t xml:space="preserve">: a indústria de bens de capital, a indústria de infraestrutura, a indústria petroquímica, a agroindústria e a indústria automobilística. Também foram atendidas demandas empresariais para incentivos as médias e pequenas empresas. </w:t>
      </w:r>
      <w:r w:rsidR="00B23D60">
        <w:rPr>
          <w:rFonts w:ascii="Times New Roman" w:hAnsi="Times New Roman"/>
          <w:sz w:val="24"/>
          <w:szCs w:val="24"/>
        </w:rPr>
        <w:t>O afinamento da interlocução governo/empresários era um requisito fundamental para o funcionamento da hegemonia no período.</w:t>
      </w:r>
    </w:p>
    <w:p w:rsidR="000F038F" w:rsidRPr="00F13580"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As soluções para a crise econômica no CDES (conselheiros e governo) passava necessariamente à indução de políticas para o capital (denominadas de “anti-cíclicas”) e requisitava o aprofundamento da trajetória de </w:t>
      </w:r>
      <w:r>
        <w:rPr>
          <w:rFonts w:ascii="Times New Roman" w:hAnsi="Times New Roman"/>
          <w:i/>
          <w:sz w:val="24"/>
          <w:szCs w:val="24"/>
        </w:rPr>
        <w:t xml:space="preserve">crescimento econômico </w:t>
      </w:r>
      <w:r>
        <w:rPr>
          <w:rFonts w:ascii="Times New Roman" w:hAnsi="Times New Roman"/>
          <w:sz w:val="24"/>
          <w:szCs w:val="24"/>
        </w:rPr>
        <w:t>e não propriamente de “</w:t>
      </w:r>
      <w:r w:rsidRPr="003F761C">
        <w:rPr>
          <w:rFonts w:ascii="Times New Roman" w:hAnsi="Times New Roman"/>
          <w:sz w:val="24"/>
          <w:szCs w:val="24"/>
        </w:rPr>
        <w:t>desenvolvimento social sustentado”</w:t>
      </w:r>
      <w:r>
        <w:rPr>
          <w:rFonts w:ascii="Times New Roman" w:hAnsi="Times New Roman"/>
          <w:sz w:val="24"/>
          <w:szCs w:val="24"/>
        </w:rPr>
        <w:t xml:space="preserve">.Seguindo a linha de sustentação presente nessa pesquisa, nada de novo no “modelo de desenvolvimento” assumido no conjunto de debates e documentos do CDES. A crise, entretanto, foi capaz de propiciar uma alavancagem muito mais célere e ampliada no acolhimento das demandas empresariais.  É evidente que a “opção brasileira para o enfrentamento da crise” intencionava universalizar o programa do capital para o conjunto das forças políticas e sociais do país, buscando não apenas adesão de um programa particular, mas apelando ao reconhecimento de que a todos pertencem. De profícuo poder de síntese, lançamos mão do parágrafo constante no documento </w:t>
      </w:r>
      <w:r w:rsidRPr="00CE4736">
        <w:rPr>
          <w:rFonts w:ascii="Times New Roman" w:hAnsi="Times New Roman"/>
          <w:sz w:val="24"/>
          <w:szCs w:val="24"/>
        </w:rPr>
        <w:t>“</w:t>
      </w:r>
      <w:r>
        <w:rPr>
          <w:rFonts w:ascii="Times New Roman" w:hAnsi="Times New Roman"/>
          <w:sz w:val="24"/>
          <w:szCs w:val="24"/>
        </w:rPr>
        <w:t>Impactos sociais da crise econômica internacional e os desafios do desenvolvimento: o papel do Estado e da Sociedade Civil”, produzido na ocasião da “</w:t>
      </w:r>
      <w:r w:rsidRPr="00F13580">
        <w:rPr>
          <w:rFonts w:ascii="Times New Roman" w:hAnsi="Times New Roman"/>
          <w:sz w:val="24"/>
          <w:szCs w:val="24"/>
        </w:rPr>
        <w:t>Pr</w:t>
      </w:r>
      <w:r>
        <w:rPr>
          <w:rFonts w:ascii="Times New Roman" w:hAnsi="Times New Roman"/>
          <w:sz w:val="24"/>
          <w:szCs w:val="24"/>
        </w:rPr>
        <w:t>imeira Reunião da Mesa-Redonda B</w:t>
      </w:r>
      <w:r w:rsidRPr="00F13580">
        <w:rPr>
          <w:rFonts w:ascii="Times New Roman" w:hAnsi="Times New Roman"/>
          <w:sz w:val="24"/>
          <w:szCs w:val="24"/>
        </w:rPr>
        <w:t>rasil-União Europeia da Sociedade Civil</w:t>
      </w:r>
      <w:r>
        <w:rPr>
          <w:rFonts w:ascii="Times New Roman" w:hAnsi="Times New Roman"/>
          <w:sz w:val="24"/>
          <w:szCs w:val="24"/>
        </w:rPr>
        <w:t>”, em julho de 2009:</w:t>
      </w:r>
    </w:p>
    <w:p w:rsidR="000F038F" w:rsidRPr="00136D08" w:rsidRDefault="000F038F" w:rsidP="000F038F">
      <w:pPr>
        <w:autoSpaceDE w:val="0"/>
        <w:autoSpaceDN w:val="0"/>
        <w:adjustRightInd w:val="0"/>
        <w:spacing w:before="240" w:after="0" w:line="240" w:lineRule="auto"/>
        <w:ind w:left="2268"/>
        <w:jc w:val="both"/>
        <w:rPr>
          <w:rFonts w:ascii="Times New Roman" w:hAnsi="Times New Roman"/>
          <w:sz w:val="20"/>
          <w:szCs w:val="20"/>
        </w:rPr>
      </w:pPr>
      <w:r w:rsidRPr="00136D08">
        <w:rPr>
          <w:rFonts w:ascii="Times New Roman" w:hAnsi="Times New Roman"/>
          <w:sz w:val="20"/>
          <w:szCs w:val="20"/>
        </w:rPr>
        <w:t>A opção brasileira para o enfrentamento da crise foi pela dinamização da economia pela base, com ampliação do crédito e desoneração de tributos para incentivar os investimentos produtivos; e fort</w:t>
      </w:r>
      <w:r>
        <w:rPr>
          <w:rFonts w:ascii="Times New Roman" w:hAnsi="Times New Roman"/>
          <w:sz w:val="20"/>
          <w:szCs w:val="20"/>
        </w:rPr>
        <w:t>alecimento do mercado interno. N</w:t>
      </w:r>
      <w:r w:rsidRPr="00136D08">
        <w:rPr>
          <w:rFonts w:ascii="Times New Roman" w:hAnsi="Times New Roman"/>
          <w:sz w:val="20"/>
          <w:szCs w:val="20"/>
        </w:rPr>
        <w:t>o conjunto, a distribuição de renda, o crédito produtivo e a construção de infraestrutura respondem claramente a demandas prioritárias do País e, ao mesmo tempo, atenuam sua vulnerabilidade frente à crise</w:t>
      </w:r>
      <w:r>
        <w:rPr>
          <w:rFonts w:ascii="Times New Roman" w:hAnsi="Times New Roman"/>
          <w:sz w:val="20"/>
          <w:szCs w:val="20"/>
        </w:rPr>
        <w:t>.</w:t>
      </w:r>
      <w:r>
        <w:rPr>
          <w:rStyle w:val="Refdenotaderodap"/>
          <w:rFonts w:ascii="Times New Roman" w:hAnsi="Times New Roman"/>
        </w:rPr>
        <w:footnoteReference w:id="556"/>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Contudo, gostaria de chamar a atenção que, embora bastante conciso e objetivo, esta mensagem toca </w:t>
      </w:r>
      <w:r w:rsidRPr="003F135E">
        <w:rPr>
          <w:rFonts w:ascii="Times New Roman" w:hAnsi="Times New Roman"/>
          <w:i/>
          <w:sz w:val="24"/>
          <w:szCs w:val="24"/>
        </w:rPr>
        <w:t>em apenas uma e somente uma</w:t>
      </w:r>
      <w:r>
        <w:rPr>
          <w:rFonts w:ascii="Times New Roman" w:hAnsi="Times New Roman"/>
          <w:sz w:val="24"/>
          <w:szCs w:val="24"/>
        </w:rPr>
        <w:t xml:space="preserve"> reivindicação de caráter originalmente popular: a distribuição de renda. As demais “demandas prioritárias do País” vinculavam-se diretamente aos anseios do capital. Trata-se de um trecho exemplar e significativo do entendimento e do papel do CDES como </w:t>
      </w:r>
      <w:r w:rsidRPr="00B85A05">
        <w:rPr>
          <w:rFonts w:ascii="Times New Roman" w:hAnsi="Times New Roman"/>
          <w:i/>
          <w:sz w:val="24"/>
          <w:szCs w:val="24"/>
        </w:rPr>
        <w:t>câmara de gestão da crise para o capital</w:t>
      </w:r>
      <w:r>
        <w:rPr>
          <w:rFonts w:ascii="Times New Roman" w:hAnsi="Times New Roman"/>
          <w:sz w:val="24"/>
          <w:szCs w:val="24"/>
        </w:rPr>
        <w:t>e, em nenhum momento, se contradiz ou se afasta, assim como as demais demandas até aqui apresentadas, das medidas anunciadas pelos ministros nas reuniões plenárias.</w:t>
      </w:r>
    </w:p>
    <w:p w:rsidR="000F038F" w:rsidRPr="00482430" w:rsidRDefault="000F038F" w:rsidP="000F038F">
      <w:pPr>
        <w:autoSpaceDE w:val="0"/>
        <w:autoSpaceDN w:val="0"/>
        <w:adjustRightInd w:val="0"/>
        <w:spacing w:before="240"/>
        <w:ind w:firstLine="708"/>
        <w:jc w:val="both"/>
        <w:rPr>
          <w:rFonts w:ascii="Times New Roman" w:hAnsi="Times New Roman"/>
          <w:sz w:val="24"/>
          <w:szCs w:val="24"/>
        </w:rPr>
      </w:pPr>
      <w:r>
        <w:rPr>
          <w:rFonts w:ascii="Times New Roman" w:hAnsi="Times New Roman"/>
          <w:b/>
          <w:sz w:val="24"/>
          <w:szCs w:val="24"/>
        </w:rPr>
        <w:t xml:space="preserve">4.2.2 – Estado </w:t>
      </w:r>
      <w:r w:rsidR="008F444D">
        <w:rPr>
          <w:rFonts w:ascii="Times New Roman" w:hAnsi="Times New Roman"/>
          <w:b/>
          <w:sz w:val="24"/>
          <w:szCs w:val="24"/>
        </w:rPr>
        <w:t>enfrenta a crise para o</w:t>
      </w:r>
      <w:r>
        <w:rPr>
          <w:rFonts w:ascii="Times New Roman" w:hAnsi="Times New Roman"/>
          <w:b/>
          <w:sz w:val="24"/>
          <w:szCs w:val="24"/>
        </w:rPr>
        <w:t xml:space="preserve"> Capital: breves considerações das políticas públicas no período de crise </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 busca pelo crédito era, sem dúvida, uma das principais preocupações econômico-corporativas do empresariado. As pesquisas nos documentos do CDES traziam à tona, insistentemente, requerimentos do empresariado para maior disponibilização de créditos via bancos públicos (devido ao fato de que os conselheiros se queixavam de que o setor privado bancário não estava liberando crédito), desonerações, suspensões e/ou subsídios tributários, prorrogação no pagamento de tributos, e incentivos para investimentos e financiamentos de longo prazo por meio de aportes gigantescos de recursos do BNDES, sem dúvida principal instituição provedora do financiamento a longo prazo no período.</w:t>
      </w:r>
    </w:p>
    <w:p w:rsidR="000F038F" w:rsidRDefault="000F038F" w:rsidP="000F038F">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Para se ter uma ideia da evolução de volume de desembolsos do BNDES, em</w:t>
      </w:r>
      <w:r w:rsidRPr="00F6081F">
        <w:rPr>
          <w:rFonts w:ascii="Times New Roman" w:hAnsi="Times New Roman"/>
          <w:sz w:val="24"/>
          <w:szCs w:val="24"/>
        </w:rPr>
        <w:t xml:space="preserve"> 2003 fo</w:t>
      </w:r>
      <w:r>
        <w:rPr>
          <w:rFonts w:ascii="Times New Roman" w:hAnsi="Times New Roman"/>
          <w:sz w:val="24"/>
          <w:szCs w:val="24"/>
        </w:rPr>
        <w:t>ram</w:t>
      </w:r>
      <w:r w:rsidRPr="00F6081F">
        <w:rPr>
          <w:rFonts w:ascii="Times New Roman" w:hAnsi="Times New Roman"/>
          <w:sz w:val="24"/>
          <w:szCs w:val="24"/>
        </w:rPr>
        <w:t xml:space="preserve"> de R$ 35,1 bilhões, </w:t>
      </w:r>
      <w:r>
        <w:rPr>
          <w:rFonts w:ascii="Times New Roman" w:hAnsi="Times New Roman"/>
          <w:sz w:val="24"/>
          <w:szCs w:val="24"/>
        </w:rPr>
        <w:t>ao passo que em</w:t>
      </w:r>
      <w:r w:rsidRPr="00F6081F">
        <w:rPr>
          <w:rFonts w:ascii="Times New Roman" w:hAnsi="Times New Roman"/>
          <w:sz w:val="24"/>
          <w:szCs w:val="24"/>
        </w:rPr>
        <w:t xml:space="preserve"> 2010 </w:t>
      </w:r>
      <w:r>
        <w:rPr>
          <w:rFonts w:ascii="Times New Roman" w:hAnsi="Times New Roman"/>
          <w:sz w:val="24"/>
          <w:szCs w:val="24"/>
        </w:rPr>
        <w:t xml:space="preserve">eles </w:t>
      </w:r>
      <w:r w:rsidRPr="00F6081F">
        <w:rPr>
          <w:rFonts w:ascii="Times New Roman" w:hAnsi="Times New Roman"/>
          <w:sz w:val="24"/>
          <w:szCs w:val="24"/>
        </w:rPr>
        <w:t>fic</w:t>
      </w:r>
      <w:r>
        <w:rPr>
          <w:rFonts w:ascii="Times New Roman" w:hAnsi="Times New Roman"/>
          <w:sz w:val="24"/>
          <w:szCs w:val="24"/>
        </w:rPr>
        <w:t>aram</w:t>
      </w:r>
      <w:r w:rsidRPr="00F6081F">
        <w:rPr>
          <w:rFonts w:ascii="Times New Roman" w:hAnsi="Times New Roman"/>
          <w:sz w:val="24"/>
          <w:szCs w:val="24"/>
        </w:rPr>
        <w:t xml:space="preserve"> em R$ 168,4 bilhões, </w:t>
      </w:r>
      <w:r>
        <w:rPr>
          <w:rFonts w:ascii="Times New Roman" w:hAnsi="Times New Roman"/>
          <w:sz w:val="24"/>
          <w:szCs w:val="24"/>
        </w:rPr>
        <w:t>r</w:t>
      </w:r>
      <w:r w:rsidRPr="00F6081F">
        <w:rPr>
          <w:rFonts w:ascii="Times New Roman" w:hAnsi="Times New Roman"/>
          <w:sz w:val="24"/>
          <w:szCs w:val="24"/>
        </w:rPr>
        <w:t xml:space="preserve">epresentando uma variação de 379%. </w:t>
      </w:r>
      <w:r>
        <w:rPr>
          <w:rFonts w:ascii="Times New Roman" w:hAnsi="Times New Roman"/>
          <w:sz w:val="24"/>
          <w:szCs w:val="24"/>
        </w:rPr>
        <w:t xml:space="preserve">Nos três últimos anos do decênio, o BNDES foi responsável pelo repasse de 95% da soma total de desembolsos realizados entre 2003 e 2007. O gráfico abaixo nos dá a magnitude dos desembolsos do BNDES: </w:t>
      </w:r>
    </w:p>
    <w:p w:rsidR="000F038F" w:rsidRDefault="000F038F" w:rsidP="000F038F">
      <w:pPr>
        <w:autoSpaceDE w:val="0"/>
        <w:autoSpaceDN w:val="0"/>
        <w:adjustRightInd w:val="0"/>
        <w:spacing w:after="0" w:line="360" w:lineRule="auto"/>
        <w:jc w:val="center"/>
        <w:rPr>
          <w:rFonts w:ascii="Times New Roman" w:hAnsi="Times New Roman"/>
          <w:sz w:val="24"/>
          <w:szCs w:val="24"/>
        </w:rPr>
      </w:pPr>
      <w:r>
        <w:rPr>
          <w:rFonts w:ascii="Times New Roman" w:hAnsi="Times New Roman"/>
          <w:b/>
          <w:sz w:val="24"/>
          <w:szCs w:val="24"/>
        </w:rPr>
        <w:t>Gráfico 4.1</w:t>
      </w:r>
      <w:r w:rsidRPr="00FF1ADE">
        <w:rPr>
          <w:rFonts w:ascii="Times New Roman" w:hAnsi="Times New Roman"/>
          <w:b/>
          <w:sz w:val="24"/>
          <w:szCs w:val="24"/>
        </w:rPr>
        <w:t xml:space="preserve"> – Evolução dos desembolsos promovidos pelo BNDES (200</w:t>
      </w:r>
      <w:r>
        <w:rPr>
          <w:rFonts w:ascii="Times New Roman" w:hAnsi="Times New Roman"/>
          <w:b/>
          <w:sz w:val="24"/>
          <w:szCs w:val="24"/>
        </w:rPr>
        <w:t>2</w:t>
      </w:r>
      <w:r w:rsidRPr="00FF1ADE">
        <w:rPr>
          <w:rFonts w:ascii="Times New Roman" w:hAnsi="Times New Roman"/>
          <w:b/>
          <w:sz w:val="24"/>
          <w:szCs w:val="24"/>
        </w:rPr>
        <w:t>-2010)</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4169410" cy="2183765"/>
            <wp:effectExtent l="19050" t="0" r="2540" b="0"/>
            <wp:docPr id="10" name="Imagem 4" descr="GRAFICO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GRAFICO 2010.jpg"/>
                    <pic:cNvPicPr>
                      <a:picLocks noChangeAspect="1" noChangeArrowheads="1"/>
                    </pic:cNvPicPr>
                  </pic:nvPicPr>
                  <pic:blipFill>
                    <a:blip r:embed="rId41"/>
                    <a:srcRect/>
                    <a:stretch>
                      <a:fillRect/>
                    </a:stretch>
                  </pic:blipFill>
                  <pic:spPr bwMode="auto">
                    <a:xfrm>
                      <a:off x="0" y="0"/>
                      <a:ext cx="4169410" cy="2183765"/>
                    </a:xfrm>
                    <a:prstGeom prst="rect">
                      <a:avLst/>
                    </a:prstGeom>
                    <a:noFill/>
                    <a:ln w="9525">
                      <a:noFill/>
                      <a:miter lim="800000"/>
                      <a:headEnd/>
                      <a:tailEnd/>
                    </a:ln>
                  </pic:spPr>
                </pic:pic>
              </a:graphicData>
            </a:graphic>
          </wp:inline>
        </w:drawing>
      </w:r>
    </w:p>
    <w:p w:rsidR="000F038F" w:rsidRPr="002228CB" w:rsidRDefault="000F038F" w:rsidP="000F038F">
      <w:pPr>
        <w:autoSpaceDE w:val="0"/>
        <w:autoSpaceDN w:val="0"/>
        <w:adjustRightInd w:val="0"/>
        <w:spacing w:line="360" w:lineRule="auto"/>
        <w:ind w:firstLine="708"/>
        <w:jc w:val="both"/>
        <w:rPr>
          <w:rFonts w:ascii="Times New Roman" w:hAnsi="Times New Roman"/>
          <w:b/>
          <w:sz w:val="18"/>
          <w:szCs w:val="18"/>
        </w:rPr>
      </w:pPr>
      <w:r w:rsidRPr="002228CB">
        <w:rPr>
          <w:rFonts w:ascii="Times New Roman" w:hAnsi="Times New Roman"/>
          <w:b/>
          <w:sz w:val="18"/>
          <w:szCs w:val="18"/>
        </w:rPr>
        <w:t>Fonte</w:t>
      </w:r>
      <w:r w:rsidRPr="002228CB">
        <w:rPr>
          <w:rFonts w:ascii="Times New Roman" w:hAnsi="Times New Roman"/>
          <w:sz w:val="18"/>
          <w:szCs w:val="18"/>
        </w:rPr>
        <w:t>: BNDES.</w:t>
      </w:r>
      <w:r w:rsidRPr="002228CB">
        <w:rPr>
          <w:rStyle w:val="Refdenotaderodap"/>
          <w:rFonts w:ascii="Times New Roman" w:hAnsi="Times New Roman"/>
          <w:sz w:val="18"/>
          <w:szCs w:val="18"/>
        </w:rPr>
        <w:footnoteReference w:id="557"/>
      </w:r>
    </w:p>
    <w:p w:rsidR="000F038F" w:rsidRDefault="000F038F" w:rsidP="000F038F">
      <w:pPr>
        <w:autoSpaceDE w:val="0"/>
        <w:autoSpaceDN w:val="0"/>
        <w:adjustRightInd w:val="0"/>
        <w:spacing w:line="360" w:lineRule="auto"/>
        <w:ind w:firstLine="708"/>
        <w:jc w:val="both"/>
        <w:rPr>
          <w:rFonts w:ascii="Times New Roman" w:hAnsi="Times New Roman"/>
          <w:sz w:val="24"/>
          <w:szCs w:val="24"/>
        </w:rPr>
      </w:pPr>
      <w:r w:rsidRPr="00F6081F">
        <w:rPr>
          <w:rFonts w:ascii="Times New Roman" w:hAnsi="Times New Roman"/>
          <w:sz w:val="24"/>
          <w:szCs w:val="24"/>
        </w:rPr>
        <w:t xml:space="preserve">A partir da crise internacional de 2008, </w:t>
      </w:r>
      <w:r>
        <w:rPr>
          <w:rFonts w:ascii="Times New Roman" w:hAnsi="Times New Roman"/>
          <w:sz w:val="24"/>
          <w:szCs w:val="24"/>
        </w:rPr>
        <w:t>os bancos públicos (BNDES, CEF e BB) – muito em virtude do retraimento da oferta de crédito pelos bancos privados no Brasil e da escassez de recursos de financiamento no mercado financeiro internacional -, tornaram-se</w:t>
      </w:r>
      <w:r w:rsidRPr="00F6081F">
        <w:rPr>
          <w:rFonts w:ascii="Times New Roman" w:hAnsi="Times New Roman"/>
          <w:sz w:val="24"/>
          <w:szCs w:val="24"/>
        </w:rPr>
        <w:t xml:space="preserve"> importante</w:t>
      </w:r>
      <w:r>
        <w:rPr>
          <w:rFonts w:ascii="Times New Roman" w:hAnsi="Times New Roman"/>
          <w:sz w:val="24"/>
          <w:szCs w:val="24"/>
        </w:rPr>
        <w:t>s</w:t>
      </w:r>
      <w:r w:rsidRPr="00F6081F">
        <w:rPr>
          <w:rFonts w:ascii="Times New Roman" w:hAnsi="Times New Roman"/>
          <w:sz w:val="24"/>
          <w:szCs w:val="24"/>
        </w:rPr>
        <w:t xml:space="preserve"> instrumento</w:t>
      </w:r>
      <w:r>
        <w:rPr>
          <w:rFonts w:ascii="Times New Roman" w:hAnsi="Times New Roman"/>
          <w:sz w:val="24"/>
          <w:szCs w:val="24"/>
        </w:rPr>
        <w:t>s</w:t>
      </w:r>
      <w:r w:rsidRPr="00F6081F">
        <w:rPr>
          <w:rFonts w:ascii="Times New Roman" w:hAnsi="Times New Roman"/>
          <w:sz w:val="24"/>
          <w:szCs w:val="24"/>
        </w:rPr>
        <w:t xml:space="preserve"> da política fiscal anticíclica, </w:t>
      </w:r>
      <w:r>
        <w:rPr>
          <w:rFonts w:ascii="Times New Roman" w:hAnsi="Times New Roman"/>
          <w:sz w:val="24"/>
          <w:szCs w:val="24"/>
        </w:rPr>
        <w:t xml:space="preserve">expandindo a magnitude de seus recursos nas linhas de financiamento aos setores contemplados: o BNDES no financiamento de longo prazo (especialmente a setores da indústria e à infraestrutura), o BB no financiamento ao setor rural e a CEF no crédito habitacional. Os bancos públicos cumpriram a função clássica de oferta de crédito historicamente requerida pelo capitalismo (entre 2003 e 2010 a oferta de crédito subiu de 25% para 46% do PIB), além de financiarem projetos e socorrerem diretamente o setor privado. No momento da crise, geraram contrapesos à contração do crédito internacional, propiciando injeção de recursos para o capital de giro e investimentos para expansão de setores monopolizados. No CDES, empresários e governo reconheciam o problema e tentavam soluções </w:t>
      </w:r>
      <w:r w:rsidR="00F64836">
        <w:rPr>
          <w:rFonts w:ascii="Times New Roman" w:hAnsi="Times New Roman"/>
          <w:sz w:val="24"/>
          <w:szCs w:val="24"/>
        </w:rPr>
        <w:t>em mei</w:t>
      </w:r>
      <w:r w:rsidR="000B330C">
        <w:rPr>
          <w:rFonts w:ascii="Times New Roman" w:hAnsi="Times New Roman"/>
          <w:sz w:val="24"/>
          <w:szCs w:val="24"/>
        </w:rPr>
        <w:t>o</w:t>
      </w:r>
      <w:r>
        <w:rPr>
          <w:rFonts w:ascii="Times New Roman" w:hAnsi="Times New Roman"/>
          <w:sz w:val="24"/>
          <w:szCs w:val="24"/>
        </w:rPr>
        <w:t xml:space="preserve"> à escassez de oferta de crédito dos bancos privados. Lula da Silva resumiu a tensão que atravessava o momento:</w:t>
      </w:r>
    </w:p>
    <w:p w:rsidR="000F038F" w:rsidRPr="006927D4" w:rsidRDefault="000F038F" w:rsidP="000F038F">
      <w:pPr>
        <w:autoSpaceDE w:val="0"/>
        <w:autoSpaceDN w:val="0"/>
        <w:adjustRightInd w:val="0"/>
        <w:spacing w:line="240" w:lineRule="auto"/>
        <w:ind w:left="2268"/>
        <w:jc w:val="both"/>
        <w:rPr>
          <w:rFonts w:ascii="Times New Roman" w:hAnsi="Times New Roman"/>
          <w:sz w:val="20"/>
          <w:szCs w:val="20"/>
        </w:rPr>
      </w:pPr>
      <w:r w:rsidRPr="006927D4">
        <w:rPr>
          <w:rFonts w:ascii="Times New Roman" w:hAnsi="Times New Roman"/>
          <w:sz w:val="20"/>
          <w:szCs w:val="20"/>
        </w:rPr>
        <w:t>Os nossos bancos vão continuar com toda a disposição de fazer o que tem que fazer, vamos continuar nos reunindo com o sistema financeiro brasileiro para motivá-los a colocar dinheiro porque sistema capitalista sem dinheiro não funciona. Até no socialismo precisa dinheiro, quanto mais no capitalismo. Então, Fábio [Barbosa, presidente da Febraban], por favor, peça aos bancos para liberarem logo esse dinheiro aí</w:t>
      </w:r>
      <w:r>
        <w:rPr>
          <w:rFonts w:ascii="Times New Roman" w:hAnsi="Times New Roman"/>
          <w:sz w:val="20"/>
          <w:szCs w:val="20"/>
        </w:rPr>
        <w:t xml:space="preserve"> (Ata da 28ª Reunião Plenária, 06/11/2008, p. 27).</w:t>
      </w:r>
    </w:p>
    <w:p w:rsidR="000F038F" w:rsidRPr="00061EAD" w:rsidRDefault="000F038F" w:rsidP="000F038F">
      <w:pPr>
        <w:autoSpaceDE w:val="0"/>
        <w:autoSpaceDN w:val="0"/>
        <w:adjustRightInd w:val="0"/>
        <w:spacing w:after="0" w:line="360" w:lineRule="auto"/>
        <w:ind w:firstLine="708"/>
        <w:jc w:val="both"/>
        <w:rPr>
          <w:rFonts w:ascii="Times New Roman" w:hAnsi="Times New Roman"/>
          <w:color w:val="FF0000"/>
          <w:sz w:val="24"/>
          <w:szCs w:val="24"/>
        </w:rPr>
      </w:pPr>
      <w:r>
        <w:rPr>
          <w:rFonts w:ascii="Times New Roman" w:hAnsi="Times New Roman"/>
          <w:sz w:val="24"/>
          <w:szCs w:val="24"/>
        </w:rPr>
        <w:t>O mecanismo do crédito impulsiona a velocidade de rotação do capital</w:t>
      </w:r>
      <w:r w:rsidR="003227A8">
        <w:rPr>
          <w:rFonts w:ascii="Times New Roman" w:hAnsi="Times New Roman"/>
          <w:sz w:val="24"/>
          <w:szCs w:val="24"/>
        </w:rPr>
        <w:t>,</w:t>
      </w:r>
      <w:r>
        <w:rPr>
          <w:rFonts w:ascii="Times New Roman" w:hAnsi="Times New Roman"/>
          <w:sz w:val="24"/>
          <w:szCs w:val="24"/>
        </w:rPr>
        <w:t xml:space="preserve"> que </w:t>
      </w:r>
      <w:r w:rsidR="003227A8">
        <w:rPr>
          <w:rFonts w:ascii="Times New Roman" w:hAnsi="Times New Roman"/>
          <w:sz w:val="24"/>
          <w:szCs w:val="24"/>
        </w:rPr>
        <w:t>procura esquivar sua interrupção ou retardamento</w:t>
      </w:r>
      <w:r>
        <w:rPr>
          <w:rFonts w:ascii="Times New Roman" w:hAnsi="Times New Roman"/>
          <w:sz w:val="24"/>
          <w:szCs w:val="24"/>
        </w:rPr>
        <w:t xml:space="preserve">, tendo em vista a necessidade de completar o seu ciclo de valorização e, com isso, ao menos garantir a manutenção das taxas de lucros. As políticas estatais de oferta de crédito visam redirecionar recursos do fundo público  para o conjunto dos capitais, assegurando que o adiantamento do dinheiro converta-se em capital, ingressando no circuito de valorização do valor, objetivando sua aceleração, seja na ponta da produção (capital de giro, aquisição de máquinas, inovação tecnológica, contratação de força de trabalho etc), seja na circulação, especialmente no consumo. </w:t>
      </w:r>
    </w:p>
    <w:p w:rsidR="000F038F" w:rsidRDefault="000F038F" w:rsidP="000F038F">
      <w:pPr>
        <w:autoSpaceDE w:val="0"/>
        <w:autoSpaceDN w:val="0"/>
        <w:adjustRightInd w:val="0"/>
        <w:spacing w:before="240" w:line="360" w:lineRule="auto"/>
        <w:jc w:val="center"/>
        <w:rPr>
          <w:rFonts w:ascii="Times New Roman" w:hAnsi="Times New Roman"/>
          <w:b/>
          <w:sz w:val="24"/>
          <w:szCs w:val="24"/>
        </w:rPr>
      </w:pPr>
      <w:r w:rsidRPr="000526D7">
        <w:rPr>
          <w:rFonts w:ascii="Times New Roman" w:hAnsi="Times New Roman"/>
          <w:b/>
          <w:sz w:val="24"/>
          <w:szCs w:val="24"/>
        </w:rPr>
        <w:t>Gráfico 4.</w:t>
      </w:r>
      <w:r>
        <w:rPr>
          <w:rFonts w:ascii="Times New Roman" w:hAnsi="Times New Roman"/>
          <w:b/>
          <w:sz w:val="24"/>
          <w:szCs w:val="24"/>
        </w:rPr>
        <w:t>2</w:t>
      </w:r>
      <w:r w:rsidRPr="000526D7">
        <w:rPr>
          <w:rFonts w:ascii="Times New Roman" w:hAnsi="Times New Roman"/>
          <w:b/>
          <w:sz w:val="24"/>
          <w:szCs w:val="24"/>
        </w:rPr>
        <w:t xml:space="preserve"> – Evolução relativa do crédito bancário no bojo da crise</w:t>
      </w:r>
    </w:p>
    <w:p w:rsidR="000F038F" w:rsidRDefault="000F038F" w:rsidP="000F038F">
      <w:pPr>
        <w:autoSpaceDE w:val="0"/>
        <w:autoSpaceDN w:val="0"/>
        <w:adjustRightInd w:val="0"/>
        <w:spacing w:before="240" w:after="0" w:line="360" w:lineRule="auto"/>
        <w:ind w:firstLine="708"/>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4940300" cy="2572385"/>
            <wp:effectExtent l="1905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2"/>
                    <a:srcRect t="11063" b="15044"/>
                    <a:stretch>
                      <a:fillRect/>
                    </a:stretch>
                  </pic:blipFill>
                  <pic:spPr bwMode="auto">
                    <a:xfrm>
                      <a:off x="0" y="0"/>
                      <a:ext cx="4940300" cy="2572385"/>
                    </a:xfrm>
                    <a:prstGeom prst="rect">
                      <a:avLst/>
                    </a:prstGeom>
                    <a:noFill/>
                    <a:ln w="9525">
                      <a:noFill/>
                      <a:miter lim="800000"/>
                      <a:headEnd/>
                      <a:tailEnd/>
                    </a:ln>
                  </pic:spPr>
                </pic:pic>
              </a:graphicData>
            </a:graphic>
          </wp:inline>
        </w:drawing>
      </w:r>
    </w:p>
    <w:p w:rsidR="000F038F" w:rsidRDefault="000F038F" w:rsidP="000F038F">
      <w:pPr>
        <w:autoSpaceDE w:val="0"/>
        <w:autoSpaceDN w:val="0"/>
        <w:adjustRightInd w:val="0"/>
        <w:spacing w:line="360" w:lineRule="auto"/>
        <w:ind w:firstLine="708"/>
        <w:jc w:val="both"/>
        <w:rPr>
          <w:rFonts w:ascii="Times New Roman" w:hAnsi="Times New Roman"/>
          <w:sz w:val="20"/>
          <w:szCs w:val="20"/>
        </w:rPr>
      </w:pPr>
      <w:r w:rsidRPr="002228CB">
        <w:rPr>
          <w:rFonts w:ascii="Times New Roman" w:hAnsi="Times New Roman"/>
          <w:b/>
          <w:sz w:val="18"/>
          <w:szCs w:val="18"/>
        </w:rPr>
        <w:t>Fonte</w:t>
      </w:r>
      <w:r w:rsidRPr="002228CB">
        <w:rPr>
          <w:rFonts w:ascii="Times New Roman" w:hAnsi="Times New Roman"/>
          <w:sz w:val="18"/>
          <w:szCs w:val="18"/>
        </w:rPr>
        <w:t>: Banco Central. Elaboração: Ministério da Fazenda</w:t>
      </w:r>
      <w:r>
        <w:rPr>
          <w:rStyle w:val="Refdenotaderodap"/>
          <w:rFonts w:ascii="Times New Roman" w:hAnsi="Times New Roman"/>
        </w:rPr>
        <w:footnoteReference w:id="558"/>
      </w:r>
    </w:p>
    <w:p w:rsidR="000F038F" w:rsidRDefault="000F038F" w:rsidP="000F038F">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b/>
      </w:r>
      <w:r w:rsidRPr="00B31241">
        <w:rPr>
          <w:rFonts w:ascii="Times New Roman" w:hAnsi="Times New Roman"/>
          <w:sz w:val="24"/>
          <w:szCs w:val="24"/>
        </w:rPr>
        <w:t xml:space="preserve">É impressionante o volume de recursos creditícios concedidos pelas instituições financeiras do Estado: correspondeu a cerca de 140% da soma dos percentuais de créditos concedidos pelas instituições doméstica privada e estrangeira. O setor bancário-financeiro doméstico compareceu com 240% de recursos a mais do que o setor bancário-financeiro estrangeiro, mas significou apenas </w:t>
      </w:r>
      <w:r>
        <w:rPr>
          <w:rFonts w:ascii="Times New Roman" w:hAnsi="Times New Roman"/>
          <w:sz w:val="24"/>
          <w:szCs w:val="24"/>
        </w:rPr>
        <w:t>30% do volume dispensado pelos bancos estatais. Não à toa, nas plenárias do CDES, conselheiros-empresários reclamavam das dificuldades em se obter crédito no setor privado bancário. Na última reunião de 2008, pressionavam no Conselho os ministros Guido Mantega e Henrique Meirelles para que houvesse maior liberação de recursos dos bancos públicos, já que não conseguiam ter acesso aos créditos privados. O presidente Lula da Silva manifestou-se sobre a questão:</w:t>
      </w:r>
    </w:p>
    <w:p w:rsidR="000F038F" w:rsidRPr="004D15A5" w:rsidRDefault="000F038F" w:rsidP="000F038F">
      <w:pPr>
        <w:autoSpaceDE w:val="0"/>
        <w:autoSpaceDN w:val="0"/>
        <w:adjustRightInd w:val="0"/>
        <w:spacing w:line="240" w:lineRule="auto"/>
        <w:ind w:left="2268"/>
        <w:jc w:val="both"/>
        <w:rPr>
          <w:rFonts w:ascii="Times New Roman" w:hAnsi="Times New Roman"/>
          <w:sz w:val="20"/>
          <w:szCs w:val="20"/>
        </w:rPr>
      </w:pPr>
      <w:r w:rsidRPr="004D15A5">
        <w:rPr>
          <w:rFonts w:ascii="Times New Roman" w:hAnsi="Times New Roman"/>
          <w:sz w:val="20"/>
          <w:szCs w:val="20"/>
        </w:rPr>
        <w:t xml:space="preserve">Vamos analisar o crédito brasileiro, que é uma coisa que precisa ser discutida, e eu tenho pedido para o Meirelles e para o Guido conversarem sistematicamente com o sistema financeiro brasileiro, chamarem os presidentes dos bancos para conversar, porque não tem muita explicação a falta de crédito como estamos tendo aqui. </w:t>
      </w:r>
      <w:r>
        <w:rPr>
          <w:rFonts w:ascii="Times New Roman" w:hAnsi="Times New Roman"/>
          <w:sz w:val="20"/>
          <w:szCs w:val="20"/>
        </w:rPr>
        <w:t>É preciso, Meirelles, olhar bem. (...) Obviamente, há um processo de desconfiança. (Presidente Lula da Silva, Ata da 28ª reunião plenária, 06/11/2008, p. 24-25).</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Viabilizada por meio de instrumentos legislativos (emissão de medidas provisórias e de decretos), ocorreram, como vimos, uma série de incentivos e desonerações de vários setores do capital que apontavam para a apropriação do fundo público de amparo estatal aos trabalhadores em benefício da acumulação capitalista. A postergação do recolhimento recursos tributários na forma de impostos e contribuições fiscais, tais como PIS e Cofins, e a proposta de desoneração da folha de pagamento do empresariado, implantada desde 2011 e tornada permanente em 2014 (Lei 13.043/04), sob o governo Dilma Rousseff, afetou a forma de contribuição do empresariado à Previdência Social. Trata-se de um sistema tributário e arrecadatório do Estado brasileiro que financia os direitos e benefícios conquistados pelos trabalhadores para a seguridade social cuja parcela de recursos está sendo paulatinamente repassada ao capital sob a alegação de que, sem o rebaixamento do “Custo Brasil”,</w:t>
      </w:r>
      <w:r>
        <w:rPr>
          <w:rStyle w:val="Refdenotaderodap"/>
          <w:rFonts w:ascii="Times New Roman" w:hAnsi="Times New Roman"/>
          <w:sz w:val="24"/>
          <w:szCs w:val="24"/>
        </w:rPr>
        <w:footnoteReference w:id="559"/>
      </w:r>
      <w:r>
        <w:rPr>
          <w:rFonts w:ascii="Times New Roman" w:hAnsi="Times New Roman"/>
          <w:sz w:val="24"/>
          <w:szCs w:val="24"/>
        </w:rPr>
        <w:t xml:space="preserve"> o estímulo à competitividade empresarial não conseguiria se sustentar. </w:t>
      </w:r>
    </w:p>
    <w:p w:rsidR="000F038F" w:rsidRDefault="000F038F" w:rsidP="000F038F">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 As desonerações foram apresentadas pelo ministro Guido Mantega na 34ª reunião plenária, em 17 de junho de 2010. Segundo ele, </w:t>
      </w:r>
      <w:r w:rsidRPr="000973E7">
        <w:rPr>
          <w:rFonts w:ascii="Times New Roman" w:hAnsi="Times New Roman"/>
          <w:sz w:val="24"/>
          <w:szCs w:val="24"/>
        </w:rPr>
        <w:t>“Não é tudo que desejaríamos, a gente gostaria de ter reduzido ainda mais os tributos, porém não foi pouco aquilo que foi reduzidodurante esse período</w:t>
      </w:r>
      <w:r>
        <w:rPr>
          <w:rFonts w:ascii="Times New Roman" w:hAnsi="Times New Roman"/>
          <w:sz w:val="24"/>
          <w:szCs w:val="24"/>
        </w:rPr>
        <w:t>”</w:t>
      </w:r>
      <w:r w:rsidRPr="000973E7">
        <w:rPr>
          <w:rFonts w:ascii="Times New Roman" w:hAnsi="Times New Roman"/>
          <w:sz w:val="24"/>
          <w:szCs w:val="24"/>
        </w:rPr>
        <w:t>.</w:t>
      </w:r>
      <w:r>
        <w:rPr>
          <w:rStyle w:val="Refdenotaderodap"/>
          <w:rFonts w:ascii="Times New Roman" w:hAnsi="Times New Roman"/>
          <w:sz w:val="24"/>
          <w:szCs w:val="24"/>
        </w:rPr>
        <w:footnoteReference w:id="560"/>
      </w:r>
    </w:p>
    <w:p w:rsidR="000F038F" w:rsidRPr="00B34A54" w:rsidRDefault="000F038F" w:rsidP="000F038F">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Tabela 4.1 – Desonerações tributárias no segundo governo Lula da Silva (valores em R$ milhões)</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p>
    <w:p w:rsidR="000F038F" w:rsidRDefault="000F038F" w:rsidP="000F038F">
      <w:pPr>
        <w:autoSpaceDE w:val="0"/>
        <w:autoSpaceDN w:val="0"/>
        <w:adjustRightInd w:val="0"/>
        <w:spacing w:after="0" w:line="360" w:lineRule="auto"/>
        <w:ind w:firstLine="708"/>
        <w:jc w:val="center"/>
        <w:rPr>
          <w:rFonts w:ascii="Times New Roman" w:hAnsi="Times New Roman"/>
          <w:sz w:val="24"/>
          <w:szCs w:val="24"/>
        </w:rPr>
      </w:pPr>
      <w:r w:rsidRPr="00BE2CC9">
        <w:rPr>
          <w:rFonts w:ascii="Times New Roman" w:hAnsi="Times New Roman"/>
          <w:noProof/>
          <w:sz w:val="24"/>
          <w:szCs w:val="24"/>
          <w:lang w:eastAsia="pt-BR"/>
        </w:rPr>
        <w:drawing>
          <wp:inline distT="0" distB="0" distL="0" distR="0">
            <wp:extent cx="4182745" cy="2572385"/>
            <wp:effectExtent l="19050" t="0" r="8255" b="0"/>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3"/>
                    <a:srcRect/>
                    <a:stretch>
                      <a:fillRect/>
                    </a:stretch>
                  </pic:blipFill>
                  <pic:spPr bwMode="auto">
                    <a:xfrm>
                      <a:off x="0" y="0"/>
                      <a:ext cx="4182745" cy="2572385"/>
                    </a:xfrm>
                    <a:prstGeom prst="rect">
                      <a:avLst/>
                    </a:prstGeom>
                    <a:noFill/>
                    <a:ln w="9525">
                      <a:noFill/>
                      <a:miter lim="800000"/>
                      <a:headEnd/>
                      <a:tailEnd/>
                    </a:ln>
                  </pic:spPr>
                </pic:pic>
              </a:graphicData>
            </a:graphic>
          </wp:inline>
        </w:drawing>
      </w:r>
    </w:p>
    <w:p w:rsidR="000F038F" w:rsidRDefault="000F038F" w:rsidP="004640A8">
      <w:pPr>
        <w:autoSpaceDE w:val="0"/>
        <w:autoSpaceDN w:val="0"/>
        <w:adjustRightInd w:val="0"/>
        <w:spacing w:before="240" w:after="0" w:line="360" w:lineRule="auto"/>
        <w:ind w:firstLine="708"/>
        <w:jc w:val="both"/>
        <w:rPr>
          <w:rFonts w:ascii="Times New Roman" w:hAnsi="Times New Roman"/>
          <w:sz w:val="24"/>
          <w:szCs w:val="24"/>
        </w:rPr>
      </w:pPr>
      <w:r w:rsidRPr="00482430">
        <w:rPr>
          <w:rFonts w:ascii="Times New Roman" w:hAnsi="Times New Roman"/>
          <w:sz w:val="24"/>
          <w:szCs w:val="24"/>
        </w:rPr>
        <w:t xml:space="preserve">As contribuições sociais destinadas à seguridade social </w:t>
      </w:r>
      <w:r>
        <w:rPr>
          <w:rFonts w:ascii="Times New Roman" w:hAnsi="Times New Roman"/>
          <w:sz w:val="24"/>
          <w:szCs w:val="24"/>
        </w:rPr>
        <w:t>são</w:t>
      </w:r>
      <w:r w:rsidRPr="00482430">
        <w:rPr>
          <w:rFonts w:ascii="Times New Roman" w:hAnsi="Times New Roman"/>
          <w:sz w:val="24"/>
          <w:szCs w:val="24"/>
        </w:rPr>
        <w:t xml:space="preserve"> a parte mais significativa de recursos que financia</w:t>
      </w:r>
      <w:r>
        <w:rPr>
          <w:rFonts w:ascii="Times New Roman" w:hAnsi="Times New Roman"/>
          <w:sz w:val="24"/>
          <w:szCs w:val="24"/>
        </w:rPr>
        <w:t>m</w:t>
      </w:r>
      <w:r w:rsidRPr="00482430">
        <w:rPr>
          <w:rFonts w:ascii="Times New Roman" w:hAnsi="Times New Roman"/>
          <w:sz w:val="24"/>
          <w:szCs w:val="24"/>
        </w:rPr>
        <w:t xml:space="preserve"> os direitos relativos à saúde, previdência e assistência social. Tributos de competência da União (instituição, arrecadação e fiscalização), a contribuição social patronal sobre a folha de pagamentos, a contribuição social sobre o faturamento ou a receita (C</w:t>
      </w:r>
      <w:r>
        <w:rPr>
          <w:rFonts w:ascii="Times New Roman" w:hAnsi="Times New Roman"/>
          <w:sz w:val="24"/>
          <w:szCs w:val="24"/>
        </w:rPr>
        <w:t>OFINS</w:t>
      </w:r>
      <w:r w:rsidRPr="00482430">
        <w:rPr>
          <w:rFonts w:ascii="Times New Roman" w:hAnsi="Times New Roman"/>
          <w:sz w:val="24"/>
          <w:szCs w:val="24"/>
        </w:rPr>
        <w:t>) e a contribuição do PIS (destinada a financiar o seguro-desemprego) integram o orçamento da seguridade social e as seguidas e ampliadas desonerações impactam na formação deste fundo. No governo Dilma Rousseff, a contribuição social sobre o lucro líquido (CSLL), outra contribuição que aporta recursos para a seguridade social, também foi alvejada por desonerações.</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No plano das formulações abrangentes de intervenção governamental, vale lembrar que, desde janeiro de 2007, o governo havia lançado o Programa de Aceleração do Crescimento (PAC), voltado essencialmente para a modernização das áreas de infraestrutura social e urbana (saneamento, habitação, transporte, Luz para Todos e recursos hídricos), logística (rodovias, ferrovias, portos, aeroportos e hidrovias) e energética (energia elétrica, gás natural, petróleo, combustíveis renováveis). Largos setores econômicos, num total de 24,</w:t>
      </w:r>
      <w:r>
        <w:rPr>
          <w:rStyle w:val="Refdenotaderodap"/>
          <w:rFonts w:ascii="Times New Roman" w:hAnsi="Times New Roman"/>
          <w:sz w:val="24"/>
          <w:szCs w:val="24"/>
        </w:rPr>
        <w:footnoteReference w:id="561"/>
      </w:r>
      <w:r>
        <w:rPr>
          <w:rFonts w:ascii="Times New Roman" w:hAnsi="Times New Roman"/>
          <w:sz w:val="24"/>
          <w:szCs w:val="24"/>
        </w:rPr>
        <w:t xml:space="preserve">passaram também a contar com um conjunto maior de subsídios, incentivos e desonerações fiscais e tributárias na produção, na exportação e nos investimentos, expresso no Programa de Desenvolvimento Produtivo (PDP), lançado em maio de 2008, em meio ao cenário de crise internacional. Esses programas exigiram do Estado a ampliação da capacidade de injeção e canalização de gigantescos investimentos públicos em favor de grandes grupos privados, especialmente das empreiteiras, por meio das PPP’s e dos contratos de concessão, aprofundando a lógica privatizante e liberalizante. É forçoso mencionar que o PAC e as PPP’s foram políticas públicas debatidas, articuladas e chanceladas no interior do Conselho, ainda que não seja possível (e nem seja esta a finalidade) atribuir-lhe qualquer “paternidade”. </w:t>
      </w:r>
    </w:p>
    <w:p w:rsidR="000F038F" w:rsidRDefault="000F038F" w:rsidP="000F038F">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Deve-se atentar igualmente para o sentido “às avessas” (em relação aos trabalhadores) assumido pelo conjunto de desonerações e incentivos pró-capital como forma de combate à crise econômica e, sob o mesmo argumento, mantido e ampliado no governo de Dilma Rousseff. Numa acepção mais geral, estas políticas foram apresentadas sob formas de incentivos à “indústria nacional”, através do fomento à competitividade dos setores econômicos </w:t>
      </w:r>
      <w:r w:rsidR="00F729D2">
        <w:rPr>
          <w:rFonts w:ascii="Times New Roman" w:hAnsi="Times New Roman"/>
          <w:sz w:val="24"/>
          <w:szCs w:val="24"/>
        </w:rPr>
        <w:t>diante d</w:t>
      </w:r>
      <w:r>
        <w:rPr>
          <w:rFonts w:ascii="Times New Roman" w:hAnsi="Times New Roman"/>
          <w:sz w:val="24"/>
          <w:szCs w:val="24"/>
        </w:rPr>
        <w:t>o cenário internacional, à geração de empregos formais e o aumento da remuneração dos trabalhadores. Um argumento de peso, sempre acionado, foi o rechaço às políticas recessivas, de retração da atividade econômica, de contenção salarial e do consumo interno, em suma, às chamadas políticas neoliberais de administração de crises oriundas dos governos de FHC.</w:t>
      </w:r>
    </w:p>
    <w:p w:rsidR="000F038F" w:rsidRPr="005460D0" w:rsidRDefault="000F038F" w:rsidP="000F038F">
      <w:pPr>
        <w:autoSpaceDE w:val="0"/>
        <w:autoSpaceDN w:val="0"/>
        <w:adjustRightInd w:val="0"/>
        <w:ind w:firstLine="708"/>
        <w:jc w:val="both"/>
        <w:rPr>
          <w:rFonts w:ascii="Times New Roman" w:hAnsi="Times New Roman"/>
          <w:b/>
          <w:sz w:val="24"/>
          <w:szCs w:val="24"/>
        </w:rPr>
      </w:pPr>
      <w:r w:rsidRPr="005460D0">
        <w:rPr>
          <w:rFonts w:ascii="Times New Roman" w:hAnsi="Times New Roman"/>
          <w:b/>
          <w:sz w:val="24"/>
          <w:szCs w:val="24"/>
        </w:rPr>
        <w:t>4.2.3 –</w:t>
      </w:r>
      <w:r>
        <w:rPr>
          <w:rFonts w:ascii="Times New Roman" w:hAnsi="Times New Roman"/>
          <w:b/>
          <w:sz w:val="24"/>
          <w:szCs w:val="24"/>
        </w:rPr>
        <w:t xml:space="preserve"> Crise e classe trabalhadora no CDES: bancarização e empresariamento</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Como já dissemos, questões como a reforma tributária e, dentro dela, as desonerações para o “setor produtivo” sempre constituíram a marca dos debates no Conselho, mesmo antes da eclosão da crise. Com seu advento, contudo, tal demanda assume foros de urgência, com recorrentes cobranças ao governo, expressas nas intervenções plenárias a seguir (antes e após a crise). Observa-se que se trata de ir além e de reduzir o conjunto de direitos conquistados, em nome de “impedir” a crise (e não de combatê-la).</w:t>
      </w:r>
    </w:p>
    <w:p w:rsidR="000F038F" w:rsidRDefault="000F038F" w:rsidP="000F038F">
      <w:pPr>
        <w:autoSpaceDE w:val="0"/>
        <w:autoSpaceDN w:val="0"/>
        <w:adjustRightInd w:val="0"/>
        <w:spacing w:before="240" w:after="0" w:line="240" w:lineRule="auto"/>
        <w:ind w:left="2268"/>
        <w:jc w:val="both"/>
        <w:rPr>
          <w:rFonts w:ascii="Times New Roman" w:hAnsi="Times New Roman"/>
          <w:sz w:val="20"/>
          <w:szCs w:val="20"/>
        </w:rPr>
      </w:pPr>
      <w:r w:rsidRPr="004222AE">
        <w:rPr>
          <w:rFonts w:ascii="Times New Roman" w:hAnsi="Times New Roman"/>
          <w:sz w:val="20"/>
          <w:szCs w:val="20"/>
        </w:rPr>
        <w:t xml:space="preserve">Eu acho que o empresário usa muitas vezes a máquina que substitui a mão de obra porque a mão de obra se torna cara e muitas vezes perigosa para nós por </w:t>
      </w:r>
      <w:r w:rsidRPr="001949AB">
        <w:rPr>
          <w:rFonts w:ascii="Times New Roman" w:hAnsi="Times New Roman"/>
          <w:b/>
          <w:sz w:val="20"/>
          <w:szCs w:val="20"/>
        </w:rPr>
        <w:t>não haver uma isenção perfeita da justiça de trabalho</w:t>
      </w:r>
      <w:r w:rsidRPr="004222AE">
        <w:rPr>
          <w:rFonts w:ascii="Times New Roman" w:hAnsi="Times New Roman"/>
          <w:sz w:val="20"/>
          <w:szCs w:val="20"/>
        </w:rPr>
        <w:t xml:space="preserve">. Então nós temos </w:t>
      </w:r>
      <w:r w:rsidRPr="001949AB">
        <w:rPr>
          <w:rFonts w:ascii="Times New Roman" w:hAnsi="Times New Roman"/>
          <w:b/>
          <w:sz w:val="20"/>
          <w:szCs w:val="20"/>
        </w:rPr>
        <w:t>medo da penalização</w:t>
      </w:r>
      <w:r w:rsidRPr="004222AE">
        <w:rPr>
          <w:rFonts w:ascii="Times New Roman" w:hAnsi="Times New Roman"/>
          <w:sz w:val="20"/>
          <w:szCs w:val="20"/>
        </w:rPr>
        <w:t xml:space="preserve"> que decorre de uma carteira assinada, e eu acho que se nós tivermos uma </w:t>
      </w:r>
      <w:r w:rsidRPr="001949AB">
        <w:rPr>
          <w:rFonts w:ascii="Times New Roman" w:hAnsi="Times New Roman"/>
          <w:b/>
          <w:sz w:val="20"/>
          <w:szCs w:val="20"/>
        </w:rPr>
        <w:t>simplificação dos encargos sociais sobre a folha</w:t>
      </w:r>
      <w:r w:rsidRPr="004222AE">
        <w:rPr>
          <w:rFonts w:ascii="Times New Roman" w:hAnsi="Times New Roman"/>
          <w:sz w:val="20"/>
          <w:szCs w:val="20"/>
        </w:rPr>
        <w:t xml:space="preserve"> e se nós fizermos a conta do custo do capital, as máquinas não serão tão preponderantes assim na ati</w:t>
      </w:r>
      <w:r>
        <w:rPr>
          <w:rFonts w:ascii="Times New Roman" w:hAnsi="Times New Roman"/>
          <w:sz w:val="20"/>
          <w:szCs w:val="20"/>
        </w:rPr>
        <w:t>v</w:t>
      </w:r>
      <w:r w:rsidRPr="004222AE">
        <w:rPr>
          <w:rFonts w:ascii="Times New Roman" w:hAnsi="Times New Roman"/>
          <w:sz w:val="20"/>
          <w:szCs w:val="20"/>
        </w:rPr>
        <w:t>idade presente e futura da indústria da cana (Conselheiro Paulo Vellinho, Ata da 22ª Reunião Plenária, 17/07/07, p. 45</w:t>
      </w:r>
      <w:r>
        <w:rPr>
          <w:rFonts w:ascii="Times New Roman" w:hAnsi="Times New Roman"/>
          <w:sz w:val="20"/>
          <w:szCs w:val="20"/>
        </w:rPr>
        <w:t>, grifos meus</w:t>
      </w:r>
      <w:r w:rsidRPr="004222AE">
        <w:rPr>
          <w:rFonts w:ascii="Times New Roman" w:hAnsi="Times New Roman"/>
          <w:sz w:val="20"/>
          <w:szCs w:val="20"/>
        </w:rPr>
        <w:t>).</w:t>
      </w:r>
    </w:p>
    <w:p w:rsidR="000F038F" w:rsidRDefault="000F038F" w:rsidP="000F038F">
      <w:pPr>
        <w:autoSpaceDE w:val="0"/>
        <w:autoSpaceDN w:val="0"/>
        <w:adjustRightInd w:val="0"/>
        <w:spacing w:after="0" w:line="240" w:lineRule="auto"/>
        <w:ind w:left="2268"/>
        <w:jc w:val="both"/>
        <w:rPr>
          <w:rFonts w:ascii="Times New Roman" w:hAnsi="Times New Roman"/>
          <w:sz w:val="20"/>
          <w:szCs w:val="20"/>
        </w:rPr>
      </w:pPr>
    </w:p>
    <w:p w:rsidR="000F038F" w:rsidRDefault="000F038F" w:rsidP="000F038F">
      <w:pPr>
        <w:autoSpaceDE w:val="0"/>
        <w:autoSpaceDN w:val="0"/>
        <w:adjustRightInd w:val="0"/>
        <w:spacing w:after="0" w:line="240" w:lineRule="auto"/>
        <w:ind w:left="2268"/>
        <w:jc w:val="both"/>
        <w:rPr>
          <w:rFonts w:ascii="Times New Roman" w:hAnsi="Times New Roman"/>
          <w:sz w:val="20"/>
          <w:szCs w:val="20"/>
        </w:rPr>
      </w:pPr>
      <w:r w:rsidRPr="00F008A9">
        <w:rPr>
          <w:rFonts w:ascii="Times New Roman" w:hAnsi="Times New Roman"/>
          <w:sz w:val="20"/>
          <w:szCs w:val="20"/>
        </w:rPr>
        <w:t xml:space="preserve">A questão dos </w:t>
      </w:r>
      <w:r w:rsidRPr="001949AB">
        <w:rPr>
          <w:rFonts w:ascii="Times New Roman" w:hAnsi="Times New Roman"/>
          <w:b/>
          <w:sz w:val="20"/>
          <w:szCs w:val="20"/>
        </w:rPr>
        <w:t xml:space="preserve">custos indiretos da contratação da </w:t>
      </w:r>
      <w:r w:rsidR="00D056BE">
        <w:rPr>
          <w:rFonts w:ascii="Times New Roman" w:hAnsi="Times New Roman"/>
          <w:b/>
          <w:sz w:val="20"/>
          <w:szCs w:val="20"/>
        </w:rPr>
        <w:t>mão de obra</w:t>
      </w:r>
      <w:r w:rsidRPr="00F008A9">
        <w:rPr>
          <w:rFonts w:ascii="Times New Roman" w:hAnsi="Times New Roman"/>
          <w:sz w:val="20"/>
          <w:szCs w:val="20"/>
        </w:rPr>
        <w:t xml:space="preserve">. O problema no Brasil não é o salário que o trabalhador recebe, mas sim o montante de recursos que o empresário paga para que componha o universo do salário do trabalhador. O trabalhador não recebe o custo que o empresário paga pelo seu salário e isso deve ser motivo de reflexão, porque apesar de todo o nosso esforço, a informalidade no trabalho continua sendo muito importante no Brasil. Sendo assim, acho que o governo deve trabalhar intensamente para que </w:t>
      </w:r>
      <w:r w:rsidRPr="001949AB">
        <w:rPr>
          <w:rFonts w:ascii="Times New Roman" w:hAnsi="Times New Roman"/>
          <w:b/>
          <w:sz w:val="20"/>
          <w:szCs w:val="20"/>
        </w:rPr>
        <w:t>se desonere a contratação do trabalhador</w:t>
      </w:r>
      <w:r>
        <w:rPr>
          <w:rFonts w:ascii="Times New Roman" w:hAnsi="Times New Roman"/>
          <w:sz w:val="20"/>
          <w:szCs w:val="20"/>
        </w:rPr>
        <w:t xml:space="preserve"> no Brasil (Conselheiro Murilo Aragão, Ata da 30ª Reunião Plenária, 04/06/09, p. 18, grifos meus).</w:t>
      </w:r>
    </w:p>
    <w:p w:rsidR="000F038F" w:rsidRDefault="000F038F" w:rsidP="000F038F">
      <w:pPr>
        <w:autoSpaceDE w:val="0"/>
        <w:autoSpaceDN w:val="0"/>
        <w:adjustRightInd w:val="0"/>
        <w:spacing w:after="0" w:line="240" w:lineRule="auto"/>
        <w:ind w:left="2268"/>
        <w:jc w:val="both"/>
        <w:rPr>
          <w:rFonts w:ascii="Times New Roman" w:hAnsi="Times New Roman"/>
          <w:sz w:val="20"/>
          <w:szCs w:val="20"/>
        </w:rPr>
      </w:pPr>
    </w:p>
    <w:p w:rsidR="000F038F" w:rsidRDefault="000F038F" w:rsidP="000F038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 xml:space="preserve">Assinala-se ainda que, nesse período, ocorreu inequívoca extensão da bancarização atingindo largos setores da classe trabalhadora, inclusive dentre os setores mais modestos, especialmente por meio da oferta de crédito consignado em folha de pagamento (iniciativa originalmente sugerida pelo conselheiro Luiz Marinho, então presidente da CUT) e dos recebimentos de valores repassados por programas de transferência de renda e benefícios de prestação continuada. </w:t>
      </w:r>
    </w:p>
    <w:p w:rsidR="000F038F" w:rsidRDefault="000F038F" w:rsidP="000F038F">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Por meio do CDES, mais uma vez, o então presidente da CUT, Artur Henrique, mostrou-se eficaz em conseguir apoios para a implementação de sua proposta de que trabalhadores fossem incentivados a abrirem contas bancárias em instituições que se dispusessem a oferecer juros menores para empréstimos pessoais, compra de veículos e demais operações de créditos simples. Conforme assinala a memória do 4º Encontro de Monitoramento da Crise do CDES, em 16/02/2009:</w:t>
      </w:r>
    </w:p>
    <w:p w:rsidR="000F038F" w:rsidRDefault="000F038F" w:rsidP="000F038F">
      <w:pPr>
        <w:autoSpaceDE w:val="0"/>
        <w:autoSpaceDN w:val="0"/>
        <w:adjustRightInd w:val="0"/>
        <w:spacing w:line="240" w:lineRule="auto"/>
        <w:ind w:left="2268"/>
        <w:jc w:val="both"/>
        <w:rPr>
          <w:rFonts w:ascii="Times New Roman" w:hAnsi="Times New Roman"/>
          <w:sz w:val="20"/>
          <w:szCs w:val="20"/>
        </w:rPr>
      </w:pPr>
      <w:r w:rsidRPr="00243CD2">
        <w:rPr>
          <w:rFonts w:ascii="Times New Roman" w:hAnsi="Times New Roman"/>
          <w:sz w:val="20"/>
          <w:szCs w:val="20"/>
        </w:rPr>
        <w:t>O benefício contemplaria, também, tarifas mais acessíveis nas operações bancárias. A Caixa Econômica Federal e o Banco do Brasil demonstraram interesse na oferta, feita durante esta IV reunião do GA de Monitoramento da Crise Econômica Internacional, do Conselho de Desenvolvimento Econômico e Social. A idéia agradou, também, a Henrique Meirelles, que estava presente na reunião do CDES e a considerou alinhada como proposta para reduzir a taxa de juros praticada pelos bancos.</w:t>
      </w:r>
      <w:r>
        <w:rPr>
          <w:rStyle w:val="Refdenotaderodap"/>
          <w:rFonts w:ascii="Times New Roman" w:hAnsi="Times New Roman"/>
        </w:rPr>
        <w:footnoteReference w:id="562"/>
      </w:r>
      <w:r w:rsidRPr="00243CD2">
        <w:rPr>
          <w:rFonts w:ascii="Times New Roman" w:hAnsi="Times New Roman"/>
          <w:sz w:val="20"/>
          <w:szCs w:val="20"/>
        </w:rPr>
        <w:cr/>
      </w:r>
    </w:p>
    <w:p w:rsidR="000F038F" w:rsidRPr="00243CD2" w:rsidRDefault="000F038F" w:rsidP="004640A8">
      <w:pPr>
        <w:pStyle w:val="Ttulo2"/>
        <w:spacing w:after="240" w:afterAutospacing="0" w:line="360" w:lineRule="auto"/>
        <w:jc w:val="both"/>
        <w:rPr>
          <w:sz w:val="24"/>
          <w:szCs w:val="24"/>
        </w:rPr>
      </w:pPr>
      <w:r>
        <w:rPr>
          <w:sz w:val="24"/>
          <w:szCs w:val="24"/>
        </w:rPr>
        <w:tab/>
      </w:r>
      <w:r w:rsidRPr="00D16C46">
        <w:rPr>
          <w:b w:val="0"/>
          <w:sz w:val="24"/>
          <w:szCs w:val="24"/>
        </w:rPr>
        <w:t>No endereço eletrônico da Central, encontramos a matéria “</w:t>
      </w:r>
      <w:r w:rsidRPr="00D16C46">
        <w:rPr>
          <w:b w:val="0"/>
          <w:color w:val="000000"/>
          <w:sz w:val="24"/>
          <w:szCs w:val="24"/>
        </w:rPr>
        <w:t>CUT apóia medida do Governo, desde que as contrapartidas sociais estejam garantidas</w:t>
      </w:r>
      <w:r>
        <w:rPr>
          <w:b w:val="0"/>
          <w:color w:val="000000"/>
          <w:sz w:val="24"/>
          <w:szCs w:val="24"/>
        </w:rPr>
        <w:t>”, de 26/03/2009, onde se lê</w:t>
      </w:r>
      <w:r>
        <w:rPr>
          <w:sz w:val="24"/>
          <w:szCs w:val="24"/>
        </w:rPr>
        <w:t>:</w:t>
      </w:r>
    </w:p>
    <w:p w:rsidR="000F038F" w:rsidRPr="00243CD2" w:rsidRDefault="000F038F" w:rsidP="000F038F">
      <w:pPr>
        <w:spacing w:line="240" w:lineRule="auto"/>
        <w:ind w:left="2268"/>
        <w:jc w:val="both"/>
        <w:rPr>
          <w:rFonts w:ascii="Times New Roman" w:hAnsi="Times New Roman"/>
          <w:color w:val="000000"/>
          <w:sz w:val="20"/>
          <w:szCs w:val="20"/>
        </w:rPr>
      </w:pPr>
      <w:r w:rsidRPr="00243CD2">
        <w:rPr>
          <w:rFonts w:ascii="Times New Roman" w:hAnsi="Times New Roman"/>
          <w:color w:val="000000"/>
          <w:sz w:val="20"/>
          <w:szCs w:val="20"/>
        </w:rPr>
        <w:t xml:space="preserve">A Central Única dos Trabalhadores apóia toda e qualquer proposta que tenha como foco o enfrentamento aos efeitos causados pela crise internacional e que tenha como premissa o desenvolvimento com garantia </w:t>
      </w:r>
      <w:r>
        <w:rPr>
          <w:rFonts w:ascii="Times New Roman" w:hAnsi="Times New Roman"/>
          <w:color w:val="000000"/>
          <w:sz w:val="20"/>
          <w:szCs w:val="20"/>
        </w:rPr>
        <w:t xml:space="preserve">de </w:t>
      </w:r>
      <w:r w:rsidRPr="00243CD2">
        <w:rPr>
          <w:rFonts w:ascii="Times New Roman" w:hAnsi="Times New Roman"/>
          <w:color w:val="000000"/>
          <w:sz w:val="20"/>
          <w:szCs w:val="20"/>
        </w:rPr>
        <w:t>emprego, renda, direitos e inclusão social. No dia 18 de março, por exemplo, a partir de uma proposta feita por nós durante reunião do</w:t>
      </w:r>
      <w:r w:rsidRPr="00243CD2">
        <w:rPr>
          <w:rStyle w:val="apple-converted-space"/>
          <w:rFonts w:ascii="Times New Roman" w:hAnsi="Times New Roman"/>
          <w:color w:val="000000"/>
          <w:sz w:val="20"/>
          <w:szCs w:val="20"/>
        </w:rPr>
        <w:t> </w:t>
      </w:r>
      <w:r w:rsidRPr="00243CD2">
        <w:rPr>
          <w:rFonts w:ascii="Times New Roman" w:hAnsi="Times New Roman"/>
          <w:color w:val="000000"/>
          <w:sz w:val="20"/>
          <w:szCs w:val="20"/>
        </w:rPr>
        <w:t>Conselho de Desenvolvimento Econômico e Social (CDES),</w:t>
      </w:r>
      <w:r w:rsidRPr="00243CD2">
        <w:rPr>
          <w:rStyle w:val="apple-converted-space"/>
          <w:rFonts w:ascii="Times New Roman" w:hAnsi="Times New Roman"/>
          <w:color w:val="000000"/>
          <w:sz w:val="20"/>
          <w:szCs w:val="20"/>
        </w:rPr>
        <w:t> </w:t>
      </w:r>
      <w:r w:rsidRPr="00243CD2">
        <w:rPr>
          <w:rFonts w:ascii="Times New Roman" w:hAnsi="Times New Roman"/>
          <w:color w:val="000000"/>
          <w:sz w:val="20"/>
          <w:szCs w:val="20"/>
        </w:rPr>
        <w:t>firmamos um protocolo com o Banco do Brasil e Caixa Econômica Federal, que passarão a</w:t>
      </w:r>
      <w:r w:rsidRPr="00243CD2">
        <w:rPr>
          <w:rStyle w:val="apple-converted-space"/>
          <w:rFonts w:ascii="Times New Roman" w:hAnsi="Times New Roman"/>
          <w:color w:val="000000"/>
          <w:sz w:val="20"/>
          <w:szCs w:val="20"/>
        </w:rPr>
        <w:t> </w:t>
      </w:r>
      <w:r w:rsidRPr="00243CD2">
        <w:rPr>
          <w:rFonts w:ascii="Times New Roman" w:hAnsi="Times New Roman"/>
          <w:color w:val="000000"/>
          <w:sz w:val="20"/>
          <w:szCs w:val="20"/>
        </w:rPr>
        <w:t>oferecer contas correntes com isenção de tarifas e redução drástica das taxas de juros a trabalhadores e trabalhadoras filiad</w:t>
      </w:r>
      <w:r>
        <w:rPr>
          <w:rFonts w:ascii="Times New Roman" w:hAnsi="Times New Roman"/>
          <w:color w:val="000000"/>
          <w:sz w:val="20"/>
          <w:szCs w:val="20"/>
        </w:rPr>
        <w:t>a</w:t>
      </w:r>
      <w:r w:rsidRPr="00243CD2">
        <w:rPr>
          <w:rFonts w:ascii="Times New Roman" w:hAnsi="Times New Roman"/>
          <w:color w:val="000000"/>
          <w:sz w:val="20"/>
          <w:szCs w:val="20"/>
        </w:rPr>
        <w:t>s a sindicatos cutistas.</w:t>
      </w:r>
      <w:r>
        <w:rPr>
          <w:rStyle w:val="Refdenotaderodap"/>
          <w:rFonts w:ascii="Times New Roman" w:hAnsi="Times New Roman"/>
          <w:color w:val="000000"/>
        </w:rPr>
        <w:footnoteReference w:id="563"/>
      </w:r>
    </w:p>
    <w:p w:rsidR="000F038F" w:rsidRPr="00D34E07" w:rsidRDefault="000F038F" w:rsidP="000F038F">
      <w:pPr>
        <w:autoSpaceDE w:val="0"/>
        <w:autoSpaceDN w:val="0"/>
        <w:adjustRightInd w:val="0"/>
        <w:spacing w:after="0" w:line="360" w:lineRule="auto"/>
        <w:ind w:firstLine="708"/>
        <w:jc w:val="both"/>
        <w:rPr>
          <w:rFonts w:ascii="Times New Roman" w:hAnsi="Times New Roman"/>
          <w:sz w:val="24"/>
          <w:szCs w:val="24"/>
        </w:rPr>
      </w:pPr>
      <w:r w:rsidRPr="00D34E07">
        <w:rPr>
          <w:rFonts w:ascii="Times New Roman" w:hAnsi="Times New Roman"/>
          <w:sz w:val="24"/>
          <w:szCs w:val="24"/>
        </w:rPr>
        <w:t>Trata-se de mais uma medida que compõe a frente de bancarização de significativas parcelas da classe traba</w:t>
      </w:r>
      <w:r>
        <w:rPr>
          <w:rFonts w:ascii="Times New Roman" w:hAnsi="Times New Roman"/>
          <w:sz w:val="24"/>
          <w:szCs w:val="24"/>
        </w:rPr>
        <w:t xml:space="preserve">lhadora brasileira, </w:t>
      </w:r>
      <w:r w:rsidR="003227A8">
        <w:rPr>
          <w:rFonts w:ascii="Times New Roman" w:hAnsi="Times New Roman"/>
          <w:sz w:val="24"/>
          <w:szCs w:val="24"/>
        </w:rPr>
        <w:t xml:space="preserve">processo </w:t>
      </w:r>
      <w:r>
        <w:rPr>
          <w:rFonts w:ascii="Times New Roman" w:hAnsi="Times New Roman"/>
          <w:sz w:val="24"/>
          <w:szCs w:val="24"/>
        </w:rPr>
        <w:t xml:space="preserve">proveniente desde a ditadura. O Conselho </w:t>
      </w:r>
      <w:r w:rsidRPr="00D34E07">
        <w:rPr>
          <w:rFonts w:ascii="Times New Roman" w:hAnsi="Times New Roman"/>
          <w:sz w:val="24"/>
          <w:szCs w:val="24"/>
        </w:rPr>
        <w:t xml:space="preserve">funcionou como canal facilitador e/ou abreviador </w:t>
      </w:r>
      <w:r>
        <w:rPr>
          <w:rFonts w:ascii="Times New Roman" w:hAnsi="Times New Roman"/>
          <w:sz w:val="24"/>
          <w:szCs w:val="24"/>
        </w:rPr>
        <w:t>da adequação</w:t>
      </w:r>
      <w:r w:rsidRPr="00F60B59">
        <w:rPr>
          <w:rFonts w:ascii="Times New Roman" w:hAnsi="Times New Roman"/>
          <w:i/>
          <w:sz w:val="24"/>
          <w:szCs w:val="24"/>
        </w:rPr>
        <w:t>da política sindical laboral</w:t>
      </w:r>
      <w:r w:rsidRPr="00D34E07">
        <w:rPr>
          <w:rFonts w:ascii="Times New Roman" w:hAnsi="Times New Roman"/>
          <w:sz w:val="24"/>
          <w:szCs w:val="24"/>
        </w:rPr>
        <w:t xml:space="preserve"> às prerrogativas de fortalecimento e recrudescimento da fração </w:t>
      </w:r>
      <w:r>
        <w:rPr>
          <w:rFonts w:ascii="Times New Roman" w:hAnsi="Times New Roman"/>
          <w:sz w:val="24"/>
          <w:szCs w:val="24"/>
        </w:rPr>
        <w:t xml:space="preserve"> bancário-financeira </w:t>
      </w:r>
      <w:r w:rsidRPr="00D34E07">
        <w:rPr>
          <w:rFonts w:ascii="Times New Roman" w:hAnsi="Times New Roman"/>
          <w:sz w:val="24"/>
          <w:szCs w:val="24"/>
        </w:rPr>
        <w:t xml:space="preserve">do capital, </w:t>
      </w:r>
      <w:r>
        <w:rPr>
          <w:rFonts w:ascii="Times New Roman" w:hAnsi="Times New Roman"/>
          <w:sz w:val="24"/>
          <w:szCs w:val="24"/>
        </w:rPr>
        <w:t>desde umaperspectiva</w:t>
      </w:r>
      <w:r w:rsidRPr="00D34E07">
        <w:rPr>
          <w:rFonts w:ascii="Times New Roman" w:hAnsi="Times New Roman"/>
          <w:sz w:val="24"/>
          <w:szCs w:val="24"/>
        </w:rPr>
        <w:t xml:space="preserve"> pragmática de “melhorismo” para os trabalhadores, redundância das formas de acesso imediato e facilitado ao consumismo, sinonimizado como benefício de “inclusão social”. Em  detrimento de qualquer posição crítica e/ou contestatória classista, tal como o estabelecimento da luta e da conquista de direitos coletivos no horizonte de aperfeiçoamento das condições de vida e de trabalho da classe trabalhadora, mergulha-se sem </w:t>
      </w:r>
      <w:r>
        <w:rPr>
          <w:rFonts w:ascii="Times New Roman" w:hAnsi="Times New Roman"/>
          <w:sz w:val="24"/>
          <w:szCs w:val="24"/>
        </w:rPr>
        <w:t>renitência à agenda do capital bancário-financeiro</w:t>
      </w:r>
      <w:r w:rsidRPr="00D34E07">
        <w:rPr>
          <w:rFonts w:ascii="Times New Roman" w:hAnsi="Times New Roman"/>
          <w:sz w:val="24"/>
          <w:szCs w:val="24"/>
        </w:rPr>
        <w:t xml:space="preserve">, buscando soluções mercantis imediatas para as dificuldades individuais de consumo. Tal rebaixamento da pauta política representa dramática dependência, subordinação, expropriação e desmobilização dos trabalhadores, - por iniciativa própria da cúpula da burocracia sindical social-liberal instalada no CDES </w:t>
      </w:r>
      <w:r>
        <w:rPr>
          <w:rFonts w:ascii="Times New Roman" w:hAnsi="Times New Roman"/>
          <w:sz w:val="24"/>
          <w:szCs w:val="24"/>
        </w:rPr>
        <w:t>–</w:t>
      </w:r>
      <w:r w:rsidRPr="00D34E07">
        <w:rPr>
          <w:rFonts w:ascii="Times New Roman" w:hAnsi="Times New Roman"/>
          <w:sz w:val="24"/>
          <w:szCs w:val="24"/>
        </w:rPr>
        <w:t xml:space="preserve"> mediante a criação de contingentes disponíveis (acessíveis) de trabalhadores às formas de mercantilização e financeirização das relações de reprodução da vida social.</w:t>
      </w:r>
    </w:p>
    <w:p w:rsidR="000F038F" w:rsidRDefault="000F038F" w:rsidP="000F038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Outras fronteiras de subalternização do trabalho se abriram. Como medida de combate à crise, como vimos, o impulso a setores do capital envolveu projetos de participação ativa de aderência dos próprios trabalhadores (PROCAP BK). Trata-se de um programa do BNDES que objetiva incentivar, por meio de uma linha de financiamento, trabalhadores das pequenas e médias empresas de bens de capital, componentes e autopeças a adquirirem até 30% do seu capital social. </w:t>
      </w:r>
    </w:p>
    <w:p w:rsidR="000F038F" w:rsidRDefault="000F038F" w:rsidP="000F038F">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A expectativa é a de não apenas remover do horizonte a luta de classes e a possibilidade de emancipação dos trabalhadores, mas de responsabilizá-los pela melhor</w:t>
      </w:r>
      <w:r w:rsidR="003227A8">
        <w:rPr>
          <w:rFonts w:ascii="Times New Roman" w:hAnsi="Times New Roman"/>
          <w:sz w:val="24"/>
          <w:szCs w:val="24"/>
        </w:rPr>
        <w:t>ia da gestão para o capital, na perspectiva de comprometê-los com as formas de sociabilidade típicas do capitalismo na fase monopólico-financeira.</w:t>
      </w:r>
      <w:r>
        <w:rPr>
          <w:rFonts w:ascii="Times New Roman" w:hAnsi="Times New Roman"/>
          <w:sz w:val="24"/>
          <w:szCs w:val="24"/>
        </w:rPr>
        <w:t xml:space="preserve"> A concepção do programa instaura a lógica do “ganha-ganha”. </w:t>
      </w:r>
      <w:r w:rsidR="003227A8">
        <w:rPr>
          <w:rFonts w:ascii="Times New Roman" w:hAnsi="Times New Roman"/>
          <w:sz w:val="24"/>
          <w:szCs w:val="24"/>
        </w:rPr>
        <w:t>V</w:t>
      </w:r>
      <w:r>
        <w:rPr>
          <w:rFonts w:ascii="Times New Roman" w:hAnsi="Times New Roman"/>
          <w:sz w:val="24"/>
          <w:szCs w:val="24"/>
        </w:rPr>
        <w:t xml:space="preserve">ale a pena ler fragmentos da visão de mundo não de empresários em si, mas de seus intelectuais burocratas posicionados no BNDES:     </w:t>
      </w:r>
    </w:p>
    <w:p w:rsidR="000F038F" w:rsidRDefault="000F038F" w:rsidP="000F038F">
      <w:pPr>
        <w:autoSpaceDE w:val="0"/>
        <w:autoSpaceDN w:val="0"/>
        <w:adjustRightInd w:val="0"/>
        <w:spacing w:line="240" w:lineRule="auto"/>
        <w:ind w:left="2268"/>
        <w:jc w:val="both"/>
        <w:rPr>
          <w:rFonts w:ascii="Times New Roman" w:hAnsi="Times New Roman"/>
          <w:color w:val="000000"/>
          <w:sz w:val="20"/>
          <w:szCs w:val="20"/>
        </w:rPr>
      </w:pPr>
      <w:r w:rsidRPr="00AB69E3">
        <w:rPr>
          <w:rFonts w:ascii="Times New Roman" w:hAnsi="Times New Roman"/>
          <w:color w:val="000000"/>
          <w:sz w:val="20"/>
          <w:szCs w:val="20"/>
        </w:rPr>
        <w:t xml:space="preserve">A palavra comprometimento está ligada de forma muito importante ao programa. Quando o funcionário passa a participar ativamente da empresa, a consciência dele muda. É um novo patamar e estabelece uma nova relação com o corpo funcional acreditando no conjunto da empresa, e isso é essencial. </w:t>
      </w:r>
      <w:r>
        <w:rPr>
          <w:rFonts w:ascii="Times New Roman" w:hAnsi="Times New Roman"/>
          <w:color w:val="000000"/>
          <w:sz w:val="20"/>
          <w:szCs w:val="20"/>
        </w:rPr>
        <w:t>(</w:t>
      </w:r>
      <w:r w:rsidRPr="00AB69E3">
        <w:rPr>
          <w:rFonts w:ascii="Times New Roman" w:hAnsi="Times New Roman"/>
          <w:color w:val="000000"/>
          <w:sz w:val="20"/>
          <w:szCs w:val="20"/>
        </w:rPr>
        <w:t>Nelson Tortosa</w:t>
      </w:r>
      <w:r>
        <w:rPr>
          <w:rFonts w:ascii="Times New Roman" w:hAnsi="Times New Roman"/>
          <w:color w:val="000000"/>
          <w:sz w:val="20"/>
          <w:szCs w:val="20"/>
        </w:rPr>
        <w:t>, Gerente de relacionamento e apoio a instituições do BNDES).</w:t>
      </w:r>
    </w:p>
    <w:p w:rsidR="000F038F" w:rsidRDefault="000F038F" w:rsidP="000F038F">
      <w:pPr>
        <w:autoSpaceDE w:val="0"/>
        <w:autoSpaceDN w:val="0"/>
        <w:adjustRightInd w:val="0"/>
        <w:spacing w:line="240" w:lineRule="auto"/>
        <w:ind w:left="2268"/>
        <w:jc w:val="both"/>
        <w:rPr>
          <w:rFonts w:ascii="Times New Roman" w:hAnsi="Times New Roman"/>
          <w:color w:val="000000"/>
          <w:sz w:val="20"/>
          <w:szCs w:val="20"/>
        </w:rPr>
      </w:pPr>
      <w:r w:rsidRPr="00AB69E3">
        <w:rPr>
          <w:rFonts w:ascii="Times New Roman" w:hAnsi="Times New Roman"/>
          <w:color w:val="000000"/>
          <w:sz w:val="20"/>
          <w:szCs w:val="20"/>
        </w:rPr>
        <w:t xml:space="preserve">A </w:t>
      </w:r>
      <w:r w:rsidRPr="00F269C1">
        <w:rPr>
          <w:rFonts w:ascii="Times New Roman" w:hAnsi="Times New Roman"/>
          <w:b/>
          <w:color w:val="000000"/>
          <w:sz w:val="20"/>
          <w:szCs w:val="20"/>
        </w:rPr>
        <w:t>visão é do ganha-ganha</w:t>
      </w:r>
      <w:r w:rsidRPr="00AB69E3">
        <w:rPr>
          <w:rFonts w:ascii="Times New Roman" w:hAnsi="Times New Roman"/>
          <w:color w:val="000000"/>
          <w:sz w:val="20"/>
          <w:szCs w:val="20"/>
        </w:rPr>
        <w:t>. A soma do capital e do trabalho, de forma que seja bom para todos. Se eu produzir bem e meu patrão for um empresário de sucesso, também vou ter meu quinhão. Principalmente para a indústria de bens de capital,que necessita de mão de obra especializada, este programa é muito importante para o setor, pois é uma política que ajuda a reter</w:t>
      </w:r>
      <w:r>
        <w:rPr>
          <w:rFonts w:ascii="Times New Roman" w:hAnsi="Times New Roman"/>
          <w:color w:val="000000"/>
          <w:sz w:val="20"/>
          <w:szCs w:val="20"/>
        </w:rPr>
        <w:t xml:space="preserve"> os profissionais capacitados. (</w:t>
      </w:r>
      <w:r w:rsidRPr="00AB69E3">
        <w:rPr>
          <w:rFonts w:ascii="Times New Roman" w:hAnsi="Times New Roman"/>
          <w:color w:val="000000"/>
          <w:sz w:val="20"/>
          <w:szCs w:val="20"/>
        </w:rPr>
        <w:t>Claudio Bernardo de Moraes</w:t>
      </w:r>
      <w:r>
        <w:rPr>
          <w:rFonts w:ascii="Times New Roman" w:hAnsi="Times New Roman"/>
          <w:color w:val="000000"/>
          <w:sz w:val="20"/>
          <w:szCs w:val="20"/>
        </w:rPr>
        <w:t>, Superintendente da área de Operações Indiretas do BNDES – grifos meus).</w:t>
      </w:r>
      <w:r>
        <w:rPr>
          <w:rStyle w:val="Refdenotaderodap"/>
          <w:rFonts w:ascii="Times New Roman" w:hAnsi="Times New Roman"/>
          <w:color w:val="000000"/>
        </w:rPr>
        <w:footnoteReference w:id="564"/>
      </w:r>
    </w:p>
    <w:p w:rsidR="000F038F" w:rsidRDefault="000F038F" w:rsidP="000F038F">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Tudo indica que o próprio conselheiro presidente da ABIMAQ, o empresário Luiz Aubert Neto (dono da Aubert Engrenagens), foi um dos principais articuladores pela promoção do BNDES ao setor. O conselheiro-empresário afirma que</w:t>
      </w:r>
    </w:p>
    <w:p w:rsidR="000F038F" w:rsidRDefault="000F038F" w:rsidP="000F038F">
      <w:pPr>
        <w:autoSpaceDE w:val="0"/>
        <w:autoSpaceDN w:val="0"/>
        <w:adjustRightInd w:val="0"/>
        <w:spacing w:line="240" w:lineRule="auto"/>
        <w:ind w:left="2268"/>
        <w:jc w:val="both"/>
        <w:rPr>
          <w:rFonts w:ascii="Times New Roman" w:hAnsi="Times New Roman"/>
          <w:sz w:val="24"/>
          <w:szCs w:val="24"/>
        </w:rPr>
      </w:pPr>
      <w:r w:rsidRPr="002D042D">
        <w:rPr>
          <w:rFonts w:ascii="Times New Roman" w:hAnsi="Times New Roman"/>
          <w:color w:val="000000"/>
          <w:sz w:val="20"/>
          <w:szCs w:val="20"/>
        </w:rPr>
        <w:t xml:space="preserve">A ideia nasceu aqui dentro da ABIMAQ quando discutíamos o que era possível fazer para mudar o país: o caminho é </w:t>
      </w:r>
      <w:r w:rsidRPr="00F15DF8">
        <w:rPr>
          <w:rFonts w:ascii="Times New Roman" w:hAnsi="Times New Roman"/>
          <w:b/>
          <w:color w:val="000000"/>
          <w:sz w:val="20"/>
          <w:szCs w:val="20"/>
        </w:rPr>
        <w:t>juntar forças com aquele que está no dia a dia do seu lado</w:t>
      </w:r>
      <w:r w:rsidRPr="002D042D">
        <w:rPr>
          <w:rFonts w:ascii="Times New Roman" w:hAnsi="Times New Roman"/>
          <w:color w:val="000000"/>
          <w:sz w:val="20"/>
          <w:szCs w:val="20"/>
        </w:rPr>
        <w:t xml:space="preserve">. Se você consegue unir forças e trabalhar junto, este é o caminho. O Procap BK é uma forma de </w:t>
      </w:r>
      <w:r w:rsidRPr="00F15DF8">
        <w:rPr>
          <w:rFonts w:ascii="Times New Roman" w:hAnsi="Times New Roman"/>
          <w:b/>
          <w:color w:val="000000"/>
          <w:sz w:val="20"/>
          <w:szCs w:val="20"/>
        </w:rPr>
        <w:t>transformar a relação capital e trabalho de uma maneira legal, bacana</w:t>
      </w:r>
      <w:r w:rsidRPr="002D042D">
        <w:rPr>
          <w:rFonts w:ascii="Times New Roman" w:hAnsi="Times New Roman"/>
          <w:color w:val="000000"/>
          <w:sz w:val="20"/>
          <w:szCs w:val="20"/>
        </w:rPr>
        <w:t>. Você cria um time dentro do seu negócio</w:t>
      </w:r>
      <w:r>
        <w:rPr>
          <w:rFonts w:ascii="Times New Roman" w:hAnsi="Times New Roman"/>
          <w:color w:val="000000"/>
          <w:sz w:val="20"/>
          <w:szCs w:val="20"/>
        </w:rPr>
        <w:t xml:space="preserve">. (...) </w:t>
      </w:r>
      <w:r w:rsidRPr="002D042D">
        <w:rPr>
          <w:rFonts w:ascii="Times New Roman" w:hAnsi="Times New Roman"/>
          <w:color w:val="000000"/>
          <w:sz w:val="20"/>
          <w:szCs w:val="20"/>
        </w:rPr>
        <w:t xml:space="preserve">Não tenho dúvidas de que este programa vai estabelecer um novo paradigma e mudar a </w:t>
      </w:r>
      <w:r w:rsidRPr="00F15DF8">
        <w:rPr>
          <w:rFonts w:ascii="Times New Roman" w:hAnsi="Times New Roman"/>
          <w:b/>
          <w:color w:val="000000"/>
          <w:sz w:val="20"/>
          <w:szCs w:val="20"/>
        </w:rPr>
        <w:t>rentabilidade e a produtividade</w:t>
      </w:r>
      <w:r w:rsidRPr="002D042D">
        <w:rPr>
          <w:rFonts w:ascii="Times New Roman" w:hAnsi="Times New Roman"/>
          <w:color w:val="000000"/>
          <w:sz w:val="20"/>
          <w:szCs w:val="20"/>
        </w:rPr>
        <w:t xml:space="preserve"> do nosso setor</w:t>
      </w:r>
      <w:r>
        <w:rPr>
          <w:rStyle w:val="Refdenotaderodap"/>
          <w:rFonts w:ascii="Times New Roman" w:hAnsi="Times New Roman"/>
          <w:color w:val="000000"/>
          <w:sz w:val="20"/>
          <w:szCs w:val="20"/>
        </w:rPr>
        <w:footnoteReference w:id="565"/>
      </w:r>
    </w:p>
    <w:p w:rsidR="000F038F" w:rsidRDefault="000F038F" w:rsidP="000F038F">
      <w:pPr>
        <w:autoSpaceDE w:val="0"/>
        <w:autoSpaceDN w:val="0"/>
        <w:adjustRightInd w:val="0"/>
        <w:spacing w:line="360" w:lineRule="auto"/>
        <w:ind w:firstLine="708"/>
        <w:jc w:val="both"/>
        <w:rPr>
          <w:rFonts w:ascii="Times New Roman" w:hAnsi="Times New Roman"/>
          <w:sz w:val="24"/>
          <w:szCs w:val="24"/>
        </w:rPr>
      </w:pPr>
      <w:r w:rsidRPr="00F15DF8">
        <w:rPr>
          <w:rFonts w:ascii="Times New Roman" w:hAnsi="Times New Roman"/>
          <w:color w:val="000000"/>
          <w:sz w:val="24"/>
          <w:szCs w:val="24"/>
        </w:rPr>
        <w:t xml:space="preserve">Em plenária, Lula da Silva </w:t>
      </w:r>
      <w:r>
        <w:rPr>
          <w:rFonts w:ascii="Times New Roman" w:hAnsi="Times New Roman"/>
          <w:color w:val="000000"/>
          <w:sz w:val="24"/>
          <w:szCs w:val="24"/>
        </w:rPr>
        <w:t>considerou</w:t>
      </w:r>
      <w:r w:rsidRPr="00F15DF8">
        <w:rPr>
          <w:rFonts w:ascii="Times New Roman" w:hAnsi="Times New Roman"/>
          <w:color w:val="000000"/>
          <w:sz w:val="24"/>
          <w:szCs w:val="24"/>
        </w:rPr>
        <w:t xml:space="preserve"> o projeto</w:t>
      </w:r>
      <w:r>
        <w:rPr>
          <w:rFonts w:ascii="Times New Roman" w:hAnsi="Times New Roman"/>
          <w:color w:val="000000"/>
          <w:sz w:val="24"/>
          <w:szCs w:val="24"/>
        </w:rPr>
        <w:t xml:space="preserve">, então em fase piloto,como </w:t>
      </w:r>
      <w:r w:rsidRPr="00F15DF8">
        <w:rPr>
          <w:rFonts w:ascii="Times New Roman" w:hAnsi="Times New Roman"/>
          <w:color w:val="000000"/>
          <w:sz w:val="24"/>
          <w:szCs w:val="24"/>
        </w:rPr>
        <w:t>“</w:t>
      </w:r>
      <w:r>
        <w:rPr>
          <w:rFonts w:ascii="Times New Roman" w:hAnsi="Times New Roman"/>
          <w:color w:val="000000"/>
          <w:sz w:val="24"/>
          <w:szCs w:val="24"/>
        </w:rPr>
        <w:t xml:space="preserve">uma coisa </w:t>
      </w:r>
      <w:r w:rsidRPr="00F15DF8">
        <w:rPr>
          <w:rFonts w:ascii="Times New Roman" w:hAnsi="Times New Roman"/>
          <w:color w:val="000000"/>
          <w:sz w:val="24"/>
          <w:szCs w:val="24"/>
        </w:rPr>
        <w:t>extraordinári</w:t>
      </w:r>
      <w:r>
        <w:rPr>
          <w:rFonts w:ascii="Times New Roman" w:hAnsi="Times New Roman"/>
          <w:color w:val="000000"/>
          <w:sz w:val="24"/>
          <w:szCs w:val="24"/>
        </w:rPr>
        <w:t>a</w:t>
      </w:r>
      <w:r w:rsidRPr="00F15DF8">
        <w:rPr>
          <w:rFonts w:ascii="Times New Roman" w:hAnsi="Times New Roman"/>
          <w:color w:val="000000"/>
          <w:sz w:val="24"/>
          <w:szCs w:val="24"/>
        </w:rPr>
        <w:t>”</w:t>
      </w:r>
      <w:r w:rsidRPr="002D042D">
        <w:rPr>
          <w:rFonts w:ascii="Times New Roman" w:hAnsi="Times New Roman"/>
          <w:color w:val="000000"/>
          <w:sz w:val="20"/>
          <w:szCs w:val="20"/>
        </w:rPr>
        <w:t>.</w:t>
      </w:r>
      <w:r>
        <w:rPr>
          <w:rStyle w:val="Refdenotaderodap"/>
          <w:rFonts w:ascii="Times New Roman" w:hAnsi="Times New Roman"/>
          <w:color w:val="000000"/>
          <w:sz w:val="20"/>
          <w:szCs w:val="20"/>
        </w:rPr>
        <w:footnoteReference w:id="566"/>
      </w:r>
      <w:r>
        <w:rPr>
          <w:rFonts w:ascii="Times New Roman" w:hAnsi="Times New Roman"/>
          <w:sz w:val="24"/>
          <w:szCs w:val="24"/>
        </w:rPr>
        <w:t xml:space="preserve">Tal projeto apresentava-se como promessa de compromisso necessário e exequível de “emancipação” econômica (ascensão dos rendimentos individual), desde que os trabalhadores mobilizassem e comungassem esforços para o aprimoramento e execução do cabedal técnico-profissional, da habilidade, da cooperação produtiva entre eles e do conjunto de conhecimentos acumulados (da </w:t>
      </w:r>
      <w:r>
        <w:rPr>
          <w:rFonts w:ascii="Times New Roman" w:hAnsi="Times New Roman"/>
          <w:i/>
          <w:sz w:val="24"/>
          <w:szCs w:val="24"/>
        </w:rPr>
        <w:t xml:space="preserve">expertise </w:t>
      </w:r>
      <w:r>
        <w:rPr>
          <w:rFonts w:ascii="Times New Roman" w:hAnsi="Times New Roman"/>
          <w:sz w:val="24"/>
          <w:szCs w:val="24"/>
        </w:rPr>
        <w:t xml:space="preserve">adquirida) em favor não apenas do aumento da produtividade (o que é essencial), mas da adaptabilidade “empreendedora” à sociabilidade de um trabalhador cada vez mais disponível e disposto, agora em seus aspectos psíquico-comportamentais. </w:t>
      </w:r>
    </w:p>
    <w:p w:rsidR="000F038F" w:rsidRPr="0031455F" w:rsidRDefault="000F038F" w:rsidP="000F038F">
      <w:pPr>
        <w:autoSpaceDE w:val="0"/>
        <w:autoSpaceDN w:val="0"/>
        <w:adjustRightInd w:val="0"/>
        <w:ind w:firstLine="708"/>
        <w:jc w:val="both"/>
        <w:rPr>
          <w:rFonts w:ascii="Times New Roman" w:hAnsi="Times New Roman"/>
          <w:b/>
          <w:sz w:val="24"/>
          <w:szCs w:val="24"/>
        </w:rPr>
      </w:pPr>
      <w:r>
        <w:rPr>
          <w:rFonts w:ascii="Times New Roman" w:hAnsi="Times New Roman"/>
          <w:b/>
          <w:sz w:val="24"/>
          <w:szCs w:val="24"/>
        </w:rPr>
        <w:t>4.2.4 - Os conselheiros-empresários no Grupo de Acompanhamento da Crise do Ministério da Fazenda (GAC)</w:t>
      </w:r>
    </w:p>
    <w:p w:rsidR="000F038F" w:rsidRDefault="000F038F" w:rsidP="0051241A">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Empresariado e Estado não participavam da gestão conjunta da crise econômica apenas por meio do CDES. Outros canais no aparato estatal foram franqueados à participação de grandes empresários, muitos deles conselheiros do CDES. No final de  2008, foi criado, no âmbito do Ministério da Fazenda, o Grupo de Acompanhamento da Crise (GAC), renomeado em outubro de 2009 de Grupo de Avanço da Competitividade. Constituído por ministros, integrantes do governo e lideranças empresariais, o GAC, com reuniões mensais a partir de janeiro de 2009, estabelecia uma linha direta entre as mais expressivas lideranças empresariais e o núcleo econômico do aparato estatal, principalmente com o ministro da Fazenda (coordenador do GAC), com o ministro do Desenvolvimento, Indústria e Comércio (Miguel Jorge), com o presidente do Banco Central (Henrique Meirelles) e do BNDES (Luciano Coutinho). </w:t>
      </w:r>
    </w:p>
    <w:p w:rsidR="000F038F" w:rsidRDefault="000F038F" w:rsidP="000F038F">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A alegação para a criação do Grupo foi a “abertura de diálogo” com os setores empresariais para adequar e encaminhar medidas de contenção da crise em consonância com análises traçadas pelos setores econômicos. Na prática, porém, o GAC servia como espécie de “feira livre” para angariar novas e velhas demandas empresariais em que se acolhiam enxurradas de pressões setoriais e consensos intra-empresariais, tais como desonerações dos investimentos, incentivos fiscais e tributários, prorrogação de recolhimentos tributários, aceleração de devolução de créditos tributários, ampliação do crédito pelos bancos públicos, inclusive para micro e pequenas empresas, dentre outros, todos exaustivamente exigidos nas reuniões plenárias do CDES. Como alude reportagem do jornal “O Estado de São Paulo”:</w:t>
      </w:r>
    </w:p>
    <w:p w:rsidR="000F038F" w:rsidRDefault="000F038F" w:rsidP="000F038F">
      <w:pPr>
        <w:autoSpaceDE w:val="0"/>
        <w:autoSpaceDN w:val="0"/>
        <w:adjustRightInd w:val="0"/>
        <w:spacing w:line="240" w:lineRule="auto"/>
        <w:ind w:left="2268"/>
        <w:jc w:val="both"/>
        <w:rPr>
          <w:rFonts w:ascii="Times New Roman" w:hAnsi="Times New Roman"/>
          <w:sz w:val="20"/>
          <w:szCs w:val="20"/>
        </w:rPr>
      </w:pPr>
      <w:r w:rsidRPr="001D1E5F">
        <w:rPr>
          <w:rFonts w:ascii="Times New Roman" w:hAnsi="Times New Roman"/>
          <w:sz w:val="20"/>
          <w:szCs w:val="20"/>
        </w:rPr>
        <w:t>O “turbilhão de pedidos tem deixado confusos os secretários do ministro da Fazenda, Guido Mantega, responsáveis pela análise das reivindicações. (...) “Está faltando bom senso”. O governo fica entre desonerar e garantir mais recursos na mão do contribuinte (empresa ou pessoa física) ou usar o aparato do Estado para garantir investimento e crédito que possam estimular depois a atividade econômica.</w:t>
      </w:r>
      <w:r>
        <w:rPr>
          <w:rFonts w:ascii="Times New Roman" w:hAnsi="Times New Roman"/>
          <w:sz w:val="20"/>
          <w:szCs w:val="20"/>
        </w:rPr>
        <w:t xml:space="preserve"> (...) Dois integrantes da equipe econômica já confidenciaram que o GAC foi uma decisão errada, porque trouxe a crise e o lobby para a portaria do Ministério da Fazenda, onde ganham “voz mais amplificada” com a cobertura jornalística permanente.</w:t>
      </w:r>
      <w:r>
        <w:rPr>
          <w:rStyle w:val="Refdenotaderodap"/>
          <w:rFonts w:ascii="Times New Roman" w:hAnsi="Times New Roman"/>
        </w:rPr>
        <w:footnoteReference w:id="567"/>
      </w:r>
    </w:p>
    <w:p w:rsidR="000F038F" w:rsidRDefault="000F038F" w:rsidP="000F038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Com o GAC do Ministério da Fazenda, os empresários mantinham relações diretas e mais próximas com quem orquestrava as decisões de política econômica do governo, o que certamente facilitava e deixava às claras os entraves e as exigências para realização de programas dos setores do capital, sem precisarem se preocupar em acenar com a “concertação”, de trabalhosa e paciente construção, exigida por um Conselho de composição híbrida, como o CDES.</w:t>
      </w:r>
      <w:r>
        <w:rPr>
          <w:rStyle w:val="Refdenotaderodap"/>
          <w:rFonts w:ascii="Times New Roman" w:hAnsi="Times New Roman"/>
          <w:sz w:val="24"/>
          <w:szCs w:val="24"/>
        </w:rPr>
        <w:footnoteReference w:id="568"/>
      </w:r>
      <w:r>
        <w:rPr>
          <w:rFonts w:ascii="Times New Roman" w:hAnsi="Times New Roman"/>
          <w:sz w:val="24"/>
          <w:szCs w:val="24"/>
        </w:rPr>
        <w:t xml:space="preserve">  Em suma, era um canal por onde o empresariado poderia agir com maior fluidez, deslocando os formatos clássicos de sua participação no Estado ampliado através de novos acessos mais diretos para a gestão da crise, tendo como mote o combate à crise econômica, permitindo a maior coesão interna da classe e consistência à articulação com a alta burocracia estatal. </w:t>
      </w:r>
    </w:p>
    <w:p w:rsidR="000F038F" w:rsidRDefault="000F038F" w:rsidP="000F038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Pode-se até mesmo trabalhar com a hipótese de que as decisões realmente mais relevantes, complexas e espinhosas, que demandavam sintonização e sincronização apuradas entre os grandes capitalistas e entre esses e as equipes ministeriais responsáveis pela condução direta da política econômica e acompanhamento da crise, tivessem sólidos encaminhamentos ou mesmo deliberações concretas fixadas no âmbito do GAC e que, noutra ocasião, estas chegassem ao CDES por meio das apresentações ministeriais como se fossem de atendimento das demandas do Conselho, servindo como forma tática de legitimação e de afastamento de divergências do CDES ou do próprio governo. Há pelo menos duas dificuldades na comprovação desta hipótese: i) desconhecemos a existência de atas ou relatórios do GAC; ii) seria no mínimo imprudente considerar que o papel relevante do GAC nas medidas adotadas teria apagado ou dirimido a importância de outros meios, instrumentos e canais empresariais na influência e condução conjunta desse processo. Esclarecer a conexão concreta (e o peso relativo) dos diferentes aparelhos privados de hegemonia em sua relação com o Estado brasileiro exige pesquisas documentais nas aquinhoadas fortalezas empresariais da sociedade civil e o acompanhamento das medidas (portarias, decretos, projetos de lei) expedidas pelos aparatos estatais decisórios, ou seja, os que compõem o “núcleo do poder” de Estado, isto de um lado. Do outro, caberia investigar minuciosamente a composição e a trajetória (formação acadêmica, vínculos profissionais, publicações, circuitos de participações eventos nacionais e internacionais) dos operadores econômicos e políticos proeminentes de tais agências estatais.</w:t>
      </w:r>
    </w:p>
    <w:p w:rsidR="000F038F" w:rsidRDefault="000F038F" w:rsidP="000F038F">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b/>
        <w:t>De qualquer modo, os mais destacados intelectuais orgânicos do capital no CDES pareciam trabalhar simultânea e conflituosamente em diferentes momentos da consciência política coletiva burguesa: ao bradarem pela resolução de seus problemas pontuais e setoriais davam mostras de que não estavam capacitados a transcender o nível econômico-corporativo das relações de forças; ao procurarem (também) no CDES o aperfeiçoamento do programa social-liberal (expresso no projeto “desenvolvimento com inclusão social”), assimilando e promovendo compromissos com os segmentos subalternos da coalizão presentes, buscavam alçar à condição da direção hegemônica. Na verdade, no nosso entender, trata-se de divisões não excludentes e complementares de ações organizativas dos setores dominantes, conformando frentes de ação multidirecionais da luta e da intervenção política dos dominantes, a qual se traduz por meio da unidade projetiva de sociabilidade (operacionalização da hegemonia), que carreia e responde à diversidade de unidades de acumulação competitivas, isto é, ao plano da produção e do interesse setorial. Parece-nos que, no Brasil recente, a oxigenação contínua da hegemonia precisa operar em nome dos subalternos, por meio da adesão ativa ou passiva, mas sem jamais abarcar o que é essencial. Gramsci assinala o movimento que se pretende captar e entender:</w:t>
      </w:r>
    </w:p>
    <w:p w:rsidR="000F038F" w:rsidRPr="000F396B" w:rsidRDefault="000F038F" w:rsidP="000F038F">
      <w:pPr>
        <w:autoSpaceDE w:val="0"/>
        <w:autoSpaceDN w:val="0"/>
        <w:adjustRightInd w:val="0"/>
        <w:spacing w:line="240" w:lineRule="auto"/>
        <w:ind w:left="2268"/>
        <w:jc w:val="both"/>
        <w:rPr>
          <w:rFonts w:ascii="Times New Roman" w:hAnsi="Times New Roman"/>
          <w:sz w:val="20"/>
          <w:szCs w:val="20"/>
        </w:rPr>
      </w:pPr>
      <w:r w:rsidRPr="000F396B">
        <w:rPr>
          <w:rFonts w:ascii="Times New Roman" w:hAnsi="Times New Roman"/>
          <w:sz w:val="20"/>
          <w:szCs w:val="20"/>
        </w:rPr>
        <w:t>O fato da hegemonia pressupõe indubitavelmente que sejam levados em conta os interesses e as tendências dos grupos sobre os quais a hegemonia será exercida, que se forma um certo equilíbrio de compromisso, isto é, que o grupo dirigente faça sacrifícios de ordem econômico-corporat</w:t>
      </w:r>
      <w:r>
        <w:rPr>
          <w:rFonts w:ascii="Times New Roman" w:hAnsi="Times New Roman"/>
          <w:sz w:val="20"/>
          <w:szCs w:val="20"/>
        </w:rPr>
        <w:t>iv</w:t>
      </w:r>
      <w:r w:rsidRPr="000F396B">
        <w:rPr>
          <w:rFonts w:ascii="Times New Roman" w:hAnsi="Times New Roman"/>
          <w:sz w:val="20"/>
          <w:szCs w:val="20"/>
        </w:rPr>
        <w:t>a; mas também é indubitável que tais sacrifícios e tal compromisso não podem envolver o essencial, dado que, se a hegemonia é ético-política, não pode deixar de ser também econômica, não pode deixar de ter seu fundamento na função decisiva que o grupo dirigente exerce no núcleo decisivo da atividade econômica</w:t>
      </w:r>
      <w:r>
        <w:rPr>
          <w:rFonts w:ascii="Times New Roman" w:hAnsi="Times New Roman"/>
          <w:sz w:val="20"/>
          <w:szCs w:val="20"/>
        </w:rPr>
        <w:t>.</w:t>
      </w:r>
      <w:r>
        <w:rPr>
          <w:rStyle w:val="Refdenotaderodap"/>
          <w:rFonts w:ascii="Times New Roman" w:hAnsi="Times New Roman"/>
        </w:rPr>
        <w:footnoteReference w:id="569"/>
      </w:r>
    </w:p>
    <w:p w:rsidR="000F038F" w:rsidRDefault="000F038F" w:rsidP="000F038F">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b/>
        <w:t>A capacidade de articulação do empresariado presente no CDES, organizado em frentes de ação na sociedade civil e política, de construir e formatar objetivos gerais de sociedade e de operacionalizar ações requeridas no campo corporativo-imediato, não é tributário apenas das condições advindas de crise. Mas o fato é que, na situação de gestão da crise sob o governo Lula da Silva, o Estado ampliado tendeu a abrir ainda mais suas comportas para a vazão dos interesses dominantes, ainda que tal ampliação continuasse atravessada por novas modalidades de seletividade. Esse parece ser um caminho analítico sólido para o caso dos empresários que participavam tanto do GAC quanto do CDES.</w:t>
      </w:r>
    </w:p>
    <w:p w:rsidR="000F038F" w:rsidRPr="003B2E76" w:rsidRDefault="000F038F" w:rsidP="000F038F">
      <w:pPr>
        <w:autoSpaceDE w:val="0"/>
        <w:autoSpaceDN w:val="0"/>
        <w:adjustRightInd w:val="0"/>
        <w:jc w:val="center"/>
        <w:rPr>
          <w:rFonts w:ascii="Times New Roman" w:hAnsi="Times New Roman"/>
          <w:b/>
          <w:sz w:val="24"/>
          <w:szCs w:val="24"/>
        </w:rPr>
      </w:pPr>
      <w:r>
        <w:rPr>
          <w:rFonts w:ascii="Times New Roman" w:hAnsi="Times New Roman"/>
          <w:b/>
          <w:sz w:val="24"/>
          <w:szCs w:val="24"/>
        </w:rPr>
        <w:t>Quadro 4.</w:t>
      </w:r>
      <w:r w:rsidR="00DF7F93">
        <w:rPr>
          <w:rFonts w:ascii="Times New Roman" w:hAnsi="Times New Roman"/>
          <w:b/>
          <w:sz w:val="24"/>
          <w:szCs w:val="24"/>
        </w:rPr>
        <w:t>4</w:t>
      </w:r>
      <w:r>
        <w:rPr>
          <w:rFonts w:ascii="Times New Roman" w:hAnsi="Times New Roman"/>
          <w:b/>
          <w:sz w:val="24"/>
          <w:szCs w:val="24"/>
        </w:rPr>
        <w:t xml:space="preserve"> – Empresários participantes do CDES e do GAC (MF) e suas vinculações com demais agências do Estado restrito (2003-2010)</w:t>
      </w:r>
      <w:r>
        <w:rPr>
          <w:rStyle w:val="Refdenotaderodap"/>
          <w:rFonts w:ascii="Times New Roman" w:hAnsi="Times New Roman"/>
          <w:b/>
          <w:sz w:val="24"/>
          <w:szCs w:val="24"/>
        </w:rPr>
        <w:footnoteReference w:id="570"/>
      </w:r>
    </w:p>
    <w:tbl>
      <w:tblPr>
        <w:tblW w:w="4877"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415"/>
        <w:gridCol w:w="1511"/>
        <w:gridCol w:w="5133"/>
      </w:tblGrid>
      <w:tr w:rsidR="000F038F" w:rsidRPr="008211FD" w:rsidTr="00EA1CE3">
        <w:tc>
          <w:tcPr>
            <w:tcW w:w="1333" w:type="pct"/>
            <w:tcBorders>
              <w:top w:val="single" w:sz="8" w:space="0" w:color="4F81BD"/>
              <w:left w:val="single" w:sz="8" w:space="0" w:color="4F81BD"/>
              <w:bottom w:val="single" w:sz="18" w:space="0" w:color="4F81BD"/>
              <w:right w:val="single" w:sz="8" w:space="0" w:color="4F81BD"/>
            </w:tcBorders>
            <w:noWrap/>
          </w:tcPr>
          <w:p w:rsidR="000F038F" w:rsidRPr="008211FD" w:rsidRDefault="000F038F" w:rsidP="00EA1CE3">
            <w:pPr>
              <w:spacing w:after="0"/>
              <w:rPr>
                <w:rFonts w:ascii="Times New Roman" w:eastAsia="Times New Roman" w:hAnsi="Times New Roman"/>
                <w:b/>
                <w:bCs/>
                <w:sz w:val="20"/>
                <w:szCs w:val="20"/>
              </w:rPr>
            </w:pPr>
            <w:r w:rsidRPr="008211FD">
              <w:rPr>
                <w:rFonts w:ascii="Times New Roman" w:eastAsia="Times New Roman" w:hAnsi="Times New Roman"/>
                <w:b/>
                <w:bCs/>
                <w:sz w:val="20"/>
                <w:szCs w:val="20"/>
              </w:rPr>
              <w:t>Conselheiros</w:t>
            </w:r>
          </w:p>
        </w:tc>
        <w:tc>
          <w:tcPr>
            <w:tcW w:w="834" w:type="pct"/>
            <w:tcBorders>
              <w:top w:val="single" w:sz="8" w:space="0" w:color="4F81BD"/>
              <w:left w:val="single" w:sz="8" w:space="0" w:color="4F81BD"/>
              <w:bottom w:val="single" w:sz="18" w:space="0" w:color="4F81BD"/>
              <w:right w:val="single" w:sz="8" w:space="0" w:color="4F81BD"/>
            </w:tcBorders>
          </w:tcPr>
          <w:p w:rsidR="000F038F" w:rsidRPr="008211FD" w:rsidRDefault="000F038F" w:rsidP="00EA1CE3">
            <w:pPr>
              <w:spacing w:after="0"/>
              <w:rPr>
                <w:rFonts w:ascii="Times New Roman" w:eastAsia="Times New Roman" w:hAnsi="Times New Roman"/>
                <w:b/>
                <w:bCs/>
                <w:sz w:val="20"/>
                <w:szCs w:val="20"/>
              </w:rPr>
            </w:pPr>
            <w:r w:rsidRPr="008211FD">
              <w:rPr>
                <w:rFonts w:ascii="Times New Roman" w:eastAsia="Times New Roman" w:hAnsi="Times New Roman"/>
                <w:b/>
                <w:bCs/>
                <w:sz w:val="20"/>
                <w:szCs w:val="20"/>
              </w:rPr>
              <w:t>Entidades</w:t>
            </w:r>
          </w:p>
        </w:tc>
        <w:tc>
          <w:tcPr>
            <w:tcW w:w="2834" w:type="pct"/>
            <w:tcBorders>
              <w:top w:val="single" w:sz="8" w:space="0" w:color="4F81BD"/>
              <w:left w:val="single" w:sz="8" w:space="0" w:color="4F81BD"/>
              <w:bottom w:val="single" w:sz="18" w:space="0" w:color="4F81BD"/>
              <w:right w:val="single" w:sz="8" w:space="0" w:color="4F81BD"/>
            </w:tcBorders>
          </w:tcPr>
          <w:p w:rsidR="000F038F" w:rsidRPr="008211FD" w:rsidRDefault="000F038F" w:rsidP="00EA1CE3">
            <w:pPr>
              <w:spacing w:after="0" w:line="240" w:lineRule="auto"/>
              <w:jc w:val="both"/>
              <w:rPr>
                <w:rFonts w:ascii="Times New Roman" w:eastAsia="Times New Roman" w:hAnsi="Times New Roman"/>
                <w:b/>
                <w:bCs/>
                <w:sz w:val="20"/>
                <w:szCs w:val="20"/>
              </w:rPr>
            </w:pPr>
            <w:r w:rsidRPr="008211FD">
              <w:rPr>
                <w:rFonts w:ascii="Times New Roman" w:eastAsia="Times New Roman" w:hAnsi="Times New Roman"/>
                <w:b/>
                <w:bCs/>
                <w:sz w:val="20"/>
                <w:szCs w:val="20"/>
              </w:rPr>
              <w:t>Vinculações com o Estado restrito (além do GAC)</w:t>
            </w:r>
          </w:p>
        </w:tc>
      </w:tr>
      <w:tr w:rsidR="000F038F" w:rsidRPr="008211FD" w:rsidTr="00EA1CE3">
        <w:tc>
          <w:tcPr>
            <w:tcW w:w="1333"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8211FD" w:rsidRDefault="000F038F" w:rsidP="00EA1CE3">
            <w:pPr>
              <w:spacing w:after="0"/>
              <w:rPr>
                <w:rFonts w:ascii="Times New Roman" w:eastAsia="Times New Roman" w:hAnsi="Times New Roman"/>
                <w:b/>
                <w:bCs/>
                <w:sz w:val="18"/>
                <w:szCs w:val="18"/>
              </w:rPr>
            </w:pPr>
            <w:r w:rsidRPr="008211FD">
              <w:rPr>
                <w:rFonts w:ascii="Times New Roman" w:eastAsia="Times New Roman" w:hAnsi="Times New Roman"/>
                <w:b/>
                <w:bCs/>
                <w:sz w:val="18"/>
                <w:szCs w:val="18"/>
              </w:rPr>
              <w:t>Armando Monteiro Neto</w:t>
            </w:r>
          </w:p>
        </w:tc>
        <w:tc>
          <w:tcPr>
            <w:tcW w:w="834"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jc w:val="center"/>
              <w:rPr>
                <w:rFonts w:ascii="Times New Roman" w:eastAsia="Times New Roman" w:hAnsi="Times New Roman"/>
                <w:sz w:val="18"/>
                <w:szCs w:val="18"/>
              </w:rPr>
            </w:pPr>
            <w:r w:rsidRPr="008211FD">
              <w:rPr>
                <w:rFonts w:ascii="Times New Roman" w:eastAsia="Times New Roman" w:hAnsi="Times New Roman"/>
                <w:sz w:val="18"/>
                <w:szCs w:val="18"/>
              </w:rPr>
              <w:t>CNI</w:t>
            </w:r>
          </w:p>
        </w:tc>
        <w:tc>
          <w:tcPr>
            <w:tcW w:w="2834"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both"/>
              <w:rPr>
                <w:rFonts w:ascii="Times New Roman" w:eastAsia="Times New Roman" w:hAnsi="Times New Roman"/>
                <w:sz w:val="18"/>
                <w:szCs w:val="18"/>
              </w:rPr>
            </w:pPr>
            <w:r w:rsidRPr="008211FD">
              <w:rPr>
                <w:rFonts w:ascii="Times New Roman" w:eastAsia="Times New Roman" w:hAnsi="Times New Roman"/>
                <w:sz w:val="18"/>
                <w:szCs w:val="18"/>
              </w:rPr>
              <w:t>Membro da Câmara dos Deputados e do Senado Federal (PMDB-PTB).</w:t>
            </w:r>
          </w:p>
        </w:tc>
      </w:tr>
      <w:tr w:rsidR="000F038F" w:rsidRPr="008211FD" w:rsidTr="00EA1CE3">
        <w:tc>
          <w:tcPr>
            <w:tcW w:w="1333" w:type="pct"/>
            <w:tcBorders>
              <w:top w:val="single" w:sz="8" w:space="0" w:color="4F81BD"/>
              <w:left w:val="single" w:sz="8" w:space="0" w:color="4F81BD"/>
              <w:bottom w:val="single" w:sz="8" w:space="0" w:color="4F81BD"/>
              <w:right w:val="single" w:sz="8" w:space="0" w:color="4F81BD"/>
            </w:tcBorders>
            <w:noWrap/>
          </w:tcPr>
          <w:p w:rsidR="000F038F" w:rsidRPr="008211FD" w:rsidRDefault="000F038F" w:rsidP="00EA1CE3">
            <w:pPr>
              <w:spacing w:after="0"/>
              <w:rPr>
                <w:rFonts w:ascii="Times New Roman" w:eastAsia="Times New Roman" w:hAnsi="Times New Roman"/>
                <w:b/>
                <w:bCs/>
                <w:sz w:val="18"/>
                <w:szCs w:val="18"/>
              </w:rPr>
            </w:pPr>
            <w:r w:rsidRPr="008211FD">
              <w:rPr>
                <w:rFonts w:ascii="Times New Roman" w:eastAsia="Times New Roman" w:hAnsi="Times New Roman"/>
                <w:b/>
                <w:bCs/>
                <w:sz w:val="18"/>
                <w:szCs w:val="18"/>
              </w:rPr>
              <w:t>Claudio Elias Conz</w:t>
            </w:r>
          </w:p>
        </w:tc>
        <w:tc>
          <w:tcPr>
            <w:tcW w:w="834"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jc w:val="center"/>
              <w:rPr>
                <w:rFonts w:ascii="Times New Roman" w:eastAsia="Times New Roman" w:hAnsi="Times New Roman"/>
                <w:sz w:val="18"/>
                <w:szCs w:val="18"/>
              </w:rPr>
            </w:pPr>
            <w:r w:rsidRPr="008211FD">
              <w:rPr>
                <w:rFonts w:ascii="Times New Roman" w:eastAsia="Times New Roman" w:hAnsi="Times New Roman"/>
                <w:sz w:val="18"/>
                <w:szCs w:val="18"/>
              </w:rPr>
              <w:t>ANAMACO</w:t>
            </w:r>
          </w:p>
        </w:tc>
        <w:tc>
          <w:tcPr>
            <w:tcW w:w="2834"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both"/>
              <w:rPr>
                <w:rFonts w:ascii="Times New Roman" w:eastAsia="Times New Roman" w:hAnsi="Times New Roman"/>
                <w:sz w:val="18"/>
                <w:szCs w:val="18"/>
              </w:rPr>
            </w:pPr>
            <w:r w:rsidRPr="008211FD">
              <w:rPr>
                <w:rFonts w:ascii="Times New Roman" w:hAnsi="Times New Roman"/>
                <w:sz w:val="18"/>
                <w:szCs w:val="18"/>
              </w:rPr>
              <w:t xml:space="preserve">Membro do Conselho Curador do FGTS representando a Confederação Nacional do Comércio (CNC); Comitê Nacional de Desenvolvimento Tecnológico da Habitação (CTECH) </w:t>
            </w:r>
            <w:r>
              <w:rPr>
                <w:rFonts w:ascii="Times New Roman" w:hAnsi="Times New Roman"/>
                <w:sz w:val="18"/>
                <w:szCs w:val="18"/>
              </w:rPr>
              <w:t>–</w:t>
            </w:r>
            <w:r w:rsidRPr="008211FD">
              <w:rPr>
                <w:rFonts w:ascii="Times New Roman" w:hAnsi="Times New Roman"/>
                <w:sz w:val="18"/>
                <w:szCs w:val="18"/>
              </w:rPr>
              <w:t xml:space="preserve"> ligado ao Ministério das Cidades.</w:t>
            </w:r>
          </w:p>
        </w:tc>
      </w:tr>
      <w:tr w:rsidR="000F038F" w:rsidRPr="008211FD" w:rsidTr="00EA1CE3">
        <w:tc>
          <w:tcPr>
            <w:tcW w:w="1333"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8211FD" w:rsidRDefault="000F038F" w:rsidP="00EA1CE3">
            <w:pPr>
              <w:spacing w:after="0"/>
              <w:rPr>
                <w:rFonts w:ascii="Times New Roman" w:eastAsia="Times New Roman" w:hAnsi="Times New Roman"/>
                <w:b/>
                <w:bCs/>
                <w:sz w:val="18"/>
                <w:szCs w:val="18"/>
              </w:rPr>
            </w:pPr>
            <w:r w:rsidRPr="008211FD">
              <w:rPr>
                <w:rFonts w:ascii="Times New Roman" w:eastAsia="Times New Roman" w:hAnsi="Times New Roman"/>
                <w:b/>
                <w:bCs/>
                <w:sz w:val="18"/>
                <w:szCs w:val="18"/>
              </w:rPr>
              <w:t>Fábio Coletti Barbosa</w:t>
            </w:r>
          </w:p>
        </w:tc>
        <w:tc>
          <w:tcPr>
            <w:tcW w:w="834"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jc w:val="center"/>
              <w:rPr>
                <w:rFonts w:ascii="Times New Roman" w:eastAsia="Times New Roman" w:hAnsi="Times New Roman"/>
                <w:sz w:val="18"/>
                <w:szCs w:val="18"/>
              </w:rPr>
            </w:pPr>
            <w:r w:rsidRPr="008211FD">
              <w:rPr>
                <w:rFonts w:ascii="Times New Roman" w:eastAsia="Times New Roman" w:hAnsi="Times New Roman"/>
                <w:sz w:val="18"/>
                <w:szCs w:val="18"/>
              </w:rPr>
              <w:t>FEBRABAN</w:t>
            </w:r>
          </w:p>
        </w:tc>
        <w:tc>
          <w:tcPr>
            <w:tcW w:w="2834"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pStyle w:val="NormalWeb"/>
              <w:spacing w:before="0" w:beforeAutospacing="0" w:after="0" w:afterAutospacing="0"/>
              <w:jc w:val="both"/>
              <w:rPr>
                <w:color w:val="000000"/>
                <w:sz w:val="18"/>
                <w:szCs w:val="18"/>
              </w:rPr>
            </w:pPr>
            <w:r w:rsidRPr="008211FD">
              <w:rPr>
                <w:sz w:val="18"/>
                <w:szCs w:val="18"/>
                <w:lang w:val="pt-PT"/>
              </w:rPr>
              <w:t xml:space="preserve">Membro do Conselho de Administração da Petrobrás (2003-2011). </w:t>
            </w:r>
          </w:p>
        </w:tc>
      </w:tr>
      <w:tr w:rsidR="000F038F" w:rsidRPr="008211FD" w:rsidTr="00EA1CE3">
        <w:tc>
          <w:tcPr>
            <w:tcW w:w="1333" w:type="pct"/>
            <w:tcBorders>
              <w:top w:val="single" w:sz="8" w:space="0" w:color="4F81BD"/>
              <w:left w:val="single" w:sz="8" w:space="0" w:color="4F81BD"/>
              <w:bottom w:val="single" w:sz="8" w:space="0" w:color="4F81BD"/>
              <w:right w:val="single" w:sz="8" w:space="0" w:color="4F81BD"/>
            </w:tcBorders>
            <w:noWrap/>
          </w:tcPr>
          <w:p w:rsidR="000F038F" w:rsidRPr="008211FD" w:rsidRDefault="000F038F" w:rsidP="00EA1CE3">
            <w:pPr>
              <w:spacing w:after="0"/>
              <w:rPr>
                <w:rFonts w:ascii="Times New Roman" w:eastAsia="Times New Roman" w:hAnsi="Times New Roman"/>
                <w:b/>
                <w:bCs/>
                <w:sz w:val="18"/>
                <w:szCs w:val="18"/>
              </w:rPr>
            </w:pPr>
            <w:r w:rsidRPr="008211FD">
              <w:rPr>
                <w:rFonts w:ascii="Times New Roman" w:eastAsia="Times New Roman" w:hAnsi="Times New Roman"/>
                <w:b/>
                <w:bCs/>
                <w:sz w:val="18"/>
                <w:szCs w:val="18"/>
              </w:rPr>
              <w:t>Jackson Schneider</w:t>
            </w:r>
          </w:p>
        </w:tc>
        <w:tc>
          <w:tcPr>
            <w:tcW w:w="834"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jc w:val="center"/>
              <w:rPr>
                <w:rFonts w:ascii="Times New Roman" w:hAnsi="Times New Roman"/>
                <w:sz w:val="18"/>
                <w:szCs w:val="18"/>
              </w:rPr>
            </w:pPr>
            <w:r w:rsidRPr="008211FD">
              <w:rPr>
                <w:rFonts w:ascii="Times New Roman" w:hAnsi="Times New Roman"/>
                <w:sz w:val="18"/>
                <w:szCs w:val="18"/>
              </w:rPr>
              <w:t>ANFAVEA/</w:t>
            </w:r>
          </w:p>
          <w:p w:rsidR="000F038F" w:rsidRPr="008211FD" w:rsidRDefault="000F038F" w:rsidP="00EA1CE3">
            <w:pPr>
              <w:spacing w:after="0"/>
              <w:jc w:val="center"/>
              <w:rPr>
                <w:rFonts w:ascii="Times New Roman" w:hAnsi="Times New Roman"/>
                <w:sz w:val="18"/>
                <w:szCs w:val="18"/>
              </w:rPr>
            </w:pPr>
            <w:r>
              <w:rPr>
                <w:rFonts w:ascii="Times New Roman" w:hAnsi="Times New Roman"/>
                <w:sz w:val="18"/>
                <w:szCs w:val="18"/>
              </w:rPr>
              <w:t>FIESP</w:t>
            </w:r>
          </w:p>
        </w:tc>
        <w:tc>
          <w:tcPr>
            <w:tcW w:w="2834"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both"/>
              <w:rPr>
                <w:rFonts w:ascii="Times New Roman" w:hAnsi="Times New Roman"/>
                <w:sz w:val="18"/>
                <w:szCs w:val="18"/>
              </w:rPr>
            </w:pPr>
            <w:r w:rsidRPr="008211FD">
              <w:rPr>
                <w:rFonts w:ascii="Times New Roman" w:hAnsi="Times New Roman"/>
                <w:bCs/>
                <w:sz w:val="18"/>
                <w:szCs w:val="18"/>
              </w:rPr>
              <w:t>Membro do Conselho de Contribuintes do Ministério da Fazenda.</w:t>
            </w:r>
          </w:p>
        </w:tc>
      </w:tr>
      <w:tr w:rsidR="000F038F" w:rsidRPr="008211FD" w:rsidTr="00EA1CE3">
        <w:tc>
          <w:tcPr>
            <w:tcW w:w="1333"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8211FD" w:rsidRDefault="000F038F" w:rsidP="00EA1CE3">
            <w:pPr>
              <w:spacing w:after="0"/>
              <w:rPr>
                <w:rFonts w:ascii="Times New Roman" w:eastAsia="Times New Roman" w:hAnsi="Times New Roman"/>
                <w:b/>
                <w:bCs/>
                <w:sz w:val="18"/>
                <w:szCs w:val="18"/>
              </w:rPr>
            </w:pPr>
            <w:r w:rsidRPr="008211FD">
              <w:rPr>
                <w:rFonts w:ascii="Times New Roman" w:eastAsia="Times New Roman" w:hAnsi="Times New Roman"/>
                <w:b/>
                <w:bCs/>
                <w:sz w:val="18"/>
                <w:szCs w:val="18"/>
              </w:rPr>
              <w:t>Jorge Gerdau</w:t>
            </w:r>
          </w:p>
        </w:tc>
        <w:tc>
          <w:tcPr>
            <w:tcW w:w="834"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jc w:val="center"/>
              <w:rPr>
                <w:rFonts w:ascii="Times New Roman" w:eastAsia="Times New Roman" w:hAnsi="Times New Roman"/>
                <w:sz w:val="18"/>
                <w:szCs w:val="18"/>
              </w:rPr>
            </w:pPr>
            <w:r>
              <w:rPr>
                <w:rFonts w:ascii="Times New Roman" w:eastAsia="Times New Roman" w:hAnsi="Times New Roman"/>
                <w:sz w:val="18"/>
                <w:szCs w:val="18"/>
              </w:rPr>
              <w:t>FIESP</w:t>
            </w:r>
            <w:r w:rsidRPr="008211FD">
              <w:rPr>
                <w:rFonts w:ascii="Times New Roman" w:eastAsia="Times New Roman" w:hAnsi="Times New Roman"/>
                <w:sz w:val="18"/>
                <w:szCs w:val="18"/>
              </w:rPr>
              <w:t>/IEDI/</w:t>
            </w:r>
          </w:p>
          <w:p w:rsidR="000F038F" w:rsidRPr="008211FD" w:rsidRDefault="000F038F" w:rsidP="00EA1CE3">
            <w:pPr>
              <w:spacing w:after="0"/>
              <w:jc w:val="center"/>
              <w:rPr>
                <w:rFonts w:ascii="Times New Roman" w:eastAsia="Times New Roman" w:hAnsi="Times New Roman"/>
                <w:sz w:val="18"/>
                <w:szCs w:val="18"/>
              </w:rPr>
            </w:pPr>
            <w:r w:rsidRPr="008211FD">
              <w:rPr>
                <w:rFonts w:ascii="Times New Roman" w:eastAsia="Times New Roman" w:hAnsi="Times New Roman"/>
                <w:sz w:val="18"/>
                <w:szCs w:val="18"/>
              </w:rPr>
              <w:t>IBS/MBC/ Instituto Millenium/ Todos pela Educação</w:t>
            </w:r>
          </w:p>
        </w:tc>
        <w:tc>
          <w:tcPr>
            <w:tcW w:w="2834"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both"/>
              <w:rPr>
                <w:rFonts w:ascii="Times New Roman" w:eastAsia="Times New Roman" w:hAnsi="Times New Roman"/>
                <w:sz w:val="18"/>
                <w:szCs w:val="18"/>
              </w:rPr>
            </w:pPr>
            <w:r w:rsidRPr="008211FD">
              <w:rPr>
                <w:rFonts w:ascii="Times New Roman" w:hAnsi="Times New Roman"/>
                <w:color w:val="000000"/>
                <w:sz w:val="18"/>
                <w:szCs w:val="18"/>
              </w:rPr>
              <w:t>Membro do Conselho de Administração e Comitê de Sucessão e Remuneração da Petrobras, Membro do Conselho Nacional de Desenvolvimento Industrial (CNDI). Membro do Conselho de Ciência e Tecnologia (MCT). Coordenador da Câmara de Gestão e Planejamento do Governo Federal. Presidente do Conselho do Prêmio Qualidade do Governo Federal.</w:t>
            </w:r>
          </w:p>
        </w:tc>
      </w:tr>
      <w:tr w:rsidR="000F038F" w:rsidRPr="008211FD" w:rsidTr="00EA1CE3">
        <w:tc>
          <w:tcPr>
            <w:tcW w:w="1333" w:type="pct"/>
            <w:tcBorders>
              <w:top w:val="single" w:sz="8" w:space="0" w:color="4F81BD"/>
              <w:left w:val="single" w:sz="8" w:space="0" w:color="4F81BD"/>
              <w:bottom w:val="single" w:sz="8" w:space="0" w:color="4F81BD"/>
              <w:right w:val="single" w:sz="8" w:space="0" w:color="4F81BD"/>
            </w:tcBorders>
            <w:noWrap/>
          </w:tcPr>
          <w:p w:rsidR="000F038F" w:rsidRPr="008211FD" w:rsidRDefault="000F038F" w:rsidP="00EA1CE3">
            <w:pPr>
              <w:spacing w:after="0"/>
              <w:rPr>
                <w:rFonts w:ascii="Times New Roman" w:eastAsia="Times New Roman" w:hAnsi="Times New Roman"/>
                <w:b/>
                <w:bCs/>
                <w:sz w:val="18"/>
                <w:szCs w:val="18"/>
              </w:rPr>
            </w:pPr>
            <w:r w:rsidRPr="008211FD">
              <w:rPr>
                <w:rFonts w:ascii="Times New Roman" w:eastAsia="Times New Roman" w:hAnsi="Times New Roman"/>
                <w:b/>
                <w:bCs/>
                <w:sz w:val="18"/>
                <w:szCs w:val="18"/>
              </w:rPr>
              <w:t>Luiz Aubert Neto</w:t>
            </w:r>
          </w:p>
        </w:tc>
        <w:tc>
          <w:tcPr>
            <w:tcW w:w="834"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jc w:val="center"/>
              <w:rPr>
                <w:rFonts w:ascii="Times New Roman" w:eastAsia="Times New Roman" w:hAnsi="Times New Roman"/>
                <w:sz w:val="18"/>
                <w:szCs w:val="18"/>
              </w:rPr>
            </w:pPr>
            <w:r w:rsidRPr="008211FD">
              <w:rPr>
                <w:rFonts w:ascii="Times New Roman" w:eastAsia="Times New Roman" w:hAnsi="Times New Roman"/>
                <w:sz w:val="18"/>
                <w:szCs w:val="18"/>
              </w:rPr>
              <w:t>ABIMAQ/CNI/</w:t>
            </w:r>
          </w:p>
          <w:p w:rsidR="000F038F" w:rsidRPr="008211FD" w:rsidRDefault="000F038F" w:rsidP="00EA1CE3">
            <w:pPr>
              <w:spacing w:after="0"/>
              <w:jc w:val="center"/>
              <w:rPr>
                <w:rFonts w:ascii="Times New Roman" w:eastAsia="Times New Roman" w:hAnsi="Times New Roman"/>
                <w:sz w:val="18"/>
                <w:szCs w:val="18"/>
              </w:rPr>
            </w:pPr>
            <w:r>
              <w:rPr>
                <w:rFonts w:ascii="Times New Roman" w:eastAsia="Times New Roman" w:hAnsi="Times New Roman"/>
                <w:sz w:val="18"/>
                <w:szCs w:val="18"/>
              </w:rPr>
              <w:t>FIESP</w:t>
            </w:r>
          </w:p>
        </w:tc>
        <w:tc>
          <w:tcPr>
            <w:tcW w:w="2834"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both"/>
              <w:rPr>
                <w:rFonts w:ascii="Times New Roman" w:eastAsia="Times New Roman" w:hAnsi="Times New Roman"/>
                <w:sz w:val="18"/>
                <w:szCs w:val="18"/>
              </w:rPr>
            </w:pPr>
            <w:r w:rsidRPr="008211FD">
              <w:rPr>
                <w:rFonts w:ascii="Times New Roman" w:hAnsi="Times New Roman"/>
                <w:sz w:val="18"/>
                <w:szCs w:val="18"/>
              </w:rPr>
              <w:t xml:space="preserve">Membro da Junta FINAME do BNDES, Conselheiro do CONEX </w:t>
            </w:r>
            <w:r>
              <w:rPr>
                <w:rFonts w:ascii="Times New Roman" w:hAnsi="Times New Roman"/>
                <w:sz w:val="18"/>
                <w:szCs w:val="18"/>
              </w:rPr>
              <w:t>–</w:t>
            </w:r>
            <w:r w:rsidRPr="008211FD">
              <w:rPr>
                <w:rFonts w:ascii="Times New Roman" w:hAnsi="Times New Roman"/>
                <w:sz w:val="18"/>
                <w:szCs w:val="18"/>
              </w:rPr>
              <w:t xml:space="preserve"> Conselho Consultivo do Setor Privado da CAMEX, Membro do Conselho de Agronegócio </w:t>
            </w:r>
            <w:r>
              <w:rPr>
                <w:rFonts w:ascii="Times New Roman" w:hAnsi="Times New Roman"/>
                <w:sz w:val="18"/>
                <w:szCs w:val="18"/>
              </w:rPr>
              <w:t>–</w:t>
            </w:r>
            <w:r w:rsidRPr="008211FD">
              <w:rPr>
                <w:rFonts w:ascii="Times New Roman" w:hAnsi="Times New Roman"/>
                <w:sz w:val="18"/>
                <w:szCs w:val="18"/>
              </w:rPr>
              <w:t xml:space="preserve"> CONSAGRO do MAPA </w:t>
            </w:r>
            <w:r>
              <w:rPr>
                <w:rFonts w:ascii="Times New Roman" w:hAnsi="Times New Roman"/>
                <w:sz w:val="18"/>
                <w:szCs w:val="18"/>
              </w:rPr>
              <w:t>–</w:t>
            </w:r>
            <w:r w:rsidRPr="008211FD">
              <w:rPr>
                <w:rFonts w:ascii="Times New Roman" w:hAnsi="Times New Roman"/>
                <w:sz w:val="18"/>
                <w:szCs w:val="18"/>
              </w:rPr>
              <w:t xml:space="preserve"> Ministério da Agricultura, Pecuária e Abastecimento.</w:t>
            </w:r>
          </w:p>
        </w:tc>
      </w:tr>
      <w:tr w:rsidR="000F038F" w:rsidRPr="008211FD" w:rsidTr="00EA1CE3">
        <w:tc>
          <w:tcPr>
            <w:tcW w:w="1333"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8211FD" w:rsidRDefault="000F038F" w:rsidP="00EA1CE3">
            <w:pPr>
              <w:spacing w:after="0"/>
              <w:rPr>
                <w:rFonts w:ascii="Times New Roman" w:eastAsia="Times New Roman" w:hAnsi="Times New Roman"/>
                <w:b/>
                <w:bCs/>
                <w:sz w:val="18"/>
                <w:szCs w:val="18"/>
              </w:rPr>
            </w:pPr>
            <w:r w:rsidRPr="008211FD">
              <w:rPr>
                <w:rFonts w:ascii="Times New Roman" w:eastAsia="Times New Roman" w:hAnsi="Times New Roman"/>
                <w:b/>
                <w:bCs/>
                <w:sz w:val="18"/>
                <w:szCs w:val="18"/>
              </w:rPr>
              <w:t>Paulo Safady Simão</w:t>
            </w:r>
          </w:p>
        </w:tc>
        <w:tc>
          <w:tcPr>
            <w:tcW w:w="834"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jc w:val="center"/>
              <w:rPr>
                <w:rFonts w:ascii="Times New Roman" w:eastAsia="Times New Roman" w:hAnsi="Times New Roman"/>
                <w:sz w:val="18"/>
                <w:szCs w:val="18"/>
              </w:rPr>
            </w:pPr>
            <w:r w:rsidRPr="008211FD">
              <w:rPr>
                <w:rFonts w:ascii="Times New Roman" w:eastAsia="Times New Roman" w:hAnsi="Times New Roman"/>
                <w:sz w:val="18"/>
                <w:szCs w:val="18"/>
              </w:rPr>
              <w:t>CBIC/FIEMG</w:t>
            </w:r>
          </w:p>
        </w:tc>
        <w:tc>
          <w:tcPr>
            <w:tcW w:w="2834"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both"/>
              <w:rPr>
                <w:rFonts w:ascii="Times New Roman" w:eastAsia="Times New Roman" w:hAnsi="Times New Roman"/>
                <w:sz w:val="18"/>
                <w:szCs w:val="18"/>
              </w:rPr>
            </w:pPr>
            <w:r w:rsidRPr="008211FD">
              <w:rPr>
                <w:rFonts w:ascii="Times New Roman" w:eastAsia="Times New Roman" w:hAnsi="Times New Roman"/>
                <w:sz w:val="18"/>
                <w:szCs w:val="18"/>
              </w:rPr>
              <w:t>Não encontradas.</w:t>
            </w:r>
          </w:p>
        </w:tc>
      </w:tr>
      <w:tr w:rsidR="000F038F" w:rsidRPr="008211FD" w:rsidTr="00EA1CE3">
        <w:tc>
          <w:tcPr>
            <w:tcW w:w="1333" w:type="pct"/>
            <w:tcBorders>
              <w:top w:val="single" w:sz="8" w:space="0" w:color="4F81BD"/>
              <w:left w:val="single" w:sz="8" w:space="0" w:color="4F81BD"/>
              <w:bottom w:val="single" w:sz="8" w:space="0" w:color="4F81BD"/>
              <w:right w:val="single" w:sz="8" w:space="0" w:color="4F81BD"/>
            </w:tcBorders>
            <w:noWrap/>
          </w:tcPr>
          <w:p w:rsidR="000F038F" w:rsidRPr="008211FD" w:rsidRDefault="000F038F" w:rsidP="00EA1CE3">
            <w:pPr>
              <w:spacing w:after="0"/>
              <w:rPr>
                <w:rFonts w:ascii="Times New Roman" w:eastAsia="Times New Roman" w:hAnsi="Times New Roman"/>
                <w:b/>
                <w:bCs/>
                <w:sz w:val="18"/>
                <w:szCs w:val="18"/>
              </w:rPr>
            </w:pPr>
            <w:r w:rsidRPr="008211FD">
              <w:rPr>
                <w:rFonts w:ascii="Times New Roman" w:eastAsia="Times New Roman" w:hAnsi="Times New Roman"/>
                <w:b/>
                <w:bCs/>
                <w:sz w:val="18"/>
                <w:szCs w:val="18"/>
              </w:rPr>
              <w:t>Paulo Godoy</w:t>
            </w:r>
          </w:p>
        </w:tc>
        <w:tc>
          <w:tcPr>
            <w:tcW w:w="834"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jc w:val="center"/>
              <w:rPr>
                <w:rFonts w:ascii="Times New Roman" w:eastAsia="Times New Roman" w:hAnsi="Times New Roman"/>
                <w:sz w:val="18"/>
                <w:szCs w:val="18"/>
              </w:rPr>
            </w:pPr>
            <w:r w:rsidRPr="008211FD">
              <w:rPr>
                <w:rFonts w:ascii="Times New Roman" w:eastAsia="Times New Roman" w:hAnsi="Times New Roman"/>
                <w:sz w:val="18"/>
                <w:szCs w:val="18"/>
              </w:rPr>
              <w:t xml:space="preserve">ABDIB/ CNI/ </w:t>
            </w:r>
            <w:r>
              <w:rPr>
                <w:rFonts w:ascii="Times New Roman" w:eastAsia="Times New Roman" w:hAnsi="Times New Roman"/>
                <w:sz w:val="18"/>
                <w:szCs w:val="18"/>
              </w:rPr>
              <w:t>FIESP</w:t>
            </w:r>
          </w:p>
        </w:tc>
        <w:tc>
          <w:tcPr>
            <w:tcW w:w="2834" w:type="pct"/>
            <w:tcBorders>
              <w:top w:val="single" w:sz="8" w:space="0" w:color="4F81BD"/>
              <w:left w:val="single" w:sz="8" w:space="0" w:color="4F81BD"/>
              <w:bottom w:val="single" w:sz="8" w:space="0" w:color="4F81BD"/>
              <w:right w:val="single" w:sz="8" w:space="0" w:color="4F81BD"/>
            </w:tcBorders>
          </w:tcPr>
          <w:p w:rsidR="000F038F" w:rsidRPr="008211FD" w:rsidRDefault="000F038F" w:rsidP="00EA1CE3">
            <w:pPr>
              <w:spacing w:after="0" w:line="240" w:lineRule="auto"/>
              <w:jc w:val="both"/>
              <w:rPr>
                <w:rFonts w:ascii="Times New Roman" w:eastAsia="Times New Roman" w:hAnsi="Times New Roman"/>
                <w:sz w:val="18"/>
                <w:szCs w:val="18"/>
              </w:rPr>
            </w:pPr>
            <w:r w:rsidRPr="008211FD">
              <w:rPr>
                <w:rFonts w:ascii="Times New Roman" w:hAnsi="Times New Roman"/>
                <w:sz w:val="18"/>
                <w:szCs w:val="18"/>
              </w:rPr>
              <w:t xml:space="preserve">Membro do CNDI </w:t>
            </w:r>
            <w:r>
              <w:rPr>
                <w:rFonts w:ascii="Times New Roman" w:hAnsi="Times New Roman"/>
                <w:sz w:val="18"/>
                <w:szCs w:val="18"/>
              </w:rPr>
              <w:t>–</w:t>
            </w:r>
            <w:r w:rsidRPr="008211FD">
              <w:rPr>
                <w:rFonts w:ascii="Times New Roman" w:hAnsi="Times New Roman"/>
                <w:sz w:val="18"/>
                <w:szCs w:val="18"/>
              </w:rPr>
              <w:t xml:space="preserve"> Conselho Nacional para o Desenvolvimento Industrial.</w:t>
            </w:r>
          </w:p>
        </w:tc>
      </w:tr>
      <w:tr w:rsidR="000F038F" w:rsidRPr="008211FD" w:rsidTr="00EA1CE3">
        <w:tc>
          <w:tcPr>
            <w:tcW w:w="1333" w:type="pct"/>
            <w:tcBorders>
              <w:top w:val="single" w:sz="8" w:space="0" w:color="4F81BD"/>
              <w:left w:val="single" w:sz="8" w:space="0" w:color="4F81BD"/>
              <w:bottom w:val="single" w:sz="8" w:space="0" w:color="4F81BD"/>
              <w:right w:val="single" w:sz="8" w:space="0" w:color="4F81BD"/>
            </w:tcBorders>
            <w:shd w:val="clear" w:color="auto" w:fill="D3DFEE"/>
            <w:noWrap/>
          </w:tcPr>
          <w:p w:rsidR="000F038F" w:rsidRPr="008211FD" w:rsidRDefault="000F038F" w:rsidP="00EA1CE3">
            <w:pPr>
              <w:spacing w:after="0"/>
              <w:rPr>
                <w:rFonts w:ascii="Times New Roman" w:eastAsia="Times New Roman" w:hAnsi="Times New Roman"/>
                <w:b/>
                <w:bCs/>
                <w:sz w:val="18"/>
                <w:szCs w:val="18"/>
              </w:rPr>
            </w:pPr>
            <w:r w:rsidRPr="008211FD">
              <w:rPr>
                <w:rFonts w:ascii="Times New Roman" w:eastAsia="Times New Roman" w:hAnsi="Times New Roman"/>
                <w:b/>
                <w:bCs/>
                <w:sz w:val="18"/>
                <w:szCs w:val="18"/>
              </w:rPr>
              <w:t>Joseph Couri</w:t>
            </w:r>
          </w:p>
        </w:tc>
        <w:tc>
          <w:tcPr>
            <w:tcW w:w="834"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jc w:val="center"/>
              <w:rPr>
                <w:rFonts w:ascii="Times New Roman" w:eastAsia="Times New Roman" w:hAnsi="Times New Roman"/>
                <w:sz w:val="18"/>
                <w:szCs w:val="18"/>
              </w:rPr>
            </w:pPr>
            <w:r w:rsidRPr="008211FD">
              <w:rPr>
                <w:rFonts w:ascii="Times New Roman" w:eastAsia="Times New Roman" w:hAnsi="Times New Roman"/>
                <w:sz w:val="18"/>
                <w:szCs w:val="18"/>
              </w:rPr>
              <w:t>ASSIMPI/ PNBE/ CIESP</w:t>
            </w:r>
          </w:p>
        </w:tc>
        <w:tc>
          <w:tcPr>
            <w:tcW w:w="2834" w:type="pct"/>
            <w:tcBorders>
              <w:top w:val="single" w:sz="8" w:space="0" w:color="4F81BD"/>
              <w:left w:val="single" w:sz="8" w:space="0" w:color="4F81BD"/>
              <w:bottom w:val="single" w:sz="8" w:space="0" w:color="4F81BD"/>
              <w:right w:val="single" w:sz="8" w:space="0" w:color="4F81BD"/>
            </w:tcBorders>
            <w:shd w:val="clear" w:color="auto" w:fill="D3DFEE"/>
          </w:tcPr>
          <w:p w:rsidR="000F038F" w:rsidRPr="008211FD" w:rsidRDefault="000F038F" w:rsidP="00EA1CE3">
            <w:pPr>
              <w:spacing w:after="0" w:line="240" w:lineRule="auto"/>
              <w:jc w:val="both"/>
              <w:rPr>
                <w:rFonts w:ascii="Times New Roman" w:eastAsia="Times New Roman" w:hAnsi="Times New Roman"/>
                <w:sz w:val="18"/>
                <w:szCs w:val="18"/>
              </w:rPr>
            </w:pPr>
            <w:r w:rsidRPr="008211FD">
              <w:rPr>
                <w:rFonts w:ascii="Times New Roman" w:hAnsi="Times New Roman"/>
                <w:color w:val="000000"/>
                <w:sz w:val="18"/>
                <w:szCs w:val="18"/>
              </w:rPr>
              <w:t>Faz parte do Fórum Permanente da Micro e Pequena Empresa do MDIC.</w:t>
            </w:r>
          </w:p>
        </w:tc>
      </w:tr>
    </w:tbl>
    <w:p w:rsidR="000F038F" w:rsidRPr="002228CB" w:rsidRDefault="000F038F" w:rsidP="000F038F">
      <w:pPr>
        <w:autoSpaceDE w:val="0"/>
        <w:autoSpaceDN w:val="0"/>
        <w:adjustRightInd w:val="0"/>
        <w:spacing w:line="360" w:lineRule="auto"/>
        <w:jc w:val="both"/>
        <w:rPr>
          <w:rFonts w:ascii="Times New Roman" w:hAnsi="Times New Roman"/>
          <w:sz w:val="18"/>
          <w:szCs w:val="18"/>
        </w:rPr>
      </w:pPr>
      <w:r w:rsidRPr="002228CB">
        <w:rPr>
          <w:rFonts w:ascii="Times New Roman" w:hAnsi="Times New Roman"/>
          <w:b/>
          <w:sz w:val="18"/>
          <w:szCs w:val="18"/>
        </w:rPr>
        <w:t>Elaboração própria.Fontes</w:t>
      </w:r>
      <w:r w:rsidR="002228CB">
        <w:rPr>
          <w:rFonts w:ascii="Times New Roman" w:hAnsi="Times New Roman"/>
          <w:sz w:val="18"/>
          <w:szCs w:val="18"/>
        </w:rPr>
        <w:t>: s</w:t>
      </w:r>
      <w:r w:rsidRPr="002228CB">
        <w:rPr>
          <w:rFonts w:ascii="Times New Roman" w:hAnsi="Times New Roman"/>
          <w:sz w:val="18"/>
          <w:szCs w:val="18"/>
        </w:rPr>
        <w:t xml:space="preserve">ite do CDES </w:t>
      </w:r>
      <w:r w:rsidR="002228CB">
        <w:rPr>
          <w:rFonts w:ascii="Times New Roman" w:hAnsi="Times New Roman"/>
          <w:sz w:val="18"/>
          <w:szCs w:val="18"/>
        </w:rPr>
        <w:t xml:space="preserve">(www.cdes.gov.br) </w:t>
      </w:r>
      <w:r w:rsidRPr="002228CB">
        <w:rPr>
          <w:rFonts w:ascii="Times New Roman" w:hAnsi="Times New Roman"/>
          <w:sz w:val="18"/>
          <w:szCs w:val="18"/>
        </w:rPr>
        <w:t>e pesquisas na internet.</w:t>
      </w:r>
    </w:p>
    <w:p w:rsidR="000F038F" w:rsidRDefault="000F038F" w:rsidP="000F038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 xml:space="preserve">Dos nove conselheiros-empresários participantes no CDES e no GAC, não encontramos outros laços de vinculação ao Estado restrito apenas no caso do empreiteiro Paulo Simão (presidente da CBIC), que também foi presidente do diretório PSD em Minas Gerais a partir de 2011. De toda forma, é evidente que muitos outros empresários instalados no CDES circulavam em várias agências da sociedade política durante os governos Lula da Silva, preferencialmente no </w:t>
      </w:r>
      <w:r w:rsidRPr="00E04E57">
        <w:rPr>
          <w:rFonts w:ascii="Times New Roman" w:hAnsi="Times New Roman"/>
          <w:color w:val="000000"/>
          <w:sz w:val="24"/>
          <w:szCs w:val="24"/>
        </w:rPr>
        <w:t>Conselho Consultivo do Setor Privado (CONEX) da C</w:t>
      </w:r>
      <w:r>
        <w:rPr>
          <w:rFonts w:ascii="Times New Roman" w:hAnsi="Times New Roman"/>
          <w:color w:val="000000"/>
          <w:sz w:val="24"/>
          <w:szCs w:val="24"/>
        </w:rPr>
        <w:t>âmara de Comércio Exterior (C</w:t>
      </w:r>
      <w:r w:rsidRPr="00E04E57">
        <w:rPr>
          <w:rFonts w:ascii="Times New Roman" w:hAnsi="Times New Roman"/>
          <w:color w:val="000000"/>
          <w:sz w:val="24"/>
          <w:szCs w:val="24"/>
        </w:rPr>
        <w:t>AMEX</w:t>
      </w:r>
      <w:r>
        <w:rPr>
          <w:rFonts w:ascii="Times New Roman" w:hAnsi="Times New Roman"/>
          <w:color w:val="000000"/>
          <w:sz w:val="24"/>
          <w:szCs w:val="24"/>
        </w:rPr>
        <w:t>)</w:t>
      </w:r>
      <w:r w:rsidRPr="00E04E57">
        <w:rPr>
          <w:rFonts w:ascii="Times New Roman" w:hAnsi="Times New Roman"/>
          <w:color w:val="000000"/>
          <w:sz w:val="24"/>
          <w:szCs w:val="24"/>
        </w:rPr>
        <w:t>, órgão do M</w:t>
      </w:r>
      <w:r>
        <w:rPr>
          <w:rFonts w:ascii="Times New Roman" w:hAnsi="Times New Roman"/>
          <w:color w:val="000000"/>
          <w:sz w:val="24"/>
          <w:szCs w:val="24"/>
        </w:rPr>
        <w:t xml:space="preserve">inistério do </w:t>
      </w:r>
      <w:r w:rsidRPr="00E04E57">
        <w:rPr>
          <w:rFonts w:ascii="Times New Roman" w:hAnsi="Times New Roman"/>
          <w:color w:val="000000"/>
          <w:sz w:val="24"/>
          <w:szCs w:val="24"/>
        </w:rPr>
        <w:t>D</w:t>
      </w:r>
      <w:r>
        <w:rPr>
          <w:rFonts w:ascii="Times New Roman" w:hAnsi="Times New Roman"/>
          <w:color w:val="000000"/>
          <w:sz w:val="24"/>
          <w:szCs w:val="24"/>
        </w:rPr>
        <w:t xml:space="preserve">esenvolvimento, </w:t>
      </w:r>
      <w:r w:rsidRPr="00E04E57">
        <w:rPr>
          <w:rFonts w:ascii="Times New Roman" w:hAnsi="Times New Roman"/>
          <w:color w:val="000000"/>
          <w:sz w:val="24"/>
          <w:szCs w:val="24"/>
        </w:rPr>
        <w:t>I</w:t>
      </w:r>
      <w:r>
        <w:rPr>
          <w:rFonts w:ascii="Times New Roman" w:hAnsi="Times New Roman"/>
          <w:color w:val="000000"/>
          <w:sz w:val="24"/>
          <w:szCs w:val="24"/>
        </w:rPr>
        <w:t xml:space="preserve">ndústria e </w:t>
      </w:r>
      <w:r w:rsidRPr="00E04E57">
        <w:rPr>
          <w:rFonts w:ascii="Times New Roman" w:hAnsi="Times New Roman"/>
          <w:color w:val="000000"/>
          <w:sz w:val="24"/>
          <w:szCs w:val="24"/>
        </w:rPr>
        <w:t>C</w:t>
      </w:r>
      <w:r>
        <w:rPr>
          <w:rFonts w:ascii="Times New Roman" w:hAnsi="Times New Roman"/>
          <w:color w:val="000000"/>
          <w:sz w:val="24"/>
          <w:szCs w:val="24"/>
        </w:rPr>
        <w:t>omércio Exterior (MDIC)</w:t>
      </w:r>
      <w:r>
        <w:rPr>
          <w:rFonts w:ascii="Times New Roman" w:hAnsi="Times New Roman"/>
          <w:sz w:val="24"/>
          <w:szCs w:val="24"/>
        </w:rPr>
        <w:t xml:space="preserve">, como mostramos no capítulo 2 (quadro 2.21). </w:t>
      </w:r>
    </w:p>
    <w:p w:rsidR="000F038F" w:rsidRDefault="000F038F" w:rsidP="000F038F">
      <w:pPr>
        <w:autoSpaceDE w:val="0"/>
        <w:autoSpaceDN w:val="0"/>
        <w:adjustRightInd w:val="0"/>
        <w:spacing w:after="0" w:line="360" w:lineRule="auto"/>
        <w:ind w:firstLine="708"/>
        <w:jc w:val="both"/>
      </w:pPr>
      <w:r>
        <w:rPr>
          <w:rFonts w:ascii="Times New Roman" w:hAnsi="Times New Roman"/>
          <w:sz w:val="24"/>
          <w:szCs w:val="24"/>
        </w:rPr>
        <w:t xml:space="preserve">O cotejo entre os quadros 4.2 e 4.3 nos mostra que três empresários se envolviam simultaneamente nas discussões no GAC (MF) e marcavam expressiva presença no total de eventos e plenárias do CDES (acima de um terço) sobre a crise econômica: Paulo Simão (CBIC), Paulo Godoy (ABDIB) e Joseph Coury (ASSIMPI). Deve-se dar a devida atenção, nos termos de seus limites e alcances, às insistentes intervenções desses empresários no CDES e à sua militância na organização política de frações da burguesia. Especialmente no período de crise, juntamente com outros empresários de destacadas intervenções nas plenárias e participações nas instâncias internas e em eventos (Antoninho Trevisan, Murilo Aragão, João Bosco Borba, Armando Monteiro Neto), contribuíram para que suas demandas fossem acatadas,  consoante as apresentações das políticas implementadas (ou em via de sê-las) por parte de Guido Mantega, de Luciano Coutinho, de Miguel Jorge e de Henrique Meirelles nas plenárias do CDES. </w:t>
      </w:r>
      <w:r>
        <w:rPr>
          <w:rFonts w:ascii="Times New Roman" w:hAnsi="Times New Roman"/>
          <w:caps/>
          <w:sz w:val="24"/>
          <w:szCs w:val="24"/>
        </w:rPr>
        <w:t>A</w:t>
      </w:r>
      <w:r>
        <w:rPr>
          <w:rFonts w:ascii="Times New Roman" w:hAnsi="Times New Roman"/>
          <w:sz w:val="24"/>
          <w:szCs w:val="24"/>
        </w:rPr>
        <w:t>pontavam estas autoridades para medidas que beneficiavam o setor da construção civil, o setor de obras para infraestrutura, as micro e pequenas empresas e o setor de máquinas e equipamentos,</w:t>
      </w:r>
      <w:r>
        <w:rPr>
          <w:rStyle w:val="Refdenotaderodap"/>
          <w:rFonts w:ascii="Times New Roman" w:hAnsi="Times New Roman"/>
          <w:sz w:val="24"/>
          <w:szCs w:val="24"/>
        </w:rPr>
        <w:footnoteReference w:id="571"/>
      </w:r>
      <w:r>
        <w:rPr>
          <w:rFonts w:ascii="Times New Roman" w:hAnsi="Times New Roman"/>
          <w:sz w:val="24"/>
          <w:szCs w:val="24"/>
        </w:rPr>
        <w:t xml:space="preserve"> principalmente no que tange aos recursos creditícios para financiamento e investimento, fator reconhecido entre eles como sendo o principal canal de propagação da crise no Brasil e, não por acaso, exigidos inúmeras vezes pelos conselheiros nas plenárias no período de crise.</w:t>
      </w:r>
    </w:p>
    <w:p w:rsidR="00837AC8" w:rsidRPr="00F8360A" w:rsidRDefault="00837AC8" w:rsidP="00837AC8">
      <w:pPr>
        <w:autoSpaceDE w:val="0"/>
        <w:autoSpaceDN w:val="0"/>
        <w:adjustRightInd w:val="0"/>
        <w:spacing w:before="240"/>
        <w:jc w:val="both"/>
        <w:rPr>
          <w:rFonts w:ascii="Times New Roman" w:hAnsi="Times New Roman"/>
          <w:b/>
          <w:color w:val="FF0000"/>
          <w:sz w:val="24"/>
          <w:szCs w:val="24"/>
        </w:rPr>
      </w:pPr>
      <w:r w:rsidRPr="00BE6BDA">
        <w:rPr>
          <w:rFonts w:ascii="Times New Roman" w:hAnsi="Times New Roman"/>
          <w:b/>
          <w:sz w:val="24"/>
          <w:szCs w:val="24"/>
        </w:rPr>
        <w:t xml:space="preserve">4.3 – </w:t>
      </w:r>
      <w:r>
        <w:rPr>
          <w:rFonts w:ascii="Times New Roman" w:hAnsi="Times New Roman"/>
          <w:b/>
          <w:sz w:val="24"/>
          <w:szCs w:val="24"/>
        </w:rPr>
        <w:t>O CDES como canal ou plataforma de disponibilização de força de trabalho e de expropriações secundárias para o capital diante da crise</w:t>
      </w:r>
    </w:p>
    <w:p w:rsidR="00837AC8" w:rsidRDefault="00837AC8" w:rsidP="00837AC8">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A abordagem sobre a crise econômica tratada no item anterior procurou trabalhar com importantes aspectos realçados nos debates e na documentação do Conselho. Ficou evidente que o Conselho circunscrevia (os conselheiros e os ministros que dele faziam parte) o escopo geral dos debates e medidas necessário à contenção da crise ao seu aspecto econômico imediato, secundarizado, é verdade, pelas respostas anticíclicas colhidas pelas políticas sociais em vigor, principalmente no que tange às estratégias de transferência de renda, de aumento real do salário mínimo e de manutenção da geração de empregos. Assim, a gestão da crise recolhia-se ao seu significado mais aparente e imediato de promoção de incentivos a setores econômicos, de desobstrução de gargalos estruturais da economia e de garantia da manutenção das políticas sociais, não na direção de sua universalização, mas enquanto instrumento acionador de políticas minimamente distributivas que, se parecia satisfazer setores conselhistas “sensíveis” ao enfrentamento às desigualdades sociais, também implicava no aquecimento do mercado interno, fundamental num contexto em que a saída exportadora se via parcialmente comprometida. Quanto ao último ponto, foi bastante claro o ministro Patrus Ananias quanto à função dos programas sociais frente à crise:</w:t>
      </w:r>
    </w:p>
    <w:p w:rsidR="00837AC8" w:rsidRDefault="00837AC8" w:rsidP="00837AC8">
      <w:pPr>
        <w:autoSpaceDE w:val="0"/>
        <w:autoSpaceDN w:val="0"/>
        <w:adjustRightInd w:val="0"/>
        <w:spacing w:after="0" w:line="240" w:lineRule="auto"/>
        <w:ind w:left="2268"/>
        <w:jc w:val="both"/>
        <w:rPr>
          <w:rFonts w:ascii="Times New Roman" w:hAnsi="Times New Roman"/>
          <w:sz w:val="24"/>
          <w:szCs w:val="24"/>
        </w:rPr>
      </w:pPr>
      <w:r>
        <w:rPr>
          <w:rFonts w:ascii="Times New Roman" w:hAnsi="Times New Roman"/>
          <w:sz w:val="20"/>
          <w:szCs w:val="20"/>
        </w:rPr>
        <w:t xml:space="preserve">Nós estamos nos dando conta de que a inclusão social é uma condição também para o crescimento econômico, é a sustentabilidade social do crescimento econômico que precisa, além de formar cidadãos, </w:t>
      </w:r>
      <w:r w:rsidRPr="007C2DE9">
        <w:rPr>
          <w:rFonts w:ascii="Times New Roman" w:hAnsi="Times New Roman"/>
          <w:b/>
          <w:sz w:val="20"/>
          <w:szCs w:val="20"/>
        </w:rPr>
        <w:t>formar consumidores</w:t>
      </w:r>
      <w:r>
        <w:rPr>
          <w:rFonts w:ascii="Times New Roman" w:hAnsi="Times New Roman"/>
          <w:sz w:val="20"/>
          <w:szCs w:val="20"/>
        </w:rPr>
        <w:t xml:space="preserve">, pessoas que compram para </w:t>
      </w:r>
      <w:r w:rsidRPr="007C2DE9">
        <w:rPr>
          <w:rFonts w:ascii="Times New Roman" w:hAnsi="Times New Roman"/>
          <w:b/>
          <w:sz w:val="20"/>
          <w:szCs w:val="20"/>
        </w:rPr>
        <w:t>manter a economia</w:t>
      </w:r>
      <w:r>
        <w:rPr>
          <w:rFonts w:ascii="Times New Roman" w:hAnsi="Times New Roman"/>
          <w:sz w:val="20"/>
          <w:szCs w:val="20"/>
        </w:rPr>
        <w:t xml:space="preserve"> do país. Nós estamos agora descobrindo que as nossas políticas sociais, </w:t>
      </w:r>
      <w:r w:rsidRPr="007C2DE9">
        <w:rPr>
          <w:rFonts w:ascii="Times New Roman" w:hAnsi="Times New Roman"/>
          <w:b/>
          <w:sz w:val="20"/>
          <w:szCs w:val="20"/>
        </w:rPr>
        <w:t>o Bolsa Família</w:t>
      </w:r>
      <w:r>
        <w:rPr>
          <w:rFonts w:ascii="Times New Roman" w:hAnsi="Times New Roman"/>
          <w:sz w:val="20"/>
          <w:szCs w:val="20"/>
        </w:rPr>
        <w:t xml:space="preserve">, especialmente, </w:t>
      </w:r>
      <w:r w:rsidRPr="007C2DE9">
        <w:rPr>
          <w:rFonts w:ascii="Times New Roman" w:hAnsi="Times New Roman"/>
          <w:b/>
          <w:sz w:val="20"/>
          <w:szCs w:val="20"/>
        </w:rPr>
        <w:t>têm um grande efeito contra a crise</w:t>
      </w:r>
      <w:r>
        <w:rPr>
          <w:rFonts w:ascii="Times New Roman" w:hAnsi="Times New Roman"/>
          <w:sz w:val="20"/>
          <w:szCs w:val="20"/>
        </w:rPr>
        <w:t xml:space="preserve">, o chamado efeito anticíclico. Neste sentido, então, nós consideramos que as políticas de proteção e promoção social brasileira, essa rede da qual nós falamos, ao </w:t>
      </w:r>
      <w:r w:rsidRPr="007C2DE9">
        <w:rPr>
          <w:rFonts w:ascii="Times New Roman" w:hAnsi="Times New Roman"/>
          <w:b/>
          <w:sz w:val="20"/>
          <w:szCs w:val="20"/>
        </w:rPr>
        <w:t>fortalecer o mercado interno</w:t>
      </w:r>
      <w:r>
        <w:rPr>
          <w:rFonts w:ascii="Times New Roman" w:hAnsi="Times New Roman"/>
          <w:sz w:val="20"/>
          <w:szCs w:val="20"/>
        </w:rPr>
        <w:t xml:space="preserve">, são fatores de grande importância que vem </w:t>
      </w:r>
      <w:r w:rsidRPr="007C2DE9">
        <w:rPr>
          <w:rFonts w:ascii="Times New Roman" w:hAnsi="Times New Roman"/>
          <w:b/>
          <w:sz w:val="20"/>
          <w:szCs w:val="20"/>
        </w:rPr>
        <w:t xml:space="preserve">ajudando o Brasil a enfrentar a crise econômica internacional </w:t>
      </w:r>
      <w:r>
        <w:rPr>
          <w:rFonts w:ascii="Times New Roman" w:hAnsi="Times New Roman"/>
          <w:sz w:val="20"/>
          <w:szCs w:val="20"/>
        </w:rPr>
        <w:t xml:space="preserve">(Ministro Patrus Ananias, </w:t>
      </w:r>
      <w:r>
        <w:rPr>
          <w:rFonts w:ascii="Times New Roman" w:hAnsi="Times New Roman"/>
          <w:color w:val="000000"/>
          <w:sz w:val="20"/>
          <w:szCs w:val="20"/>
        </w:rPr>
        <w:t>Ata da 30ª Reunião Plenária, 04/06/09, p. 05 – grifos meus).</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p>
    <w:p w:rsidR="0051241A" w:rsidRDefault="00837AC8" w:rsidP="00837AC8">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 xml:space="preserve">A acomodação destas estratégias de gerenciamento da crise pelo conjunto de atores sociais partícipes do CDES, contudo, obscureceu debates e propostas tidas como não relacionadas propriamente à problemática da crise. Há duas ordens de questões que se quer salientar. A primeira é que, por sua feição (programática e classista) predominantemente burguesa em geral e empresarial em particular, o conceito “crise” trabalhado no CDES derivava da dificuldade constatada de reversão da tendência de declínio geral das taxas de lucros, bloqueando temporariamente a reprodução ampliada do capital. Para um Conselho em que sua razão de ser foi prioritariamente o “desenvolvimento”, ou seja, a expansão das relações sociais de produção capitalistas sob hegemonia </w:t>
      </w:r>
      <w:r w:rsidR="008106A0">
        <w:rPr>
          <w:rFonts w:ascii="Times New Roman" w:hAnsi="Times New Roman"/>
          <w:sz w:val="24"/>
          <w:szCs w:val="24"/>
        </w:rPr>
        <w:t>do grande capital</w:t>
      </w:r>
      <w:r>
        <w:rPr>
          <w:rFonts w:ascii="Times New Roman" w:hAnsi="Times New Roman"/>
          <w:sz w:val="24"/>
          <w:szCs w:val="24"/>
        </w:rPr>
        <w:t xml:space="preserve">, o enfoque econômico no trato da crise – posto que a dimensão social a ele se submetia e o impulsionava – era algo que vinha ao encontro da sua formatação compósita e do papel programático ao qual lhe foi atribuído e se imbuiu desde sua criação. </w:t>
      </w:r>
    </w:p>
    <w:p w:rsidR="00837AC8" w:rsidRPr="00DA50C5" w:rsidRDefault="00837AC8" w:rsidP="0051241A">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 outra questão, que remete à anterior mas como seu avesso, é que </w:t>
      </w:r>
      <w:r>
        <w:rPr>
          <w:rFonts w:ascii="Times New Roman" w:hAnsi="Times New Roman"/>
          <w:i/>
          <w:sz w:val="24"/>
          <w:szCs w:val="24"/>
        </w:rPr>
        <w:t>sob a posição de classe das classes subalternas</w:t>
      </w:r>
      <w:r>
        <w:rPr>
          <w:rFonts w:ascii="Times New Roman" w:hAnsi="Times New Roman"/>
          <w:sz w:val="24"/>
          <w:szCs w:val="24"/>
        </w:rPr>
        <w:t xml:space="preserve">, principalmente num país onde o capitalismo foi amadurecido sob o signo da “dupla articulação” a qual nos alude Florestan Fernandes (dependência externa e desigualdades sociais estruturais), um “capitalismo selvagem e difícil”, a situação de crise nunca é apenas episódicaou conjuntural, mas, ao contrário, é sempre crítica e crônico. </w:t>
      </w:r>
      <w:r>
        <w:rPr>
          <w:rFonts w:ascii="Times New Roman" w:hAnsi="Times New Roman"/>
          <w:sz w:val="24"/>
          <w:szCs w:val="24"/>
        </w:rPr>
        <w:tab/>
      </w:r>
    </w:p>
    <w:p w:rsidR="00837AC8" w:rsidRPr="00EE240C" w:rsidRDefault="00837AC8" w:rsidP="00837AC8">
      <w:pPr>
        <w:autoSpaceDE w:val="0"/>
        <w:autoSpaceDN w:val="0"/>
        <w:adjustRightInd w:val="0"/>
        <w:spacing w:before="240" w:line="240" w:lineRule="auto"/>
        <w:ind w:left="2268"/>
        <w:jc w:val="both"/>
        <w:rPr>
          <w:rFonts w:ascii="Times New Roman" w:hAnsi="Times New Roman"/>
          <w:color w:val="FF0000"/>
          <w:sz w:val="24"/>
          <w:szCs w:val="24"/>
        </w:rPr>
      </w:pPr>
      <w:r w:rsidRPr="00034177">
        <w:rPr>
          <w:rFonts w:ascii="Times New Roman" w:hAnsi="Times New Roman"/>
          <w:sz w:val="20"/>
          <w:szCs w:val="20"/>
        </w:rPr>
        <w:t xml:space="preserve">Não se pode esquecer que, do ponto de vista social, o capitalismo é uma forma permanentemente crítica. As relações sociais nas quais se </w:t>
      </w:r>
      <w:r w:rsidR="005913F9">
        <w:rPr>
          <w:rFonts w:ascii="Times New Roman" w:hAnsi="Times New Roman"/>
          <w:sz w:val="20"/>
          <w:szCs w:val="20"/>
        </w:rPr>
        <w:t>apoia</w:t>
      </w:r>
      <w:r w:rsidRPr="00034177">
        <w:rPr>
          <w:rFonts w:ascii="Times New Roman" w:hAnsi="Times New Roman"/>
          <w:sz w:val="20"/>
          <w:szCs w:val="20"/>
        </w:rPr>
        <w:t xml:space="preserve"> e que precisa expandir para sua reprodução sempre ampliada significam permanentemente tornar crescentes massas populares dependentes da própria expansão do capital (Fontes</w:t>
      </w:r>
      <w:r>
        <w:rPr>
          <w:rFonts w:ascii="Times New Roman" w:hAnsi="Times New Roman"/>
          <w:sz w:val="20"/>
          <w:szCs w:val="20"/>
        </w:rPr>
        <w:t>,</w:t>
      </w:r>
      <w:r w:rsidRPr="00034177">
        <w:rPr>
          <w:rFonts w:ascii="Times New Roman" w:hAnsi="Times New Roman"/>
          <w:sz w:val="20"/>
          <w:szCs w:val="20"/>
        </w:rPr>
        <w:t xml:space="preserve"> 2009: 60</w:t>
      </w:r>
      <w:r>
        <w:rPr>
          <w:rFonts w:ascii="Times New Roman" w:hAnsi="Times New Roman"/>
          <w:sz w:val="24"/>
          <w:szCs w:val="24"/>
        </w:rPr>
        <w:t>).</w:t>
      </w:r>
      <w:r>
        <w:rPr>
          <w:rStyle w:val="Refdenotaderodap"/>
          <w:rFonts w:ascii="Times New Roman" w:hAnsi="Times New Roman"/>
          <w:sz w:val="24"/>
          <w:szCs w:val="24"/>
        </w:rPr>
        <w:footnoteReference w:id="572"/>
      </w:r>
    </w:p>
    <w:p w:rsidR="00837AC8" w:rsidRPr="0087018B"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 crise para a classe trabalhadora é de outra natureza, como sabemos, e remetem às reposições das formas de subsunção real do trabalho ao capital. Seguindo Fontes:</w:t>
      </w:r>
    </w:p>
    <w:p w:rsidR="00837AC8" w:rsidRDefault="00837AC8" w:rsidP="00837AC8">
      <w:pPr>
        <w:autoSpaceDE w:val="0"/>
        <w:autoSpaceDN w:val="0"/>
        <w:adjustRightInd w:val="0"/>
        <w:spacing w:after="0" w:line="240" w:lineRule="auto"/>
        <w:ind w:left="2268"/>
        <w:jc w:val="both"/>
        <w:rPr>
          <w:rFonts w:ascii="Times New Roman" w:hAnsi="Times New Roman"/>
          <w:sz w:val="20"/>
          <w:szCs w:val="20"/>
        </w:rPr>
      </w:pPr>
      <w:r w:rsidRPr="00DA1686">
        <w:rPr>
          <w:rFonts w:ascii="Times New Roman" w:hAnsi="Times New Roman"/>
          <w:sz w:val="20"/>
          <w:szCs w:val="20"/>
        </w:rPr>
        <w:t>A subsunção real significa que o capital tende a subordinar, definir, circunscrever a atividade mais propriamente humana – o trabalho – sob qualquer modalidade concreta que este se apresente, alterando incessantemente a maneira específica de seu exercício, modificando suas características, em prol da acumulação ampliada de capital.</w:t>
      </w:r>
      <w:r>
        <w:rPr>
          <w:rStyle w:val="Refdenotaderodap"/>
          <w:rFonts w:ascii="Times New Roman" w:hAnsi="Times New Roman"/>
          <w:sz w:val="20"/>
          <w:szCs w:val="20"/>
        </w:rPr>
        <w:footnoteReference w:id="573"/>
      </w:r>
    </w:p>
    <w:p w:rsidR="00837AC8" w:rsidRPr="00DA1686" w:rsidRDefault="00837AC8" w:rsidP="00837AC8">
      <w:pPr>
        <w:autoSpaceDE w:val="0"/>
        <w:autoSpaceDN w:val="0"/>
        <w:adjustRightInd w:val="0"/>
        <w:spacing w:after="0" w:line="240" w:lineRule="auto"/>
        <w:ind w:left="2268"/>
        <w:jc w:val="both"/>
        <w:rPr>
          <w:rFonts w:ascii="Times New Roman" w:hAnsi="Times New Roman"/>
          <w:sz w:val="20"/>
          <w:szCs w:val="20"/>
        </w:rPr>
      </w:pPr>
    </w:p>
    <w:p w:rsidR="00837AC8" w:rsidRDefault="00837AC8" w:rsidP="00AF135C">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Ora, o eixo de expropriação e subalternização </w:t>
      </w:r>
      <w:r>
        <w:rPr>
          <w:rFonts w:ascii="Times New Roman" w:hAnsi="Times New Roman"/>
          <w:i/>
          <w:sz w:val="24"/>
          <w:szCs w:val="24"/>
        </w:rPr>
        <w:t xml:space="preserve">interna (nacional) </w:t>
      </w:r>
      <w:r>
        <w:rPr>
          <w:rFonts w:ascii="Times New Roman" w:hAnsi="Times New Roman"/>
          <w:sz w:val="24"/>
          <w:szCs w:val="24"/>
        </w:rPr>
        <w:t>da força de trabalho e a apropriação des</w:t>
      </w:r>
      <w:r w:rsidR="0037305F">
        <w:rPr>
          <w:rFonts w:ascii="Times New Roman" w:hAnsi="Times New Roman"/>
          <w:sz w:val="24"/>
          <w:szCs w:val="24"/>
        </w:rPr>
        <w:t>s</w:t>
      </w:r>
      <w:r>
        <w:rPr>
          <w:rFonts w:ascii="Times New Roman" w:hAnsi="Times New Roman"/>
          <w:sz w:val="24"/>
          <w:szCs w:val="24"/>
        </w:rPr>
        <w:t>es excedentes econômicos, logicamente, não se apresentava no CDES como tarefa ou atribuição explícita e imediata de gerenciamento da crise, tal qual o conjunto dos conselheiros restritamente a enxergava. Contudo, isso não significou ausências programáticas e/ou</w:t>
      </w:r>
      <w:r w:rsidR="00AF135C">
        <w:rPr>
          <w:rFonts w:ascii="Times New Roman" w:hAnsi="Times New Roman"/>
          <w:sz w:val="24"/>
          <w:szCs w:val="24"/>
        </w:rPr>
        <w:t xml:space="preserve"> planos de ação concretizados expressos em formas </w:t>
      </w:r>
      <w:r>
        <w:rPr>
          <w:rFonts w:ascii="Times New Roman" w:hAnsi="Times New Roman"/>
          <w:sz w:val="24"/>
          <w:szCs w:val="24"/>
        </w:rPr>
        <w:t xml:space="preserve">de </w:t>
      </w:r>
      <w:r w:rsidR="00AF135C">
        <w:rPr>
          <w:rFonts w:ascii="Times New Roman" w:hAnsi="Times New Roman"/>
          <w:sz w:val="24"/>
          <w:szCs w:val="24"/>
        </w:rPr>
        <w:t xml:space="preserve">disponibilização de massas de trabalhadores para setores privilegiados do capital e de expropriações secundárias (flexibilização de direitos), sob anuência ou, na maioria dos programas que serão tratados, </w:t>
      </w:r>
      <w:r w:rsidR="0051241A">
        <w:rPr>
          <w:rFonts w:ascii="Times New Roman" w:hAnsi="Times New Roman"/>
          <w:sz w:val="24"/>
          <w:szCs w:val="24"/>
        </w:rPr>
        <w:t xml:space="preserve">sob </w:t>
      </w:r>
      <w:r w:rsidR="00AF135C">
        <w:rPr>
          <w:rFonts w:ascii="Times New Roman" w:hAnsi="Times New Roman"/>
          <w:sz w:val="24"/>
          <w:szCs w:val="24"/>
        </w:rPr>
        <w:t>articula</w:t>
      </w:r>
      <w:r w:rsidR="0051241A">
        <w:rPr>
          <w:rFonts w:ascii="Times New Roman" w:hAnsi="Times New Roman"/>
          <w:sz w:val="24"/>
          <w:szCs w:val="24"/>
        </w:rPr>
        <w:t>ção</w:t>
      </w:r>
      <w:r w:rsidR="00AF135C">
        <w:rPr>
          <w:rFonts w:ascii="Times New Roman" w:hAnsi="Times New Roman"/>
          <w:sz w:val="24"/>
          <w:szCs w:val="24"/>
        </w:rPr>
        <w:t>, promo</w:t>
      </w:r>
      <w:r w:rsidR="0051241A">
        <w:rPr>
          <w:rFonts w:ascii="Times New Roman" w:hAnsi="Times New Roman"/>
          <w:sz w:val="24"/>
          <w:szCs w:val="24"/>
        </w:rPr>
        <w:t>ção</w:t>
      </w:r>
      <w:r w:rsidR="00AF135C">
        <w:rPr>
          <w:rFonts w:ascii="Times New Roman" w:hAnsi="Times New Roman"/>
          <w:sz w:val="24"/>
          <w:szCs w:val="24"/>
        </w:rPr>
        <w:t xml:space="preserve"> e monitora</w:t>
      </w:r>
      <w:r w:rsidR="0051241A">
        <w:rPr>
          <w:rFonts w:ascii="Times New Roman" w:hAnsi="Times New Roman"/>
          <w:sz w:val="24"/>
          <w:szCs w:val="24"/>
        </w:rPr>
        <w:t>mentod</w:t>
      </w:r>
      <w:r w:rsidR="00AF135C">
        <w:rPr>
          <w:rFonts w:ascii="Times New Roman" w:hAnsi="Times New Roman"/>
          <w:sz w:val="24"/>
          <w:szCs w:val="24"/>
        </w:rPr>
        <w:t xml:space="preserve">o Conselho. </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Muito se </w:t>
      </w:r>
      <w:r w:rsidR="00AF135C">
        <w:rPr>
          <w:rFonts w:ascii="Times New Roman" w:hAnsi="Times New Roman"/>
          <w:sz w:val="24"/>
          <w:szCs w:val="24"/>
        </w:rPr>
        <w:t>falou no CDES</w:t>
      </w:r>
      <w:r>
        <w:rPr>
          <w:rFonts w:ascii="Times New Roman" w:hAnsi="Times New Roman"/>
          <w:sz w:val="24"/>
          <w:szCs w:val="24"/>
        </w:rPr>
        <w:t xml:space="preserve"> sobre a ascensão da assim chamada “nova classe C” ou da “nova classe média” como causa e resultado do suposto “novo ciclo econômico” que se desenvolvia e sobre a necessidade de perenização (por meio de um mar</w:t>
      </w:r>
      <w:r w:rsidR="00AF135C">
        <w:rPr>
          <w:rFonts w:ascii="Times New Roman" w:hAnsi="Times New Roman"/>
          <w:sz w:val="24"/>
          <w:szCs w:val="24"/>
        </w:rPr>
        <w:t>co legal) das políticas sociais. Em paralelo, ocorria</w:t>
      </w:r>
      <w:r>
        <w:rPr>
          <w:rFonts w:ascii="Times New Roman" w:hAnsi="Times New Roman"/>
          <w:sz w:val="24"/>
          <w:szCs w:val="24"/>
        </w:rPr>
        <w:t xml:space="preserve"> a indução, articulação e construção </w:t>
      </w:r>
      <w:r w:rsidR="0051241A">
        <w:rPr>
          <w:rFonts w:ascii="Times New Roman" w:hAnsi="Times New Roman"/>
          <w:sz w:val="24"/>
          <w:szCs w:val="24"/>
        </w:rPr>
        <w:t xml:space="preserve">de </w:t>
      </w:r>
      <w:r>
        <w:rPr>
          <w:rFonts w:ascii="Times New Roman" w:hAnsi="Times New Roman"/>
          <w:sz w:val="24"/>
          <w:szCs w:val="24"/>
        </w:rPr>
        <w:t xml:space="preserve">políticas de gerenciamento da mão de obra com vistas a disponibilizá-la (realocá-la, treiná-la, adequá-la) a setores demandantes do capital, sustentadas de maneira astuciosa sob o já mencionado argumento do “ganha-ganha”, próprio de largos setores da burocracia sindical social-liberal e do empresariado que se apresenta como “socialmente responsável”.  </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De fato, as </w:t>
      </w:r>
      <w:r w:rsidRPr="00CE1D24">
        <w:rPr>
          <w:rFonts w:ascii="Times New Roman" w:hAnsi="Times New Roman"/>
          <w:sz w:val="24"/>
          <w:szCs w:val="24"/>
        </w:rPr>
        <w:t>políticas sociais induziram alguma mobilidade social a partir do enfrentamento focalizado às dramáticas condições de vida da parcela mais pobre dentre os pobres cujas medidas, mesmo sendo incapazes de dirimir a desigualdade funcional da renda, proporcionaram, durante a primeira década do século XXI, a ocupação de cerca de 20 milhões postos de trabalho pertencentes à base da pirâmide social (com rendimentos mensais de até 1,5 salários mínimos)</w:t>
      </w:r>
      <w:r>
        <w:rPr>
          <w:rFonts w:ascii="Times New Roman" w:hAnsi="Times New Roman"/>
          <w:sz w:val="24"/>
          <w:szCs w:val="24"/>
        </w:rPr>
        <w:t>, conforme mostra o estudo de Pochmann</w:t>
      </w:r>
      <w:r w:rsidRPr="00CE1D24">
        <w:rPr>
          <w:rFonts w:ascii="Times New Roman" w:hAnsi="Times New Roman"/>
          <w:sz w:val="24"/>
          <w:szCs w:val="24"/>
        </w:rPr>
        <w:t>.</w:t>
      </w:r>
      <w:r>
        <w:rPr>
          <w:rStyle w:val="Refdenotaderodap"/>
          <w:rFonts w:ascii="Times New Roman" w:hAnsi="Times New Roman"/>
          <w:sz w:val="24"/>
          <w:szCs w:val="24"/>
        </w:rPr>
        <w:footnoteReference w:id="574"/>
      </w:r>
      <w:r w:rsidRPr="00CE1D24">
        <w:rPr>
          <w:rFonts w:ascii="Times New Roman" w:hAnsi="Times New Roman"/>
          <w:sz w:val="24"/>
          <w:szCs w:val="24"/>
        </w:rPr>
        <w:t xml:space="preserve"> Estas ocupações alocavam-se principalmente no setor de serviços, mas também no setor de comércio e na construção civil, sendo que mais de 2/3 destas ocupações eram formais.</w:t>
      </w:r>
      <w:r>
        <w:rPr>
          <w:rStyle w:val="Refdenotaderodap"/>
          <w:rFonts w:ascii="Times New Roman" w:hAnsi="Times New Roman"/>
          <w:sz w:val="24"/>
          <w:szCs w:val="24"/>
        </w:rPr>
        <w:footnoteReference w:id="575"/>
      </w:r>
    </w:p>
    <w:p w:rsidR="00837AC8" w:rsidRDefault="00837AC8" w:rsidP="00837AC8">
      <w:pPr>
        <w:autoSpaceDE w:val="0"/>
        <w:autoSpaceDN w:val="0"/>
        <w:adjustRightInd w:val="0"/>
        <w:spacing w:line="360" w:lineRule="auto"/>
        <w:ind w:firstLine="708"/>
        <w:jc w:val="both"/>
        <w:rPr>
          <w:rFonts w:ascii="Times New Roman" w:hAnsi="Times New Roman"/>
          <w:sz w:val="24"/>
          <w:szCs w:val="24"/>
        </w:rPr>
      </w:pPr>
      <w:r w:rsidRPr="00CE1D24">
        <w:rPr>
          <w:rFonts w:ascii="Times New Roman" w:hAnsi="Times New Roman"/>
          <w:sz w:val="24"/>
          <w:szCs w:val="24"/>
        </w:rPr>
        <w:t>Muito e</w:t>
      </w:r>
      <w:r>
        <w:rPr>
          <w:rFonts w:ascii="Times New Roman" w:hAnsi="Times New Roman"/>
          <w:sz w:val="24"/>
          <w:szCs w:val="24"/>
        </w:rPr>
        <w:t>mbora o relativo alívio na condição de extrema</w:t>
      </w:r>
      <w:r w:rsidRPr="00CE1D24">
        <w:rPr>
          <w:rFonts w:ascii="Times New Roman" w:hAnsi="Times New Roman"/>
          <w:sz w:val="24"/>
          <w:szCs w:val="24"/>
        </w:rPr>
        <w:t xml:space="preserve"> pobreza de uma parcela da força de trabalho tenha sido </w:t>
      </w:r>
      <w:r>
        <w:rPr>
          <w:rFonts w:ascii="Times New Roman" w:hAnsi="Times New Roman"/>
          <w:sz w:val="24"/>
          <w:szCs w:val="24"/>
        </w:rPr>
        <w:t>o aspecto mais saliente do governo na área social</w:t>
      </w:r>
      <w:r w:rsidRPr="00CE1D24">
        <w:rPr>
          <w:rFonts w:ascii="Times New Roman" w:hAnsi="Times New Roman"/>
          <w:sz w:val="24"/>
          <w:szCs w:val="24"/>
        </w:rPr>
        <w:t xml:space="preserve">, </w:t>
      </w:r>
      <w:r>
        <w:rPr>
          <w:rFonts w:ascii="Times New Roman" w:hAnsi="Times New Roman"/>
          <w:sz w:val="24"/>
          <w:szCs w:val="24"/>
        </w:rPr>
        <w:t>o</w:t>
      </w:r>
      <w:r w:rsidRPr="00CE1D24">
        <w:rPr>
          <w:rFonts w:ascii="Times New Roman" w:hAnsi="Times New Roman"/>
          <w:sz w:val="24"/>
          <w:szCs w:val="24"/>
        </w:rPr>
        <w:t xml:space="preserve"> fenômeno revelou-se </w:t>
      </w:r>
      <w:r>
        <w:rPr>
          <w:rFonts w:ascii="Times New Roman" w:hAnsi="Times New Roman"/>
          <w:sz w:val="24"/>
          <w:szCs w:val="24"/>
        </w:rPr>
        <w:t xml:space="preserve">largamente </w:t>
      </w:r>
      <w:r w:rsidRPr="00CE1D24">
        <w:rPr>
          <w:rFonts w:ascii="Times New Roman" w:hAnsi="Times New Roman"/>
          <w:sz w:val="24"/>
          <w:szCs w:val="24"/>
        </w:rPr>
        <w:t>insuficiente paracaracterizar o surgimento de uma nova classe média</w:t>
      </w:r>
      <w:r>
        <w:rPr>
          <w:rStyle w:val="Refdenotaderodap"/>
          <w:rFonts w:ascii="Times New Roman" w:hAnsi="Times New Roman"/>
          <w:sz w:val="24"/>
          <w:szCs w:val="24"/>
        </w:rPr>
        <w:footnoteReference w:id="576"/>
      </w:r>
      <w:r w:rsidRPr="00CE1D24">
        <w:rPr>
          <w:rFonts w:ascii="Times New Roman" w:hAnsi="Times New Roman"/>
          <w:sz w:val="24"/>
          <w:szCs w:val="24"/>
        </w:rPr>
        <w:t xml:space="preserve"> “tendo em vista as peculiaridades de suas ocupações e remuneração”, ocorrendo “um reforço do contingente da classe trabalhadora”</w:t>
      </w:r>
      <w:r w:rsidR="0051241A">
        <w:rPr>
          <w:rFonts w:ascii="Times New Roman" w:hAnsi="Times New Roman"/>
          <w:sz w:val="24"/>
          <w:szCs w:val="24"/>
        </w:rPr>
        <w:t>.</w:t>
      </w:r>
      <w:r w:rsidR="0051241A">
        <w:rPr>
          <w:rStyle w:val="Refdenotaderodap"/>
          <w:rFonts w:ascii="Times New Roman" w:hAnsi="Times New Roman"/>
          <w:sz w:val="24"/>
          <w:szCs w:val="24"/>
        </w:rPr>
        <w:footnoteReference w:id="577"/>
      </w:r>
      <w:r>
        <w:rPr>
          <w:rFonts w:ascii="Times New Roman" w:hAnsi="Times New Roman"/>
          <w:sz w:val="24"/>
          <w:szCs w:val="24"/>
        </w:rPr>
        <w:t xml:space="preserve"> Ainda quanto a este ponto, mas agora partindo de uma posição crítica, </w:t>
      </w:r>
      <w:r w:rsidRPr="004C3AD0">
        <w:rPr>
          <w:rFonts w:ascii="Times New Roman" w:hAnsi="Times New Roman"/>
          <w:sz w:val="24"/>
          <w:szCs w:val="24"/>
        </w:rPr>
        <w:t>Marcelo Badaró Mattos</w:t>
      </w:r>
      <w:r>
        <w:rPr>
          <w:rFonts w:ascii="Times New Roman" w:hAnsi="Times New Roman"/>
          <w:sz w:val="24"/>
          <w:szCs w:val="24"/>
        </w:rPr>
        <w:t>, e</w:t>
      </w:r>
      <w:r w:rsidRPr="004C3AD0">
        <w:rPr>
          <w:rFonts w:ascii="Times New Roman" w:hAnsi="Times New Roman"/>
          <w:sz w:val="24"/>
          <w:szCs w:val="24"/>
        </w:rPr>
        <w:t xml:space="preserve">m entrevista </w:t>
      </w:r>
      <w:r>
        <w:rPr>
          <w:rFonts w:ascii="Times New Roman" w:hAnsi="Times New Roman"/>
          <w:sz w:val="24"/>
          <w:szCs w:val="24"/>
        </w:rPr>
        <w:t>ao site IHU</w:t>
      </w:r>
      <w:r w:rsidRPr="004C3AD0">
        <w:rPr>
          <w:rFonts w:ascii="Times New Roman" w:hAnsi="Times New Roman"/>
          <w:sz w:val="24"/>
          <w:szCs w:val="24"/>
        </w:rPr>
        <w:t xml:space="preserve">, publicada em 06 de junho de 2014, foi </w:t>
      </w:r>
      <w:r>
        <w:rPr>
          <w:rFonts w:ascii="Times New Roman" w:hAnsi="Times New Roman"/>
          <w:sz w:val="24"/>
          <w:szCs w:val="24"/>
        </w:rPr>
        <w:t>esclarecedor ao lembrar que</w:t>
      </w:r>
    </w:p>
    <w:p w:rsidR="00837AC8" w:rsidRPr="004C3AD0" w:rsidRDefault="00837AC8" w:rsidP="00837AC8">
      <w:pPr>
        <w:autoSpaceDE w:val="0"/>
        <w:autoSpaceDN w:val="0"/>
        <w:adjustRightInd w:val="0"/>
        <w:spacing w:line="240" w:lineRule="auto"/>
        <w:ind w:left="2268"/>
        <w:jc w:val="both"/>
        <w:rPr>
          <w:rFonts w:ascii="Times New Roman" w:hAnsi="Times New Roman"/>
          <w:sz w:val="20"/>
          <w:szCs w:val="20"/>
        </w:rPr>
      </w:pPr>
      <w:r w:rsidRPr="004C3AD0">
        <w:rPr>
          <w:rFonts w:ascii="Times New Roman" w:hAnsi="Times New Roman"/>
          <w:color w:val="1A1A1A"/>
          <w:sz w:val="20"/>
          <w:szCs w:val="20"/>
          <w:shd w:val="clear" w:color="auto" w:fill="FFFFFF"/>
        </w:rPr>
        <w:t>Nestes quase 12 anos de gestões petistas do governo federal, tanto nas fases de crescimento mais significativo no segundo mandatode</w:t>
      </w:r>
      <w:r w:rsidRPr="004C3AD0">
        <w:rPr>
          <w:rStyle w:val="apple-converted-space"/>
          <w:rFonts w:ascii="Times New Roman" w:hAnsi="Times New Roman"/>
          <w:color w:val="1A1A1A"/>
          <w:sz w:val="20"/>
          <w:szCs w:val="20"/>
          <w:shd w:val="clear" w:color="auto" w:fill="FFFFFF"/>
        </w:rPr>
        <w:t> </w:t>
      </w:r>
      <w:r w:rsidRPr="004C3AD0">
        <w:rPr>
          <w:rStyle w:val="Forte"/>
          <w:rFonts w:ascii="Times New Roman" w:hAnsi="Times New Roman"/>
          <w:color w:val="1A1A1A"/>
          <w:sz w:val="20"/>
          <w:szCs w:val="20"/>
          <w:bdr w:val="none" w:sz="0" w:space="0" w:color="auto" w:frame="1"/>
          <w:shd w:val="clear" w:color="auto" w:fill="FFFFFF"/>
        </w:rPr>
        <w:t>Lula da Silva</w:t>
      </w:r>
      <w:r w:rsidRPr="004C3AD0">
        <w:rPr>
          <w:rStyle w:val="apple-converted-space"/>
          <w:rFonts w:ascii="Times New Roman" w:hAnsi="Times New Roman"/>
          <w:color w:val="1A1A1A"/>
          <w:sz w:val="20"/>
          <w:szCs w:val="20"/>
          <w:shd w:val="clear" w:color="auto" w:fill="FFFFFF"/>
        </w:rPr>
        <w:t> </w:t>
      </w:r>
      <w:r w:rsidRPr="004C3AD0">
        <w:rPr>
          <w:rFonts w:ascii="Times New Roman" w:hAnsi="Times New Roman"/>
          <w:color w:val="1A1A1A"/>
          <w:sz w:val="20"/>
          <w:szCs w:val="20"/>
          <w:shd w:val="clear" w:color="auto" w:fill="FFFFFF"/>
        </w:rPr>
        <w:t>quanto nos períodos de quase estagnação do crescimento econômico, como hoje em dia, a maior parte dos empregos gerados no</w:t>
      </w:r>
      <w:r w:rsidRPr="004C3AD0">
        <w:rPr>
          <w:rStyle w:val="apple-converted-space"/>
          <w:rFonts w:ascii="Times New Roman" w:hAnsi="Times New Roman"/>
          <w:color w:val="1A1A1A"/>
          <w:sz w:val="20"/>
          <w:szCs w:val="20"/>
          <w:shd w:val="clear" w:color="auto" w:fill="FFFFFF"/>
        </w:rPr>
        <w:t> </w:t>
      </w:r>
      <w:r w:rsidRPr="004C3AD0">
        <w:rPr>
          <w:rStyle w:val="Forte"/>
          <w:rFonts w:ascii="Times New Roman" w:hAnsi="Times New Roman"/>
          <w:color w:val="1A1A1A"/>
          <w:sz w:val="20"/>
          <w:szCs w:val="20"/>
          <w:bdr w:val="none" w:sz="0" w:space="0" w:color="auto" w:frame="1"/>
          <w:shd w:val="clear" w:color="auto" w:fill="FFFFFF"/>
        </w:rPr>
        <w:t>Brasil</w:t>
      </w:r>
      <w:r w:rsidRPr="004C3AD0">
        <w:rPr>
          <w:rStyle w:val="apple-converted-space"/>
          <w:rFonts w:ascii="Times New Roman" w:hAnsi="Times New Roman"/>
          <w:color w:val="1A1A1A"/>
          <w:sz w:val="20"/>
          <w:szCs w:val="20"/>
          <w:shd w:val="clear" w:color="auto" w:fill="FFFFFF"/>
        </w:rPr>
        <w:t> </w:t>
      </w:r>
      <w:r w:rsidRPr="004C3AD0">
        <w:rPr>
          <w:rFonts w:ascii="Times New Roman" w:hAnsi="Times New Roman"/>
          <w:color w:val="1A1A1A"/>
          <w:sz w:val="20"/>
          <w:szCs w:val="20"/>
          <w:shd w:val="clear" w:color="auto" w:fill="FFFFFF"/>
        </w:rPr>
        <w:t>foi ancorada em baixo salário. Dados de 2011 indicam que 82% dos empregados no</w:t>
      </w:r>
      <w:r w:rsidRPr="004C3AD0">
        <w:rPr>
          <w:rStyle w:val="apple-converted-space"/>
          <w:rFonts w:ascii="Times New Roman" w:hAnsi="Times New Roman"/>
          <w:color w:val="1A1A1A"/>
          <w:sz w:val="20"/>
          <w:szCs w:val="20"/>
          <w:shd w:val="clear" w:color="auto" w:fill="FFFFFF"/>
        </w:rPr>
        <w:t> </w:t>
      </w:r>
      <w:r w:rsidRPr="004C3AD0">
        <w:rPr>
          <w:rStyle w:val="Forte"/>
          <w:rFonts w:ascii="Times New Roman" w:hAnsi="Times New Roman"/>
          <w:color w:val="1A1A1A"/>
          <w:sz w:val="20"/>
          <w:szCs w:val="20"/>
          <w:bdr w:val="none" w:sz="0" w:space="0" w:color="auto" w:frame="1"/>
          <w:shd w:val="clear" w:color="auto" w:fill="FFFFFF"/>
        </w:rPr>
        <w:t>Brasil</w:t>
      </w:r>
      <w:r w:rsidRPr="004C3AD0">
        <w:rPr>
          <w:rStyle w:val="apple-converted-space"/>
          <w:rFonts w:ascii="Times New Roman" w:hAnsi="Times New Roman"/>
          <w:b/>
          <w:color w:val="1A1A1A"/>
          <w:sz w:val="20"/>
          <w:szCs w:val="20"/>
          <w:shd w:val="clear" w:color="auto" w:fill="FFFFFF"/>
        </w:rPr>
        <w:t> </w:t>
      </w:r>
      <w:r w:rsidRPr="004C3AD0">
        <w:rPr>
          <w:rFonts w:ascii="Times New Roman" w:hAnsi="Times New Roman"/>
          <w:color w:val="1A1A1A"/>
          <w:sz w:val="20"/>
          <w:szCs w:val="20"/>
          <w:shd w:val="clear" w:color="auto" w:fill="FFFFFF"/>
        </w:rPr>
        <w:t>recebem até três salários mínimos (30% recebem até um salário mínimo) (...) os reajustes do salário mínimo mal e mal o recolocaram no patamar dos anos 1980, que já era o ponto mais baixo da sua curva desde o final dos anos 1950.</w:t>
      </w:r>
      <w:r>
        <w:rPr>
          <w:rStyle w:val="Refdenotaderodap"/>
          <w:rFonts w:ascii="Times New Roman" w:hAnsi="Times New Roman"/>
          <w:color w:val="1A1A1A"/>
          <w:sz w:val="20"/>
          <w:szCs w:val="20"/>
          <w:shd w:val="clear" w:color="auto" w:fill="FFFFFF"/>
        </w:rPr>
        <w:footnoteReference w:id="578"/>
      </w:r>
    </w:p>
    <w:p w:rsidR="00837AC8" w:rsidRDefault="00837AC8" w:rsidP="00837AC8">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O quadro de exasperação dos efeitos deletérios da expansão do capital tampouco foi relativamente amenizado no cenário brasileiro recente. Múltiplas e combinadas formas históricas e recentes de subalternização e exploração da força de trabalho, nas variadas modalidades precarizadas de gestão e de organização (temporárias, terceirizadas, subcontratadas, polivalentes/flexíveis, etc), estão avassaladoramente se estendendo e se aprofundando, ainda que revestidas de relações trabalhistas “modernas”, ao agrado das burguesias brasileiras. “A precariedade está hoje por toda parte”, afirmou Bourdieu,</w:t>
      </w:r>
      <w:r>
        <w:rPr>
          <w:rStyle w:val="Refdenotaderodap"/>
          <w:rFonts w:ascii="Times New Roman" w:hAnsi="Times New Roman"/>
          <w:sz w:val="24"/>
          <w:szCs w:val="24"/>
        </w:rPr>
        <w:footnoteReference w:id="579"/>
      </w:r>
      <w:r>
        <w:rPr>
          <w:rFonts w:ascii="Times New Roman" w:hAnsi="Times New Roman"/>
          <w:sz w:val="24"/>
          <w:szCs w:val="24"/>
        </w:rPr>
        <w:t xml:space="preserve"> assinalando que se trata de um “regime político”, mas “que é apresentado como um regime econômico regido pelas leis inflexíveis de uma espécie de natureza social”.</w:t>
      </w:r>
      <w:r>
        <w:rPr>
          <w:rStyle w:val="Refdenotaderodap"/>
          <w:rFonts w:ascii="Times New Roman" w:hAnsi="Times New Roman"/>
          <w:sz w:val="24"/>
          <w:szCs w:val="24"/>
        </w:rPr>
        <w:footnoteReference w:id="580"/>
      </w:r>
      <w:r>
        <w:rPr>
          <w:rFonts w:ascii="Times New Roman" w:hAnsi="Times New Roman"/>
          <w:sz w:val="24"/>
          <w:szCs w:val="24"/>
        </w:rPr>
        <w:t xml:space="preserve"> Como </w:t>
      </w:r>
      <w:r>
        <w:rPr>
          <w:rFonts w:ascii="Times New Roman" w:hAnsi="Times New Roman"/>
          <w:i/>
          <w:sz w:val="24"/>
          <w:szCs w:val="24"/>
        </w:rPr>
        <w:t xml:space="preserve">vontade política </w:t>
      </w:r>
      <w:r>
        <w:rPr>
          <w:rFonts w:ascii="Times New Roman" w:hAnsi="Times New Roman"/>
          <w:sz w:val="24"/>
          <w:szCs w:val="24"/>
        </w:rPr>
        <w:t xml:space="preserve">e não </w:t>
      </w:r>
      <w:r>
        <w:rPr>
          <w:rFonts w:ascii="Times New Roman" w:hAnsi="Times New Roman"/>
          <w:i/>
          <w:sz w:val="24"/>
          <w:szCs w:val="24"/>
        </w:rPr>
        <w:t>fatalidade econômica</w:t>
      </w:r>
      <w:r>
        <w:rPr>
          <w:rFonts w:ascii="Times New Roman" w:hAnsi="Times New Roman"/>
          <w:sz w:val="24"/>
          <w:szCs w:val="24"/>
        </w:rPr>
        <w:t>, “a luta política é possível”.</w:t>
      </w:r>
      <w:r>
        <w:rPr>
          <w:rStyle w:val="Refdenotaderodap"/>
          <w:rFonts w:ascii="Times New Roman" w:hAnsi="Times New Roman"/>
          <w:sz w:val="24"/>
          <w:szCs w:val="24"/>
        </w:rPr>
        <w:footnoteReference w:id="581"/>
      </w:r>
    </w:p>
    <w:p w:rsidR="00837AC8" w:rsidRPr="00BE7C8E" w:rsidRDefault="00837AC8" w:rsidP="00837AC8">
      <w:pPr>
        <w:autoSpaceDE w:val="0"/>
        <w:autoSpaceDN w:val="0"/>
        <w:adjustRightInd w:val="0"/>
        <w:spacing w:line="240" w:lineRule="auto"/>
        <w:ind w:left="2268"/>
        <w:jc w:val="both"/>
        <w:rPr>
          <w:rFonts w:ascii="Times New Roman" w:hAnsi="Times New Roman"/>
          <w:sz w:val="20"/>
          <w:szCs w:val="20"/>
        </w:rPr>
      </w:pPr>
      <w:r w:rsidRPr="00BE7C8E">
        <w:rPr>
          <w:rFonts w:ascii="Times New Roman" w:hAnsi="Times New Roman"/>
          <w:sz w:val="20"/>
          <w:szCs w:val="20"/>
        </w:rPr>
        <w:t xml:space="preserve">A precariedade se inscreve num </w:t>
      </w:r>
      <w:r w:rsidRPr="00BE7C8E">
        <w:rPr>
          <w:rFonts w:ascii="Times New Roman" w:hAnsi="Times New Roman"/>
          <w:i/>
          <w:sz w:val="20"/>
          <w:szCs w:val="20"/>
        </w:rPr>
        <w:t>modo de dominação</w:t>
      </w:r>
      <w:r w:rsidRPr="00BE7C8E">
        <w:rPr>
          <w:rFonts w:ascii="Times New Roman" w:hAnsi="Times New Roman"/>
          <w:sz w:val="20"/>
          <w:szCs w:val="20"/>
        </w:rPr>
        <w:t xml:space="preserve"> de tipo novo, fundado na instituição de uma situação generalizada e permanente de insegurança, visando obrigar os trabalhadores à submissão, à aceitação da exploração. (...) esse modo de dominação é absolutamente sem precedentes, motivando alguém a propor aqui o conceito (...) de </w:t>
      </w:r>
      <w:r w:rsidRPr="00BE7C8E">
        <w:rPr>
          <w:rFonts w:ascii="Times New Roman" w:hAnsi="Times New Roman"/>
          <w:i/>
          <w:sz w:val="20"/>
          <w:szCs w:val="20"/>
        </w:rPr>
        <w:t>flexploração</w:t>
      </w:r>
      <w:r>
        <w:rPr>
          <w:rFonts w:ascii="Times New Roman" w:hAnsi="Times New Roman"/>
          <w:sz w:val="20"/>
          <w:szCs w:val="20"/>
        </w:rPr>
        <w:t>.</w:t>
      </w:r>
      <w:r>
        <w:rPr>
          <w:rStyle w:val="Refdenotaderodap"/>
          <w:rFonts w:ascii="Times New Roman" w:hAnsi="Times New Roman"/>
          <w:sz w:val="20"/>
          <w:szCs w:val="20"/>
        </w:rPr>
        <w:footnoteReference w:id="582"/>
      </w:r>
    </w:p>
    <w:p w:rsidR="00837AC8" w:rsidRDefault="00094536" w:rsidP="00837AC8">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Sem </w:t>
      </w:r>
      <w:r w:rsidR="00837AC8">
        <w:rPr>
          <w:rFonts w:ascii="Times New Roman" w:hAnsi="Times New Roman"/>
          <w:sz w:val="24"/>
          <w:szCs w:val="24"/>
        </w:rPr>
        <w:t xml:space="preserve">aprofundar </w:t>
      </w:r>
      <w:r>
        <w:rPr>
          <w:rFonts w:ascii="Times New Roman" w:hAnsi="Times New Roman"/>
          <w:sz w:val="24"/>
          <w:szCs w:val="24"/>
        </w:rPr>
        <w:t>o</w:t>
      </w:r>
      <w:r w:rsidR="00837AC8">
        <w:rPr>
          <w:rFonts w:ascii="Times New Roman" w:hAnsi="Times New Roman"/>
          <w:sz w:val="24"/>
          <w:szCs w:val="24"/>
        </w:rPr>
        <w:t xml:space="preserve"> debate, nos parec</w:t>
      </w:r>
      <w:r w:rsidR="0051241A">
        <w:rPr>
          <w:rFonts w:ascii="Times New Roman" w:hAnsi="Times New Roman"/>
          <w:sz w:val="24"/>
          <w:szCs w:val="24"/>
        </w:rPr>
        <w:t>e obrigatório trabalhar como ess</w:t>
      </w:r>
      <w:r w:rsidR="00837AC8">
        <w:rPr>
          <w:rFonts w:ascii="Times New Roman" w:hAnsi="Times New Roman"/>
          <w:sz w:val="24"/>
          <w:szCs w:val="24"/>
        </w:rPr>
        <w:t xml:space="preserve">as propostas de expansão das formas de expropriação secundária </w:t>
      </w:r>
      <w:r w:rsidR="006E0A12">
        <w:rPr>
          <w:rFonts w:ascii="Times New Roman" w:hAnsi="Times New Roman"/>
          <w:sz w:val="24"/>
          <w:szCs w:val="24"/>
        </w:rPr>
        <w:t xml:space="preserve">(retiradas de direitos </w:t>
      </w:r>
      <w:r>
        <w:rPr>
          <w:rFonts w:ascii="Times New Roman" w:hAnsi="Times New Roman"/>
          <w:sz w:val="24"/>
          <w:szCs w:val="24"/>
        </w:rPr>
        <w:t>que, como tais, também são formas de disponibilização do</w:t>
      </w:r>
      <w:r w:rsidR="0051241A">
        <w:rPr>
          <w:rFonts w:ascii="Times New Roman" w:hAnsi="Times New Roman"/>
          <w:sz w:val="24"/>
          <w:szCs w:val="24"/>
        </w:rPr>
        <w:t>s</w:t>
      </w:r>
      <w:r>
        <w:rPr>
          <w:rFonts w:ascii="Times New Roman" w:hAnsi="Times New Roman"/>
          <w:sz w:val="24"/>
          <w:szCs w:val="24"/>
        </w:rPr>
        <w:t xml:space="preserve"> trabalhador</w:t>
      </w:r>
      <w:r w:rsidR="0051241A">
        <w:rPr>
          <w:rFonts w:ascii="Times New Roman" w:hAnsi="Times New Roman"/>
          <w:sz w:val="24"/>
          <w:szCs w:val="24"/>
        </w:rPr>
        <w:t>es, colocando-os</w:t>
      </w:r>
      <w:r>
        <w:rPr>
          <w:rFonts w:ascii="Times New Roman" w:hAnsi="Times New Roman"/>
          <w:sz w:val="24"/>
          <w:szCs w:val="24"/>
        </w:rPr>
        <w:t xml:space="preserve"> em maior concorrência no mercado de trabalho) </w:t>
      </w:r>
      <w:r w:rsidR="00837AC8">
        <w:rPr>
          <w:rFonts w:ascii="Times New Roman" w:hAnsi="Times New Roman"/>
          <w:sz w:val="24"/>
          <w:szCs w:val="24"/>
        </w:rPr>
        <w:t xml:space="preserve">estavam sendo enunciadas, organizadas e promovidas no âmbito mesmo do Conselho. É interessante observar como as modalidades de exploração, expropriação e precarização social do trabalho </w:t>
      </w:r>
      <w:r w:rsidR="006E0A12">
        <w:rPr>
          <w:rFonts w:ascii="Times New Roman" w:hAnsi="Times New Roman"/>
          <w:sz w:val="24"/>
          <w:szCs w:val="24"/>
        </w:rPr>
        <w:t xml:space="preserve">eram </w:t>
      </w:r>
      <w:r w:rsidR="00837AC8">
        <w:rPr>
          <w:rFonts w:ascii="Times New Roman" w:hAnsi="Times New Roman"/>
          <w:sz w:val="24"/>
          <w:szCs w:val="24"/>
        </w:rPr>
        <w:t>apresenta</w:t>
      </w:r>
      <w:r w:rsidR="006E0A12">
        <w:rPr>
          <w:rFonts w:ascii="Times New Roman" w:hAnsi="Times New Roman"/>
          <w:sz w:val="24"/>
          <w:szCs w:val="24"/>
        </w:rPr>
        <w:t>das</w:t>
      </w:r>
      <w:r w:rsidR="00837AC8">
        <w:rPr>
          <w:rFonts w:ascii="Times New Roman" w:hAnsi="Times New Roman"/>
          <w:sz w:val="24"/>
          <w:szCs w:val="24"/>
        </w:rPr>
        <w:t xml:space="preserve"> não apenas como “modernas”, mas como a síntese de uma “negociação coletiva democrática” entre capital e trabalho, de natureza benfazeja. É revelador, por exemplo, a posição pró-flexibilização das relações do então mandatário do Executivo, Lula da Silva, exposta na 22ª Reunião Plenária, em 17/07/2007:</w:t>
      </w:r>
    </w:p>
    <w:p w:rsidR="00837AC8" w:rsidRDefault="00837AC8" w:rsidP="00837AC8">
      <w:pPr>
        <w:autoSpaceDE w:val="0"/>
        <w:autoSpaceDN w:val="0"/>
        <w:adjustRightInd w:val="0"/>
        <w:spacing w:after="0" w:line="240" w:lineRule="auto"/>
        <w:ind w:left="2268"/>
        <w:jc w:val="both"/>
        <w:rPr>
          <w:rFonts w:ascii="Times New Roman" w:hAnsi="Times New Roman"/>
          <w:sz w:val="24"/>
          <w:szCs w:val="24"/>
        </w:rPr>
      </w:pPr>
      <w:r w:rsidRPr="00297E43">
        <w:rPr>
          <w:rFonts w:ascii="Times New Roman" w:hAnsi="Times New Roman"/>
          <w:sz w:val="20"/>
          <w:szCs w:val="20"/>
        </w:rPr>
        <w:t xml:space="preserve">A Reforma Trabalhista, obviamente, se continuar do jeito que está, de um lado um grupo de empresários achando que é preciso rasgar a CLT e fazer tudo novo, de outro lado os dirigentes sindicais achando que têm que manter a CLT e colocar mais coisas. Não dá acordo. Então, eu sugiro que este Conselho possa permitir que os trabalhadores apresentem uma proposta, porque não é possível que o Getúlio Vargas tenha tido a onipotência de Deus de, em 1940, fazer uma lei que prevaleça no mundo do trabalho de hoje na sua totalidade. Muitas coisas podem ser aperfeiçoadas em função da realidade, sobretudo, do surgimento de uma coisa chamada setor de serviços, em função, </w:t>
      </w:r>
      <w:r>
        <w:rPr>
          <w:rFonts w:ascii="Times New Roman" w:hAnsi="Times New Roman"/>
          <w:sz w:val="20"/>
          <w:szCs w:val="20"/>
        </w:rPr>
        <w:t>(...)</w:t>
      </w:r>
      <w:r w:rsidRPr="00297E43">
        <w:rPr>
          <w:rFonts w:ascii="Times New Roman" w:hAnsi="Times New Roman"/>
          <w:sz w:val="20"/>
          <w:szCs w:val="20"/>
        </w:rPr>
        <w:t xml:space="preserve"> de que hoje nós temos mais gente na economia informal do que na economia formal e precisamos dar a resposta para eles de que hoje temos milhões de jovens que querem adentrar no mercado de trabalho e não conseguem, muitas vezes, pelas condições exigidas. Ou nós discutimos isso para dize</w:t>
      </w:r>
      <w:r>
        <w:rPr>
          <w:rFonts w:ascii="Times New Roman" w:hAnsi="Times New Roman"/>
          <w:sz w:val="20"/>
          <w:szCs w:val="20"/>
        </w:rPr>
        <w:t>r: olha, nós não queremos mudar</w:t>
      </w:r>
      <w:r w:rsidRPr="00297E43">
        <w:rPr>
          <w:rFonts w:ascii="Times New Roman" w:hAnsi="Times New Roman"/>
          <w:sz w:val="20"/>
          <w:szCs w:val="20"/>
        </w:rPr>
        <w:t>, nós queremos mudar, ou achar um meio-termo. E aí os empresários preparam a deles, os trabalhadores preparam a deles e aí nós costuramos u</w:t>
      </w:r>
      <w:r>
        <w:rPr>
          <w:rFonts w:ascii="Times New Roman" w:hAnsi="Times New Roman"/>
          <w:sz w:val="20"/>
          <w:szCs w:val="20"/>
        </w:rPr>
        <w:t>m denominador comum. Do contrár</w:t>
      </w:r>
      <w:r w:rsidRPr="00297E43">
        <w:rPr>
          <w:rFonts w:ascii="Times New Roman" w:hAnsi="Times New Roman"/>
          <w:sz w:val="20"/>
          <w:szCs w:val="20"/>
        </w:rPr>
        <w:t>io nunca haverá mudança, vai ficar essa situação que já perdura há uma ou duas décadas, e quanto mais houver evolução tecnológica, mais o setor de serviços vai ganhar espaço, portanto, as condições de trabalho terão que ser discutidas</w:t>
      </w:r>
      <w:r>
        <w:rPr>
          <w:rFonts w:ascii="Times New Roman" w:hAnsi="Times New Roman"/>
          <w:sz w:val="20"/>
          <w:szCs w:val="20"/>
        </w:rPr>
        <w:t xml:space="preserve"> (Presidente Lula da Silva, Ata da 22ª Reunião Plenária, p. 34).</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p>
    <w:p w:rsidR="00837AC8" w:rsidRDefault="00094536" w:rsidP="00837AC8">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O</w:t>
      </w:r>
      <w:r w:rsidR="00837AC8">
        <w:rPr>
          <w:rFonts w:ascii="Times New Roman" w:hAnsi="Times New Roman"/>
          <w:sz w:val="24"/>
          <w:szCs w:val="24"/>
        </w:rPr>
        <w:t xml:space="preserve"> debate </w:t>
      </w:r>
      <w:r>
        <w:rPr>
          <w:rFonts w:ascii="Times New Roman" w:hAnsi="Times New Roman"/>
          <w:sz w:val="24"/>
          <w:szCs w:val="24"/>
        </w:rPr>
        <w:t xml:space="preserve">sobre a precarização </w:t>
      </w:r>
      <w:r w:rsidR="00837AC8">
        <w:rPr>
          <w:rFonts w:ascii="Times New Roman" w:hAnsi="Times New Roman"/>
          <w:sz w:val="24"/>
          <w:szCs w:val="24"/>
        </w:rPr>
        <w:t xml:space="preserve">no CDES dificilmente aparecia de maneira articulada, coesa e detalhada, senão sob o viés enunciativo e genérico, salvo em caso específico do “Compromisso Nacional”, onde o CDES envolveu-se de forma orgânica, como veremos. De todo modo, uma espécie de </w:t>
      </w:r>
      <w:r w:rsidR="00837AC8" w:rsidRPr="00BE7C8E">
        <w:rPr>
          <w:rFonts w:ascii="Times New Roman" w:hAnsi="Times New Roman"/>
          <w:i/>
          <w:sz w:val="24"/>
          <w:szCs w:val="24"/>
        </w:rPr>
        <w:t xml:space="preserve">acordo </w:t>
      </w:r>
      <w:r w:rsidR="00837AC8">
        <w:rPr>
          <w:rFonts w:ascii="Times New Roman" w:hAnsi="Times New Roman"/>
          <w:i/>
          <w:sz w:val="24"/>
          <w:szCs w:val="24"/>
        </w:rPr>
        <w:t xml:space="preserve">prévio, ainda em gestação, </w:t>
      </w:r>
      <w:r w:rsidR="00837AC8">
        <w:rPr>
          <w:rFonts w:ascii="Times New Roman" w:hAnsi="Times New Roman"/>
          <w:sz w:val="24"/>
          <w:szCs w:val="24"/>
        </w:rPr>
        <w:t>se enunciava no Conselho entre as cúpulas da coalizão empresarial e sindical, na ocasião figuradas entre o me</w:t>
      </w:r>
      <w:r w:rsidR="002F6ECD">
        <w:rPr>
          <w:rFonts w:ascii="Times New Roman" w:hAnsi="Times New Roman"/>
          <w:sz w:val="24"/>
          <w:szCs w:val="24"/>
        </w:rPr>
        <w:t>gaempresário Jorge Gerdau (cuja exposição versava sobre</w:t>
      </w:r>
      <w:r w:rsidR="00837AC8">
        <w:rPr>
          <w:rFonts w:ascii="Times New Roman" w:hAnsi="Times New Roman"/>
          <w:sz w:val="24"/>
          <w:szCs w:val="24"/>
        </w:rPr>
        <w:t xml:space="preserve"> os obstáculos à competitividade do setor siderúrgico) e o então presidente da CUT, Artur Henrique:</w:t>
      </w:r>
    </w:p>
    <w:p w:rsidR="00837AC8" w:rsidRPr="00B40907" w:rsidRDefault="00837AC8" w:rsidP="00837AC8">
      <w:pPr>
        <w:spacing w:after="0" w:line="240" w:lineRule="auto"/>
        <w:ind w:left="2268"/>
        <w:jc w:val="both"/>
        <w:rPr>
          <w:rFonts w:ascii="Times New Roman" w:eastAsia="Times New Roman" w:hAnsi="Times New Roman"/>
          <w:color w:val="000000"/>
          <w:sz w:val="20"/>
          <w:szCs w:val="20"/>
          <w:lang w:eastAsia="pt-BR"/>
        </w:rPr>
      </w:pPr>
      <w:r w:rsidRPr="00B40907">
        <w:rPr>
          <w:rFonts w:ascii="Times New Roman" w:eastAsia="Times New Roman" w:hAnsi="Times New Roman"/>
          <w:b/>
          <w:color w:val="000000"/>
          <w:sz w:val="20"/>
          <w:szCs w:val="20"/>
          <w:lang w:eastAsia="pt-BR"/>
        </w:rPr>
        <w:t>Gerdau</w:t>
      </w:r>
      <w:r w:rsidRPr="00B40907">
        <w:rPr>
          <w:rFonts w:ascii="Times New Roman" w:eastAsia="Times New Roman" w:hAnsi="Times New Roman"/>
          <w:color w:val="000000"/>
          <w:sz w:val="20"/>
          <w:szCs w:val="20"/>
          <w:lang w:eastAsia="pt-BR"/>
        </w:rPr>
        <w:t>: Na lei trabalhista, acho que temos que ter menos leis e mais negociação.</w:t>
      </w:r>
    </w:p>
    <w:p w:rsidR="00837AC8" w:rsidRPr="00AA4308" w:rsidRDefault="00837AC8" w:rsidP="00837AC8">
      <w:pPr>
        <w:spacing w:after="0" w:line="240" w:lineRule="auto"/>
        <w:ind w:left="2268"/>
        <w:jc w:val="both"/>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w:t>
      </w:r>
    </w:p>
    <w:p w:rsidR="00837AC8" w:rsidRPr="00AA4308" w:rsidRDefault="00837AC8" w:rsidP="00837AC8">
      <w:pPr>
        <w:spacing w:after="0" w:line="240" w:lineRule="auto"/>
        <w:ind w:left="2268"/>
        <w:jc w:val="both"/>
        <w:rPr>
          <w:rFonts w:ascii="Times New Roman" w:eastAsia="Times New Roman" w:hAnsi="Times New Roman"/>
          <w:color w:val="000000"/>
          <w:sz w:val="20"/>
          <w:szCs w:val="20"/>
          <w:lang w:eastAsia="pt-BR"/>
        </w:rPr>
      </w:pPr>
      <w:r w:rsidRPr="00B40907">
        <w:rPr>
          <w:rFonts w:ascii="Times New Roman" w:eastAsia="Times New Roman" w:hAnsi="Times New Roman"/>
          <w:b/>
          <w:color w:val="000000"/>
          <w:sz w:val="20"/>
          <w:szCs w:val="20"/>
          <w:lang w:eastAsia="pt-BR"/>
        </w:rPr>
        <w:t>Artur Henrique</w:t>
      </w:r>
      <w:r w:rsidRPr="00B40907">
        <w:rPr>
          <w:rFonts w:ascii="Times New Roman" w:eastAsia="Times New Roman" w:hAnsi="Times New Roman"/>
          <w:color w:val="000000"/>
          <w:sz w:val="20"/>
          <w:szCs w:val="20"/>
          <w:lang w:eastAsia="pt-BR"/>
        </w:rPr>
        <w:t>: Mas eu quero dizer uma coisa para o conselheiro Gerdau e para todos os empresários aqui presentes. Nós, das centrais sindicais, achamos que não precisa ter tanta lei, desde que tenhamos mais negociação e mais sindicatos representativos organizados, a partir do local de trabalho. Quanto mais sindicatos fortes, organizados a partir do local de trabalho, menos necessidade de legislação. Enquanto não mudarmos a estrutura sindical brasileira, tanto a nossa dos trabalhadores, quanto a de vocês empresários, nós não vamos conseguir superar esse dilema e esse é um grande desafio para o próximo per</w:t>
      </w:r>
      <w:r>
        <w:rPr>
          <w:rFonts w:ascii="Times New Roman" w:eastAsia="Times New Roman" w:hAnsi="Times New Roman"/>
          <w:color w:val="000000"/>
          <w:sz w:val="20"/>
          <w:szCs w:val="20"/>
          <w:lang w:eastAsia="pt-BR"/>
        </w:rPr>
        <w:t>íodo (ATA da 32ª Reunião Plenária, 09/12/09, p. 03; 21)</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p>
    <w:p w:rsidR="00094536"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 proposta de “menos legislação e mais negociação” reapresentou-se três anos mais tarde por meio de um Acordo Coletivo Especial (ACE) de autoria do Sindicato dos Metalúrgicos do ABC e consubstanciado no anteprojeto de lei denominado “Acordo Coletivo de Trabalho com Propósito Específico”. No fundo, tratava-se da reedição do Projeto de Lei 5483/2001 que, sob o lema “o negociado prevalece sobre o legislado”, foi apresentado ao Congresso Nacional pelo governo FHC e em total convergência com os interesses da CNI, como demonstra a socióloga Graça Druck (UFBA) em entrevista ao site IHU, em agosto de 2012.</w:t>
      </w:r>
      <w:r>
        <w:rPr>
          <w:rStyle w:val="Refdenotaderodap"/>
          <w:rFonts w:ascii="Times New Roman" w:hAnsi="Times New Roman"/>
          <w:sz w:val="24"/>
          <w:szCs w:val="24"/>
        </w:rPr>
        <w:footnoteReference w:id="583"/>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Segundo Druck, o anteprojeto do ACE foi assumido pelo secretário-geral da Presidência da República do governo Dilma Rousseff, Gilberto Carvalho, como uma proposta do Executivo, e reedita duas propostas do Fórum Nacional do Trabalho (realizado em 2003 e que inclusive </w:t>
      </w:r>
      <w:r w:rsidR="00094536">
        <w:rPr>
          <w:rFonts w:ascii="Times New Roman" w:hAnsi="Times New Roman"/>
          <w:sz w:val="24"/>
          <w:szCs w:val="24"/>
        </w:rPr>
        <w:t xml:space="preserve">contou com </w:t>
      </w:r>
      <w:r>
        <w:rPr>
          <w:rFonts w:ascii="Times New Roman" w:hAnsi="Times New Roman"/>
          <w:sz w:val="24"/>
          <w:szCs w:val="24"/>
        </w:rPr>
        <w:t>alguns conselheiros do CDES) que não tramitaram no Congresso Nacional: a) a representação nos locais de trabalho por meio da representação sindical, isto é, sob controle e direção dos sindicatos nos Comitês Sindicais de Empresa (CSE); e b) negociação coletiva como processo obrigatório. Isto expressa, para Druck, a desistência na luta pela organização autônoma por local de trabalho e, no segundo caso, “o esforço pelo consenso entre trabalhadores e empregadores”, capitaneado pela CUT e entidades patronais.</w:t>
      </w:r>
      <w:r>
        <w:rPr>
          <w:rStyle w:val="Refdenotaderodap"/>
          <w:rFonts w:ascii="Times New Roman" w:hAnsi="Times New Roman"/>
          <w:sz w:val="24"/>
          <w:szCs w:val="24"/>
        </w:rPr>
        <w:footnoteReference w:id="584"/>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Nes</w:t>
      </w:r>
      <w:r w:rsidR="0037305F">
        <w:rPr>
          <w:rFonts w:ascii="Times New Roman" w:hAnsi="Times New Roman"/>
          <w:sz w:val="24"/>
          <w:szCs w:val="24"/>
        </w:rPr>
        <w:t>s</w:t>
      </w:r>
      <w:r>
        <w:rPr>
          <w:rFonts w:ascii="Times New Roman" w:hAnsi="Times New Roman"/>
          <w:sz w:val="24"/>
          <w:szCs w:val="24"/>
        </w:rPr>
        <w:t>e caso específico, a documentação investigada no período não nos autoriza a atribuir ao CDES a promoção des</w:t>
      </w:r>
      <w:r w:rsidR="0037305F">
        <w:rPr>
          <w:rFonts w:ascii="Times New Roman" w:hAnsi="Times New Roman"/>
          <w:sz w:val="24"/>
          <w:szCs w:val="24"/>
        </w:rPr>
        <w:t>s</w:t>
      </w:r>
      <w:r>
        <w:rPr>
          <w:rFonts w:ascii="Times New Roman" w:hAnsi="Times New Roman"/>
          <w:sz w:val="24"/>
          <w:szCs w:val="24"/>
        </w:rPr>
        <w:t>e ou de outros Acordos Coletivos Especiais. O que estamos sugerindo é que dentro dele havia interesses do capital e do trabalho com vistas a alterar as normas de regulação das relações de trabalho.</w:t>
      </w:r>
      <w:r w:rsidR="002F6ECD">
        <w:rPr>
          <w:rFonts w:ascii="Times New Roman" w:hAnsi="Times New Roman"/>
          <w:sz w:val="24"/>
          <w:szCs w:val="24"/>
        </w:rPr>
        <w:t xml:space="preserve"> O</w:t>
      </w:r>
      <w:r>
        <w:rPr>
          <w:rFonts w:ascii="Times New Roman" w:hAnsi="Times New Roman"/>
          <w:sz w:val="24"/>
          <w:szCs w:val="24"/>
        </w:rPr>
        <w:t xml:space="preserve"> que se quer realçar é que, se o CDES não cumpriu um papel orgânico, enquanto institucionalidade direcionada ao “pacto social”, de construção de plataformas programáticas de flexibilizações de direitos trab</w:t>
      </w:r>
      <w:r w:rsidR="002F6ECD">
        <w:rPr>
          <w:rFonts w:ascii="Times New Roman" w:hAnsi="Times New Roman"/>
          <w:sz w:val="24"/>
          <w:szCs w:val="24"/>
        </w:rPr>
        <w:t xml:space="preserve">alhistas, não podemos </w:t>
      </w:r>
      <w:r w:rsidR="006E7494">
        <w:rPr>
          <w:rFonts w:ascii="Times New Roman" w:hAnsi="Times New Roman"/>
          <w:sz w:val="24"/>
          <w:szCs w:val="24"/>
        </w:rPr>
        <w:t xml:space="preserve">desconsiderá-lo como </w:t>
      </w:r>
      <w:r>
        <w:rPr>
          <w:rFonts w:ascii="Times New Roman" w:hAnsi="Times New Roman"/>
          <w:sz w:val="24"/>
          <w:szCs w:val="24"/>
        </w:rPr>
        <w:t>um espaço em que algumas linhas de a</w:t>
      </w:r>
      <w:r w:rsidR="006E7494">
        <w:rPr>
          <w:rFonts w:ascii="Times New Roman" w:hAnsi="Times New Roman"/>
          <w:sz w:val="24"/>
          <w:szCs w:val="24"/>
        </w:rPr>
        <w:t>ção em elaboração pudessem ser propagadas</w:t>
      </w:r>
      <w:r w:rsidR="00BE7F77">
        <w:rPr>
          <w:rFonts w:ascii="Times New Roman" w:hAnsi="Times New Roman"/>
          <w:sz w:val="24"/>
          <w:szCs w:val="24"/>
        </w:rPr>
        <w:t xml:space="preserve"> e alianças esboçadas</w:t>
      </w:r>
      <w:r>
        <w:rPr>
          <w:rFonts w:ascii="Times New Roman" w:hAnsi="Times New Roman"/>
          <w:sz w:val="24"/>
          <w:szCs w:val="24"/>
        </w:rPr>
        <w:t xml:space="preserve">, utilizando sua tribuna </w:t>
      </w:r>
      <w:r w:rsidR="006E7494">
        <w:rPr>
          <w:rFonts w:ascii="Times New Roman" w:hAnsi="Times New Roman"/>
          <w:sz w:val="24"/>
          <w:szCs w:val="24"/>
        </w:rPr>
        <w:t xml:space="preserve">interna </w:t>
      </w:r>
      <w:r>
        <w:rPr>
          <w:rFonts w:ascii="Times New Roman" w:hAnsi="Times New Roman"/>
          <w:sz w:val="24"/>
          <w:szCs w:val="24"/>
        </w:rPr>
        <w:t xml:space="preserve">como palanque de acordos e projetos inacabados, ou em vias de construção. </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Na função de tribuna ou palanque </w:t>
      </w:r>
      <w:r w:rsidR="006E7494">
        <w:rPr>
          <w:rFonts w:ascii="Times New Roman" w:hAnsi="Times New Roman"/>
          <w:sz w:val="24"/>
          <w:szCs w:val="24"/>
        </w:rPr>
        <w:t xml:space="preserve">de arranjos internos </w:t>
      </w:r>
      <w:r>
        <w:rPr>
          <w:rFonts w:ascii="Times New Roman" w:hAnsi="Times New Roman"/>
          <w:sz w:val="24"/>
          <w:szCs w:val="24"/>
        </w:rPr>
        <w:t>de projetos em gestação que primam pelo avanço das relações de mercantilização da vida dos setores sociais pauperizados da classe trabalhadora, podemos destacar a iniciativa de oferta de microsseguros para os beneficiários do Bolsa Família. A proposta surgiu no Conselho na 25ª reunião plenária, em 01 de abril de 2008, através do conselheiro João Elisio Ferraz de Campos</w:t>
      </w:r>
      <w:r>
        <w:rPr>
          <w:rStyle w:val="Refdenotaderodap"/>
          <w:rFonts w:ascii="Times New Roman" w:hAnsi="Times New Roman"/>
          <w:sz w:val="24"/>
          <w:szCs w:val="24"/>
        </w:rPr>
        <w:footnoteReference w:id="585"/>
      </w:r>
      <w:r>
        <w:rPr>
          <w:rFonts w:ascii="Times New Roman" w:hAnsi="Times New Roman"/>
          <w:sz w:val="24"/>
          <w:szCs w:val="24"/>
        </w:rPr>
        <w:t xml:space="preserve"> empolgado com a missão de cinco representantes do Banco Mundial dispostos a “incrementar no Brasil a oferta dos microsseguros” à população de baixa renda</w:t>
      </w:r>
      <w:r w:rsidR="0051241A">
        <w:rPr>
          <w:rFonts w:ascii="Times New Roman" w:hAnsi="Times New Roman"/>
          <w:sz w:val="24"/>
          <w:szCs w:val="24"/>
        </w:rPr>
        <w:t>.</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Aliado à iniciativa de “inclusão social” do programa Bolsa Família, o microsseguro poderia, segundo Campos, ajudar a manter seus beneficiários acima dessa linha da pobreza (Ata 25ª reunião plenária, p. 22). A intenção era inculcar nestas populações “a cultura do seguro”: “é a proteção da população de baixa renda contra perigos específicos a que estão sujeitos em troca de pagamentos regulares de prêmio proporcionais à probabilidade e custo do risco envolvido” (idem: 23). Em outros países, argumentou o conselheiro, o programa já era “uma realidade bem sucedida”:</w:t>
      </w:r>
    </w:p>
    <w:p w:rsidR="00837AC8" w:rsidRPr="009712E6" w:rsidRDefault="00837AC8" w:rsidP="00837AC8">
      <w:pPr>
        <w:autoSpaceDE w:val="0"/>
        <w:autoSpaceDN w:val="0"/>
        <w:adjustRightInd w:val="0"/>
        <w:spacing w:before="240" w:line="240" w:lineRule="auto"/>
        <w:ind w:left="2268"/>
        <w:jc w:val="both"/>
        <w:rPr>
          <w:rFonts w:ascii="Times New Roman" w:hAnsi="Times New Roman"/>
          <w:sz w:val="20"/>
          <w:szCs w:val="20"/>
        </w:rPr>
      </w:pPr>
      <w:r w:rsidRPr="009712E6">
        <w:rPr>
          <w:rFonts w:ascii="Times New Roman" w:hAnsi="Times New Roman"/>
          <w:sz w:val="20"/>
          <w:szCs w:val="20"/>
        </w:rPr>
        <w:t>O principal motivo de um país adotar determinada política de micro-finança é promover a inclusão social das camadas de mais baixa renda da população, promovendo a elas essa promoção (...) pode ser entendido como um seguro de inclusão social, pois é uma ferramenta para aliviar os efeitos da pobreza na medida em que evita que os choques econômicos afetem o orçamento dos lares</w:t>
      </w:r>
      <w:r>
        <w:rPr>
          <w:rFonts w:ascii="Times New Roman" w:hAnsi="Times New Roman"/>
          <w:sz w:val="20"/>
          <w:szCs w:val="20"/>
        </w:rPr>
        <w:t xml:space="preserve"> mais humildes (ATA da 25ª reunião plenária, 01/04/08, p. 24).</w:t>
      </w:r>
    </w:p>
    <w:p w:rsidR="00837AC8" w:rsidRDefault="00837AC8" w:rsidP="00837AC8">
      <w:pPr>
        <w:autoSpaceDE w:val="0"/>
        <w:autoSpaceDN w:val="0"/>
        <w:adjustRightInd w:val="0"/>
        <w:spacing w:before="240" w:after="0" w:line="360" w:lineRule="auto"/>
        <w:ind w:firstLine="708"/>
        <w:jc w:val="both"/>
        <w:rPr>
          <w:rFonts w:ascii="Times New Roman" w:hAnsi="Times New Roman"/>
          <w:sz w:val="24"/>
          <w:szCs w:val="24"/>
        </w:rPr>
      </w:pPr>
      <w:r>
        <w:rPr>
          <w:rFonts w:ascii="Times New Roman" w:hAnsi="Times New Roman"/>
          <w:sz w:val="24"/>
          <w:szCs w:val="24"/>
        </w:rPr>
        <w:t>A situação criada pelo modestíssimo ganho de renda oriundo do Bolsa Família pela parcela mais pobre da classe trabalhadora havia motivado a inserção do projeto no Brasil na medida em que, segundo o conselheiro, foi criado um mercado potencial de “cerca de 120 milhões de pessoas”, segundo dados da PNAD de 2006, pois o micro-seguro “é destinado a pessoas de até dois salários mínimos”: “é gente que, em sua ampla maioria, não conhece o mercado de seguros, mas necessita da proteção que ele oferece” (idem).</w:t>
      </w:r>
      <w:r>
        <w:rPr>
          <w:rStyle w:val="Refdenotaderodap"/>
          <w:rFonts w:ascii="Times New Roman" w:hAnsi="Times New Roman"/>
          <w:sz w:val="24"/>
          <w:szCs w:val="24"/>
        </w:rPr>
        <w:footnoteReference w:id="586"/>
      </w:r>
    </w:p>
    <w:p w:rsidR="00837AC8" w:rsidRDefault="006E7494"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 As saídas da</w:t>
      </w:r>
      <w:r w:rsidR="00837AC8">
        <w:rPr>
          <w:rFonts w:ascii="Times New Roman" w:hAnsi="Times New Roman"/>
          <w:sz w:val="24"/>
          <w:szCs w:val="24"/>
        </w:rPr>
        <w:t xml:space="preserve"> crise econômica </w:t>
      </w:r>
      <w:r>
        <w:rPr>
          <w:rFonts w:ascii="Times New Roman" w:hAnsi="Times New Roman"/>
          <w:sz w:val="24"/>
          <w:szCs w:val="24"/>
        </w:rPr>
        <w:t xml:space="preserve">oferecidas </w:t>
      </w:r>
      <w:r w:rsidR="00837AC8">
        <w:rPr>
          <w:rFonts w:ascii="Times New Roman" w:hAnsi="Times New Roman"/>
          <w:sz w:val="24"/>
          <w:szCs w:val="24"/>
        </w:rPr>
        <w:t xml:space="preserve">no CDES passavam necessariamente pelo aprofundamento da dependência do trabalho ao capital, tendo em vista que a edificação do almejado “desenvolvimento com inclusão social” imprescindia da disponibilidade de uma massa de trabalhadores adaptada e treinada para os requisitos exigidos por vários setores do capital em franca e veloz expansão. Por isso, além de envolver plataformas de flexibilização de direitos de categorias historicamente organizadas e combativas do movimento sindical, de financeirização e mercantilização da vida social de setores pauperizados da classe trabalhadora, alguns conselheiros também se voltavam à produção de programas de </w:t>
      </w:r>
      <w:r w:rsidR="00837AC8">
        <w:rPr>
          <w:rFonts w:ascii="Times New Roman" w:hAnsi="Times New Roman"/>
          <w:i/>
          <w:sz w:val="24"/>
          <w:szCs w:val="24"/>
        </w:rPr>
        <w:t>gestão e manejo de mão de obra</w:t>
      </w:r>
      <w:r w:rsidR="00837AC8">
        <w:rPr>
          <w:rFonts w:ascii="Times New Roman" w:hAnsi="Times New Roman"/>
          <w:sz w:val="24"/>
          <w:szCs w:val="24"/>
        </w:rPr>
        <w:t xml:space="preserve"> extremamente precarizada e destituída de amparo da legislação, a fim de ampliar a disponibilização de largos contingentes de trabalhadores a dois setores do capital tradicional e reconhecidamente mais infames </w:t>
      </w:r>
      <w:r w:rsidR="00F729D2">
        <w:rPr>
          <w:rFonts w:ascii="Times New Roman" w:hAnsi="Times New Roman"/>
          <w:sz w:val="24"/>
          <w:szCs w:val="24"/>
        </w:rPr>
        <w:t>em face a</w:t>
      </w:r>
      <w:r w:rsidR="00837AC8">
        <w:rPr>
          <w:rFonts w:ascii="Times New Roman" w:hAnsi="Times New Roman"/>
          <w:sz w:val="24"/>
          <w:szCs w:val="24"/>
        </w:rPr>
        <w:t xml:space="preserve">o cumprimento de obrigações salariais e trabalhistas e de condições dignas trabalho: a indústria da construção civil e a indústria sucroalcooleira. Quanto a estes programas, destacamos duas frentes de atuações </w:t>
      </w:r>
      <w:r w:rsidR="00837AC8" w:rsidRPr="00344A75">
        <w:rPr>
          <w:rFonts w:ascii="Times New Roman" w:hAnsi="Times New Roman"/>
          <w:i/>
          <w:sz w:val="24"/>
          <w:szCs w:val="24"/>
        </w:rPr>
        <w:t>as quais o CDES se envolveu de forma orgânica</w:t>
      </w:r>
      <w:r w:rsidR="00837AC8">
        <w:rPr>
          <w:rFonts w:ascii="Times New Roman" w:hAnsi="Times New Roman"/>
          <w:sz w:val="24"/>
          <w:szCs w:val="24"/>
        </w:rPr>
        <w:t xml:space="preserve"> e não apenas como “palanque”: o </w:t>
      </w:r>
      <w:r w:rsidR="00837AC8" w:rsidRPr="00354C7C">
        <w:rPr>
          <w:rFonts w:ascii="Times New Roman" w:hAnsi="Times New Roman"/>
          <w:sz w:val="24"/>
          <w:szCs w:val="24"/>
        </w:rPr>
        <w:t>Compromisso Nacional para Aperfeiçoar as Condições de Trabalho na Cana-de-Açúcar</w:t>
      </w:r>
      <w:r w:rsidR="00837AC8">
        <w:rPr>
          <w:rFonts w:ascii="Times New Roman" w:hAnsi="Times New Roman"/>
          <w:sz w:val="24"/>
          <w:szCs w:val="24"/>
        </w:rPr>
        <w:t xml:space="preserve"> e a qualificação profissional para beneficiários do Programa Bolsa Família.</w:t>
      </w:r>
    </w:p>
    <w:p w:rsidR="00837AC8" w:rsidRDefault="00837AC8" w:rsidP="00837AC8">
      <w:pPr>
        <w:spacing w:after="0" w:line="360" w:lineRule="auto"/>
        <w:ind w:firstLine="708"/>
        <w:jc w:val="both"/>
        <w:rPr>
          <w:rFonts w:ascii="Times New Roman" w:hAnsi="Times New Roman"/>
          <w:sz w:val="24"/>
          <w:szCs w:val="24"/>
        </w:rPr>
      </w:pPr>
      <w:r>
        <w:rPr>
          <w:rFonts w:ascii="Times New Roman" w:hAnsi="Times New Roman"/>
          <w:sz w:val="24"/>
          <w:szCs w:val="24"/>
        </w:rPr>
        <w:t>Resultado de um processo de negociação tripartite que envolveu, desde julho de 2008, entidades de trabalhadores canavieiros, d</w:t>
      </w:r>
      <w:r w:rsidRPr="00354C7C">
        <w:rPr>
          <w:rFonts w:ascii="Times New Roman" w:hAnsi="Times New Roman"/>
          <w:sz w:val="24"/>
          <w:szCs w:val="24"/>
        </w:rPr>
        <w:t>e empresários do setor sucro</w:t>
      </w:r>
      <w:r>
        <w:rPr>
          <w:rFonts w:ascii="Times New Roman" w:hAnsi="Times New Roman"/>
          <w:sz w:val="24"/>
          <w:szCs w:val="24"/>
        </w:rPr>
        <w:t>alcooleiro e de alguns ministérios e secretarias do governo federal, sob a coordenação da Secretaria-Geral da Presidência da República (SG/PR),</w:t>
      </w:r>
      <w:r>
        <w:rPr>
          <w:rStyle w:val="Refdenotaderodap"/>
          <w:rFonts w:ascii="Times New Roman" w:hAnsi="Times New Roman"/>
          <w:sz w:val="24"/>
          <w:szCs w:val="24"/>
        </w:rPr>
        <w:footnoteReference w:id="587"/>
      </w:r>
      <w:r>
        <w:rPr>
          <w:rFonts w:ascii="Times New Roman" w:hAnsi="Times New Roman"/>
          <w:sz w:val="24"/>
          <w:szCs w:val="24"/>
        </w:rPr>
        <w:t xml:space="preserve"> o </w:t>
      </w:r>
      <w:r w:rsidRPr="0074496D">
        <w:rPr>
          <w:rFonts w:ascii="Times New Roman" w:hAnsi="Times New Roman"/>
          <w:i/>
          <w:sz w:val="24"/>
          <w:szCs w:val="24"/>
        </w:rPr>
        <w:t>Compromisso Nacional para Aperfeiçoar as Condições de Trabalho na Cana-de-Açúcar</w:t>
      </w:r>
      <w:r>
        <w:rPr>
          <w:rFonts w:ascii="Times New Roman" w:hAnsi="Times New Roman"/>
          <w:sz w:val="24"/>
          <w:szCs w:val="24"/>
        </w:rPr>
        <w:t xml:space="preserve"> foi realizado em junho de 2009 e objetivava, segundo seus termos, “</w:t>
      </w:r>
      <w:r w:rsidRPr="00937DD5">
        <w:rPr>
          <w:rFonts w:ascii="Times New Roman" w:hAnsi="Times New Roman"/>
          <w:sz w:val="24"/>
          <w:szCs w:val="24"/>
        </w:rPr>
        <w:t>enfrentar o desafio de melhorar as condições devida e trabalho no cultivo manual da cana-de-açúcar</w:t>
      </w:r>
      <w:r>
        <w:rPr>
          <w:rFonts w:ascii="Times New Roman" w:hAnsi="Times New Roman"/>
          <w:sz w:val="24"/>
          <w:szCs w:val="24"/>
        </w:rPr>
        <w:t>”.</w:t>
      </w:r>
      <w:r>
        <w:rPr>
          <w:rStyle w:val="Refdenotaderodap"/>
          <w:rFonts w:ascii="Times New Roman" w:hAnsi="Times New Roman"/>
          <w:sz w:val="24"/>
          <w:szCs w:val="24"/>
        </w:rPr>
        <w:footnoteReference w:id="588"/>
      </w:r>
    </w:p>
    <w:p w:rsidR="00837AC8" w:rsidRDefault="00837AC8" w:rsidP="00837AC8">
      <w:pPr>
        <w:spacing w:after="0" w:line="360" w:lineRule="auto"/>
        <w:ind w:firstLine="708"/>
        <w:jc w:val="both"/>
        <w:rPr>
          <w:rFonts w:ascii="Times New Roman" w:hAnsi="Times New Roman"/>
          <w:sz w:val="24"/>
          <w:szCs w:val="24"/>
        </w:rPr>
      </w:pPr>
      <w:r>
        <w:rPr>
          <w:rFonts w:ascii="Times New Roman" w:hAnsi="Times New Roman"/>
          <w:sz w:val="24"/>
          <w:szCs w:val="24"/>
        </w:rPr>
        <w:t xml:space="preserve">Desde 2007, entretanto, o CDES havia criado o GT Bioenergia: Etanol, Bioeletricidade e Biodiesel com sete subgrupos e 20 encontros, ficando atrás apenas do GT </w:t>
      </w:r>
      <w:r w:rsidRPr="004314CF">
        <w:rPr>
          <w:rFonts w:ascii="Times New Roman" w:eastAsia="Times New Roman" w:hAnsi="Times New Roman"/>
          <w:sz w:val="24"/>
          <w:szCs w:val="24"/>
        </w:rPr>
        <w:t>Agenda de Infraestrutura para o Desenvolvimento</w:t>
      </w:r>
      <w:r>
        <w:rPr>
          <w:rFonts w:ascii="Times New Roman" w:eastAsia="Times New Roman" w:hAnsi="Times New Roman"/>
          <w:sz w:val="24"/>
          <w:szCs w:val="24"/>
        </w:rPr>
        <w:t>, com cinco subgrupos e 25 encontros.</w:t>
      </w:r>
      <w:r>
        <w:rPr>
          <w:rStyle w:val="Refdenotaderodap"/>
          <w:rFonts w:ascii="Times New Roman" w:eastAsia="Times New Roman" w:hAnsi="Times New Roman"/>
          <w:sz w:val="24"/>
          <w:szCs w:val="24"/>
        </w:rPr>
        <w:footnoteReference w:id="589"/>
      </w:r>
      <w:r>
        <w:rPr>
          <w:rFonts w:ascii="Times New Roman" w:hAnsi="Times New Roman"/>
          <w:sz w:val="24"/>
          <w:szCs w:val="24"/>
        </w:rPr>
        <w:t xml:space="preserve"> Pode-se sem sombra de dúvidas afirmar que, durante o segundo mandato de Lula da Silva, no CDES as demandas do agronegócio em geral e da indústria sucroalcooleira em particular assumiram posição de destaque como </w:t>
      </w:r>
      <w:r>
        <w:rPr>
          <w:rFonts w:ascii="Times New Roman" w:hAnsi="Times New Roman"/>
          <w:i/>
          <w:sz w:val="24"/>
          <w:szCs w:val="24"/>
        </w:rPr>
        <w:t xml:space="preserve">uma das </w:t>
      </w:r>
      <w:r>
        <w:rPr>
          <w:rFonts w:ascii="Times New Roman" w:hAnsi="Times New Roman"/>
          <w:sz w:val="24"/>
          <w:szCs w:val="24"/>
        </w:rPr>
        <w:t>temáticas mais debatidas nas suas instâncias internas (plenárias e Grupo Temático), expressas nas extensas e distintas fontes documentais do Conselho sobre o tema, envolvendo amplo espectro de questões, desde as relações de trabalho, segurança alimentar, preservação ambiental, cooperativismo, agricultura e crédito familiar na produção de biocombustíveis a aspectos que versam sobre incentivos à pesquisa e tecnologia, comercialização, escoamento, infraestrutura, investimentos e financiamentos, compra de terras por estrangeiros, zoneamento agrícola, normas de certificação e outros procedimentos governamentais de regulamentação do setor.</w:t>
      </w:r>
      <w:r>
        <w:rPr>
          <w:rStyle w:val="Refdenotaderodap"/>
          <w:rFonts w:ascii="Times New Roman" w:hAnsi="Times New Roman"/>
          <w:sz w:val="24"/>
          <w:szCs w:val="24"/>
        </w:rPr>
        <w:footnoteReference w:id="590"/>
      </w:r>
    </w:p>
    <w:p w:rsidR="00837AC8" w:rsidRDefault="006E7494" w:rsidP="00837AC8">
      <w:pPr>
        <w:spacing w:line="360" w:lineRule="auto"/>
        <w:ind w:firstLine="708"/>
        <w:jc w:val="both"/>
        <w:rPr>
          <w:rFonts w:ascii="Times New Roman" w:hAnsi="Times New Roman"/>
          <w:sz w:val="24"/>
          <w:szCs w:val="24"/>
        </w:rPr>
      </w:pPr>
      <w:r>
        <w:rPr>
          <w:rFonts w:ascii="Times New Roman" w:hAnsi="Times New Roman"/>
          <w:sz w:val="24"/>
          <w:szCs w:val="24"/>
        </w:rPr>
        <w:t>A</w:t>
      </w:r>
      <w:r w:rsidR="00837AC8">
        <w:rPr>
          <w:rFonts w:ascii="Times New Roman" w:hAnsi="Times New Roman"/>
          <w:sz w:val="24"/>
          <w:szCs w:val="24"/>
        </w:rPr>
        <w:t xml:space="preserve"> ascensão dos debates e propostas acerca do agrocombustível</w:t>
      </w:r>
      <w:r w:rsidR="00837AC8">
        <w:rPr>
          <w:rStyle w:val="Refdenotaderodap"/>
          <w:rFonts w:ascii="Times New Roman" w:hAnsi="Times New Roman"/>
          <w:sz w:val="24"/>
          <w:szCs w:val="24"/>
        </w:rPr>
        <w:footnoteReference w:id="591"/>
      </w:r>
      <w:r w:rsidR="00837AC8">
        <w:rPr>
          <w:rFonts w:ascii="Times New Roman" w:hAnsi="Times New Roman"/>
          <w:sz w:val="24"/>
          <w:szCs w:val="24"/>
        </w:rPr>
        <w:t xml:space="preserve"> no CDES </w:t>
      </w:r>
      <w:r>
        <w:rPr>
          <w:rFonts w:ascii="Times New Roman" w:hAnsi="Times New Roman"/>
          <w:sz w:val="24"/>
          <w:szCs w:val="24"/>
        </w:rPr>
        <w:t>acompanhou</w:t>
      </w:r>
      <w:r w:rsidR="00837AC8">
        <w:rPr>
          <w:rFonts w:ascii="Times New Roman" w:hAnsi="Times New Roman"/>
          <w:sz w:val="24"/>
          <w:szCs w:val="24"/>
        </w:rPr>
        <w:t xml:space="preserve"> crescimento vertiginoso que es</w:t>
      </w:r>
      <w:r w:rsidR="0037305F">
        <w:rPr>
          <w:rFonts w:ascii="Times New Roman" w:hAnsi="Times New Roman"/>
          <w:sz w:val="24"/>
          <w:szCs w:val="24"/>
        </w:rPr>
        <w:t>s</w:t>
      </w:r>
      <w:r w:rsidR="00837AC8">
        <w:rPr>
          <w:rFonts w:ascii="Times New Roman" w:hAnsi="Times New Roman"/>
          <w:sz w:val="24"/>
          <w:szCs w:val="24"/>
        </w:rPr>
        <w:t xml:space="preserve">e setor produtivo apresentou a partir dos anos 2000, muito em virtude do aumento da procura internacional de energia renovável e do revigoramento do consumo interno, principalmente com a produção e circulação de motores </w:t>
      </w:r>
      <w:r w:rsidR="00837AC8">
        <w:rPr>
          <w:rFonts w:ascii="Times New Roman" w:hAnsi="Times New Roman"/>
          <w:i/>
          <w:sz w:val="24"/>
          <w:szCs w:val="24"/>
        </w:rPr>
        <w:t>flex fluel</w:t>
      </w:r>
      <w:r w:rsidR="00837AC8">
        <w:rPr>
          <w:rFonts w:ascii="Times New Roman" w:hAnsi="Times New Roman"/>
          <w:sz w:val="24"/>
          <w:szCs w:val="24"/>
        </w:rPr>
        <w:t xml:space="preserve"> e do aumento do etanol na gasolina e no diesel.</w:t>
      </w:r>
      <w:r w:rsidR="00837AC8" w:rsidRPr="000D2401">
        <w:rPr>
          <w:rFonts w:ascii="Times New Roman" w:hAnsi="Times New Roman"/>
          <w:sz w:val="24"/>
          <w:szCs w:val="24"/>
        </w:rPr>
        <w:t>Um dos destaques</w:t>
      </w:r>
      <w:r w:rsidR="00837AC8">
        <w:rPr>
          <w:rFonts w:ascii="Times New Roman" w:hAnsi="Times New Roman"/>
          <w:sz w:val="24"/>
          <w:szCs w:val="24"/>
        </w:rPr>
        <w:t xml:space="preserve"> desta dinâmica refere-se ao grande volume de investimentos externos diretos na aquisição de meios de produção do setor sucroalcooleiro, resultando no aprofundamento da concentração de capitais e da desnacionalização de empresas do setor. Não foram poucas as vezes que, nas plenárias do CDES, Lula da Silva expressava a importância do setor para a inserção do Brasil no mercado mundial de agrocombustíveis e as expectativas de investimentos externos diretos no país. Após viagens realizadas em vários países da Europa (Finlândia, Dinamarca, Noruega, Suécia e Espanha) em setembro de 2007, seu discurso na 23ª Reunião Plenária relatou que</w:t>
      </w:r>
    </w:p>
    <w:p w:rsidR="00837AC8" w:rsidRPr="00830A86" w:rsidRDefault="00837AC8" w:rsidP="00837AC8">
      <w:pPr>
        <w:spacing w:line="240" w:lineRule="auto"/>
        <w:ind w:left="2268"/>
        <w:jc w:val="both"/>
        <w:rPr>
          <w:rFonts w:ascii="Times New Roman" w:hAnsi="Times New Roman"/>
          <w:sz w:val="20"/>
          <w:szCs w:val="20"/>
        </w:rPr>
      </w:pPr>
      <w:r w:rsidRPr="00830A86">
        <w:rPr>
          <w:rFonts w:ascii="Times New Roman" w:hAnsi="Times New Roman"/>
          <w:sz w:val="20"/>
          <w:szCs w:val="20"/>
        </w:rPr>
        <w:t>Há um interesse marcante dos empresários e dos governos em entender e discutir a questão da mudança na matriz energética. E há uma expectativa, eu diria, acima de qualquer coisa que eu pudesse esperar, com relação ao aumento do comércio com o Brasil, ao aumento de parceria com o Brasil e ao aum</w:t>
      </w:r>
      <w:r>
        <w:rPr>
          <w:rFonts w:ascii="Times New Roman" w:hAnsi="Times New Roman"/>
          <w:sz w:val="20"/>
          <w:szCs w:val="20"/>
        </w:rPr>
        <w:t>ento de investimentos no Brasil (Ata da 23ª Reunião Plenária, 20/09/2007, p. 21).</w:t>
      </w:r>
    </w:p>
    <w:p w:rsidR="00837AC8" w:rsidRDefault="00837AC8" w:rsidP="00837AC8">
      <w:pPr>
        <w:spacing w:line="360" w:lineRule="auto"/>
        <w:ind w:firstLine="708"/>
        <w:jc w:val="both"/>
        <w:rPr>
          <w:rFonts w:ascii="Times New Roman" w:hAnsi="Times New Roman"/>
          <w:sz w:val="24"/>
          <w:szCs w:val="24"/>
        </w:rPr>
      </w:pPr>
      <w:r>
        <w:rPr>
          <w:rFonts w:ascii="Times New Roman" w:hAnsi="Times New Roman"/>
          <w:sz w:val="24"/>
          <w:szCs w:val="24"/>
        </w:rPr>
        <w:t>Nem de longe pretendemos dar conta do emaranhado enorme de questões que se apresentava no CDES e as sugestões encaminhadas ao Executivo sobre o tema.</w:t>
      </w:r>
      <w:r>
        <w:rPr>
          <w:rStyle w:val="Refdenotaderodap"/>
          <w:rFonts w:ascii="Times New Roman" w:hAnsi="Times New Roman"/>
          <w:sz w:val="24"/>
          <w:szCs w:val="24"/>
        </w:rPr>
        <w:footnoteReference w:id="592"/>
      </w:r>
      <w:r>
        <w:rPr>
          <w:rFonts w:ascii="Times New Roman" w:hAnsi="Times New Roman"/>
          <w:sz w:val="24"/>
          <w:szCs w:val="24"/>
        </w:rPr>
        <w:t xml:space="preserve"> O intuito é focalizarmos na sua atuação como </w:t>
      </w:r>
      <w:r>
        <w:rPr>
          <w:rFonts w:ascii="Times New Roman" w:hAnsi="Times New Roman"/>
          <w:i/>
          <w:sz w:val="24"/>
          <w:szCs w:val="24"/>
        </w:rPr>
        <w:t>lócus</w:t>
      </w:r>
      <w:r>
        <w:rPr>
          <w:rFonts w:ascii="Times New Roman" w:hAnsi="Times New Roman"/>
          <w:sz w:val="24"/>
          <w:szCs w:val="24"/>
        </w:rPr>
        <w:t xml:space="preserve"> emanador de políticas voltadas à força de trabalho canavieira e, </w:t>
      </w:r>
      <w:r w:rsidRPr="00575B82">
        <w:rPr>
          <w:rFonts w:ascii="Times New Roman" w:hAnsi="Times New Roman"/>
          <w:i/>
          <w:sz w:val="24"/>
          <w:szCs w:val="24"/>
        </w:rPr>
        <w:t>por esta via</w:t>
      </w:r>
      <w:r w:rsidR="00BE7F77">
        <w:rPr>
          <w:rFonts w:ascii="Times New Roman" w:hAnsi="Times New Roman"/>
          <w:sz w:val="24"/>
          <w:szCs w:val="24"/>
        </w:rPr>
        <w:t>, como impulsionador da</w:t>
      </w:r>
      <w:r>
        <w:rPr>
          <w:rFonts w:ascii="Times New Roman" w:hAnsi="Times New Roman"/>
          <w:sz w:val="24"/>
          <w:szCs w:val="24"/>
        </w:rPr>
        <w:t xml:space="preserve"> indústria do agronegócio no Brasil. Nes</w:t>
      </w:r>
      <w:r w:rsidR="0037305F">
        <w:rPr>
          <w:rFonts w:ascii="Times New Roman" w:hAnsi="Times New Roman"/>
          <w:sz w:val="24"/>
          <w:szCs w:val="24"/>
        </w:rPr>
        <w:t>s</w:t>
      </w:r>
      <w:r>
        <w:rPr>
          <w:rFonts w:ascii="Times New Roman" w:hAnsi="Times New Roman"/>
          <w:sz w:val="24"/>
          <w:szCs w:val="24"/>
        </w:rPr>
        <w:t xml:space="preserve">e sentido, parece-nos correta a hipótese de Teixeira (2013: 90) sobre o papel central que o CDES assume </w:t>
      </w:r>
      <w:r w:rsidR="00F729D2">
        <w:rPr>
          <w:rFonts w:ascii="Times New Roman" w:hAnsi="Times New Roman"/>
          <w:sz w:val="24"/>
          <w:szCs w:val="24"/>
        </w:rPr>
        <w:t>diante d</w:t>
      </w:r>
      <w:r>
        <w:rPr>
          <w:rFonts w:ascii="Times New Roman" w:hAnsi="Times New Roman"/>
          <w:sz w:val="24"/>
          <w:szCs w:val="24"/>
        </w:rPr>
        <w:t>o “Compromisso Nacional” não apenas na condução mas sobretudo na produção dos “</w:t>
      </w:r>
      <w:r w:rsidRPr="00762273">
        <w:rPr>
          <w:rFonts w:ascii="Times New Roman" w:hAnsi="Times New Roman"/>
          <w:sz w:val="24"/>
          <w:szCs w:val="24"/>
        </w:rPr>
        <w:t xml:space="preserve">pontos fundamentais que no futuro comporão o pacto nacional </w:t>
      </w:r>
      <w:r>
        <w:rPr>
          <w:rFonts w:ascii="Times New Roman" w:hAnsi="Times New Roman"/>
          <w:sz w:val="24"/>
          <w:szCs w:val="24"/>
        </w:rPr>
        <w:t xml:space="preserve">[que] </w:t>
      </w:r>
      <w:r w:rsidRPr="00762273">
        <w:rPr>
          <w:rFonts w:ascii="Times New Roman" w:hAnsi="Times New Roman"/>
          <w:sz w:val="24"/>
          <w:szCs w:val="24"/>
        </w:rPr>
        <w:t>já saempreestabelecidos a partir de uma arena composta pela discussão entre empresários e osindicalismo cutista</w:t>
      </w:r>
      <w:r>
        <w:rPr>
          <w:rFonts w:ascii="Times New Roman" w:hAnsi="Times New Roman"/>
          <w:sz w:val="24"/>
          <w:szCs w:val="24"/>
        </w:rPr>
        <w:t xml:space="preserve">”.  Salienta o autor que no GT Bionergia do CDES, já em 2007, portanto um ano antes do início da Mesa de Diálogo, </w:t>
      </w:r>
    </w:p>
    <w:p w:rsidR="00837AC8" w:rsidRPr="00E33351" w:rsidRDefault="00837AC8" w:rsidP="00837AC8">
      <w:pPr>
        <w:spacing w:line="240" w:lineRule="auto"/>
        <w:ind w:left="2268"/>
        <w:jc w:val="both"/>
        <w:rPr>
          <w:rFonts w:ascii="Times New Roman" w:hAnsi="Times New Roman"/>
          <w:sz w:val="20"/>
          <w:szCs w:val="20"/>
        </w:rPr>
      </w:pPr>
      <w:r w:rsidRPr="00E33351">
        <w:rPr>
          <w:rFonts w:ascii="Times New Roman" w:hAnsi="Times New Roman"/>
          <w:sz w:val="20"/>
          <w:szCs w:val="20"/>
        </w:rPr>
        <w:t>(...) as discussões sobre os conflitos canavieiros (que culminariam no Compromisso Nacional) foram desenvolvidas a</w:t>
      </w:r>
      <w:r w:rsidRPr="00DA7A52">
        <w:rPr>
          <w:rFonts w:ascii="Times New Roman" w:hAnsi="Times New Roman"/>
          <w:b/>
          <w:sz w:val="20"/>
          <w:szCs w:val="20"/>
        </w:rPr>
        <w:t>penas com a participação do então presidente da CUT, Artur Henrique</w:t>
      </w:r>
      <w:r w:rsidRPr="00E33351">
        <w:rPr>
          <w:rFonts w:ascii="Times New Roman" w:hAnsi="Times New Roman"/>
          <w:sz w:val="20"/>
          <w:szCs w:val="20"/>
        </w:rPr>
        <w:t xml:space="preserve"> [coordenador do referido GT], </w:t>
      </w:r>
      <w:r w:rsidRPr="00DA7A52">
        <w:rPr>
          <w:rFonts w:ascii="Times New Roman" w:hAnsi="Times New Roman"/>
          <w:b/>
          <w:sz w:val="20"/>
          <w:szCs w:val="20"/>
        </w:rPr>
        <w:t>e com o empresariado representado pela ÚNICA</w:t>
      </w:r>
      <w:r w:rsidRPr="00E33351">
        <w:rPr>
          <w:rFonts w:ascii="Times New Roman" w:hAnsi="Times New Roman"/>
          <w:sz w:val="20"/>
          <w:szCs w:val="20"/>
        </w:rPr>
        <w:t>. As discussões dentro do GT, que acabaram por definir grande parte dos pontos a serem debatidos, resultados esperados e as principais vias de resolução, não consideraram a participação da</w:t>
      </w:r>
      <w:r>
        <w:rPr>
          <w:rFonts w:ascii="Times New Roman" w:hAnsi="Times New Roman"/>
          <w:sz w:val="20"/>
          <w:szCs w:val="20"/>
        </w:rPr>
        <w:t xml:space="preserve"> Feraesp, da Contag, nem do FNS.</w:t>
      </w:r>
      <w:r>
        <w:rPr>
          <w:rStyle w:val="Refdenotaderodap"/>
          <w:rFonts w:ascii="Times New Roman" w:hAnsi="Times New Roman"/>
          <w:sz w:val="20"/>
          <w:szCs w:val="20"/>
        </w:rPr>
        <w:footnoteReference w:id="593"/>
      </w:r>
    </w:p>
    <w:p w:rsidR="00837AC8" w:rsidRDefault="00837AC8" w:rsidP="00837AC8">
      <w:pPr>
        <w:spacing w:after="0" w:line="360" w:lineRule="auto"/>
        <w:ind w:firstLine="708"/>
        <w:jc w:val="both"/>
        <w:rPr>
          <w:rFonts w:ascii="Times New Roman" w:hAnsi="Times New Roman"/>
          <w:sz w:val="24"/>
          <w:szCs w:val="24"/>
        </w:rPr>
      </w:pPr>
      <w:r>
        <w:rPr>
          <w:rFonts w:ascii="Times New Roman" w:hAnsi="Times New Roman"/>
          <w:sz w:val="24"/>
          <w:szCs w:val="24"/>
        </w:rPr>
        <w:t xml:space="preserve">Sendo assim, os movimentos sociais, sindicais e pastorais responsáveis pelas denúncias e visibilidade dos conflitos nos canaviais </w:t>
      </w:r>
      <w:r>
        <w:rPr>
          <w:rFonts w:ascii="Times New Roman" w:hAnsi="Times New Roman"/>
          <w:i/>
          <w:sz w:val="24"/>
          <w:szCs w:val="24"/>
        </w:rPr>
        <w:t>jamais</w:t>
      </w:r>
      <w:r>
        <w:rPr>
          <w:rFonts w:ascii="Times New Roman" w:hAnsi="Times New Roman"/>
          <w:sz w:val="24"/>
          <w:szCs w:val="24"/>
        </w:rPr>
        <w:t xml:space="preserve"> tiveram assento nos encontros do CDES, basilares na definição de pontos centrais da futura Mesa de Diálogo ocorrida entre julho de 2008 e junho de 2009, alijando, segundo </w:t>
      </w:r>
      <w:r w:rsidR="006E7494">
        <w:rPr>
          <w:rFonts w:ascii="Times New Roman" w:hAnsi="Times New Roman"/>
          <w:sz w:val="24"/>
          <w:szCs w:val="24"/>
        </w:rPr>
        <w:t>Teixeira</w:t>
      </w:r>
      <w:r>
        <w:rPr>
          <w:rFonts w:ascii="Times New Roman" w:hAnsi="Times New Roman"/>
          <w:sz w:val="24"/>
          <w:szCs w:val="24"/>
        </w:rPr>
        <w:t>, do debate e da deliberação “um conjunto significativo dos grupos sociais diretamente envolvidos e impactados pelas d</w:t>
      </w:r>
      <w:r w:rsidR="006E7494">
        <w:rPr>
          <w:rFonts w:ascii="Times New Roman" w:hAnsi="Times New Roman"/>
          <w:sz w:val="24"/>
          <w:szCs w:val="24"/>
        </w:rPr>
        <w:t>ecisões que seriam ali tomadas”</w:t>
      </w:r>
      <w:r>
        <w:rPr>
          <w:rFonts w:ascii="Times New Roman" w:hAnsi="Times New Roman"/>
          <w:sz w:val="24"/>
          <w:szCs w:val="24"/>
        </w:rPr>
        <w:t>.</w:t>
      </w:r>
      <w:r>
        <w:rPr>
          <w:rStyle w:val="Refdenotaderodap"/>
          <w:rFonts w:ascii="Times New Roman" w:hAnsi="Times New Roman"/>
          <w:sz w:val="24"/>
          <w:szCs w:val="24"/>
        </w:rPr>
        <w:footnoteReference w:id="594"/>
      </w:r>
      <w:r>
        <w:rPr>
          <w:rFonts w:ascii="Times New Roman" w:hAnsi="Times New Roman"/>
          <w:sz w:val="24"/>
          <w:szCs w:val="24"/>
        </w:rPr>
        <w:t xml:space="preserve"> Como a pauta já tinha sido negociada anteriormente, o GT do CDES retirou das organizações de trabalhadores canavieiros a “possibilidade de opinar em pontos fundamentais ao enfrentamento dos conflitos canavieiros”.</w:t>
      </w:r>
      <w:r>
        <w:rPr>
          <w:rStyle w:val="Refdenotaderodap"/>
          <w:rFonts w:ascii="Times New Roman" w:hAnsi="Times New Roman"/>
          <w:sz w:val="24"/>
          <w:szCs w:val="24"/>
        </w:rPr>
        <w:footnoteReference w:id="595"/>
      </w:r>
    </w:p>
    <w:p w:rsidR="00837AC8" w:rsidRDefault="00837AC8" w:rsidP="00837AC8">
      <w:pPr>
        <w:spacing w:line="360" w:lineRule="auto"/>
        <w:ind w:firstLine="708"/>
        <w:jc w:val="both"/>
        <w:rPr>
          <w:rFonts w:ascii="Times New Roman" w:hAnsi="Times New Roman"/>
          <w:bCs/>
          <w:iCs/>
          <w:sz w:val="24"/>
          <w:szCs w:val="24"/>
        </w:rPr>
      </w:pPr>
      <w:r>
        <w:rPr>
          <w:rFonts w:ascii="Times New Roman" w:hAnsi="Times New Roman"/>
          <w:sz w:val="24"/>
          <w:szCs w:val="24"/>
        </w:rPr>
        <w:t xml:space="preserve">De fato, o papel </w:t>
      </w:r>
      <w:r>
        <w:rPr>
          <w:rFonts w:ascii="Times New Roman" w:hAnsi="Times New Roman"/>
          <w:i/>
          <w:sz w:val="24"/>
          <w:szCs w:val="24"/>
        </w:rPr>
        <w:t xml:space="preserve">antecipatório, substitutivo e preventivo </w:t>
      </w:r>
      <w:r>
        <w:rPr>
          <w:rFonts w:ascii="Times New Roman" w:hAnsi="Times New Roman"/>
          <w:sz w:val="24"/>
          <w:szCs w:val="24"/>
        </w:rPr>
        <w:t>que o CDES assumia na constituição do “Compromisso Nacional” estava expresso no “Parecer sobre Bioenergia e Desenvolvimento” do agora renomeado “GT Matriz Energética para o Desenvolvimento com Equidade e Responsabilidade Socioambiental”</w:t>
      </w:r>
      <w:r>
        <w:rPr>
          <w:rStyle w:val="Refdenotaderodap"/>
          <w:rFonts w:ascii="Times New Roman" w:hAnsi="Times New Roman"/>
          <w:sz w:val="24"/>
          <w:szCs w:val="24"/>
        </w:rPr>
        <w:footnoteReference w:id="596"/>
      </w:r>
      <w:r>
        <w:rPr>
          <w:rFonts w:ascii="Times New Roman" w:hAnsi="Times New Roman"/>
          <w:sz w:val="24"/>
          <w:szCs w:val="24"/>
        </w:rPr>
        <w:t xml:space="preserve"> no item denominado </w:t>
      </w:r>
      <w:r w:rsidRPr="00786125">
        <w:rPr>
          <w:rFonts w:ascii="Times New Roman" w:hAnsi="Times New Roman"/>
          <w:sz w:val="24"/>
          <w:szCs w:val="24"/>
        </w:rPr>
        <w:t>“</w:t>
      </w:r>
      <w:r w:rsidRPr="00786125">
        <w:rPr>
          <w:rFonts w:ascii="Times New Roman" w:hAnsi="Times New Roman"/>
          <w:bCs/>
          <w:iCs/>
          <w:sz w:val="24"/>
          <w:szCs w:val="24"/>
        </w:rPr>
        <w:t xml:space="preserve">Qualificação, Requalificação e Recolocação de </w:t>
      </w:r>
      <w:r w:rsidR="00D056BE">
        <w:rPr>
          <w:rFonts w:ascii="Times New Roman" w:hAnsi="Times New Roman"/>
          <w:bCs/>
          <w:iCs/>
          <w:sz w:val="24"/>
          <w:szCs w:val="24"/>
        </w:rPr>
        <w:t>Mão de obra</w:t>
      </w:r>
      <w:r w:rsidRPr="00786125">
        <w:rPr>
          <w:rFonts w:ascii="Times New Roman" w:hAnsi="Times New Roman"/>
          <w:bCs/>
          <w:iCs/>
          <w:sz w:val="24"/>
          <w:szCs w:val="24"/>
        </w:rPr>
        <w:t>”</w:t>
      </w:r>
      <w:r>
        <w:rPr>
          <w:rFonts w:ascii="Times New Roman" w:hAnsi="Times New Roman"/>
          <w:bCs/>
          <w:iCs/>
          <w:sz w:val="24"/>
          <w:szCs w:val="24"/>
        </w:rPr>
        <w:t xml:space="preserve"> de outubro de 2008:</w:t>
      </w:r>
    </w:p>
    <w:p w:rsidR="00837AC8" w:rsidRDefault="00837AC8" w:rsidP="00837AC8">
      <w:pPr>
        <w:spacing w:after="0" w:line="240" w:lineRule="auto"/>
        <w:ind w:left="2268"/>
        <w:jc w:val="both"/>
        <w:rPr>
          <w:rFonts w:ascii="Times New Roman" w:hAnsi="Times New Roman"/>
          <w:sz w:val="20"/>
          <w:szCs w:val="20"/>
        </w:rPr>
      </w:pPr>
      <w:r w:rsidRPr="00906F02">
        <w:rPr>
          <w:rFonts w:ascii="Times New Roman" w:hAnsi="Times New Roman"/>
          <w:sz w:val="20"/>
          <w:szCs w:val="20"/>
        </w:rPr>
        <w:t xml:space="preserve">Finalmente, o CDES recomenda que governo, empresários e trabalhadores </w:t>
      </w:r>
      <w:r w:rsidRPr="00906F02">
        <w:rPr>
          <w:rFonts w:ascii="Times New Roman" w:hAnsi="Times New Roman"/>
          <w:b/>
          <w:bCs/>
          <w:sz w:val="20"/>
          <w:szCs w:val="20"/>
        </w:rPr>
        <w:t>constituam um grupo tripartite com o objetivo de estimular um entendimento de abrangência nacional, com vistas à realização da contratação coletiva nacional ou de um protocolo nacional de adesão voluntária, que busque estabelecer pontos possíveis de um disciplinamento nacional</w:t>
      </w:r>
      <w:r w:rsidRPr="00906F02">
        <w:rPr>
          <w:rFonts w:ascii="Times New Roman" w:hAnsi="Times New Roman"/>
          <w:sz w:val="20"/>
          <w:szCs w:val="20"/>
        </w:rPr>
        <w:t xml:space="preserve">. Exemplos de pontos sobre os quais é necessário esse entendimento nacional: piso salarial, jornada de trabalho, produção diária, caracterização do trabalho degradante, etc. Por outro lado, é fundamental definir </w:t>
      </w:r>
      <w:r w:rsidRPr="00906F02">
        <w:rPr>
          <w:rFonts w:ascii="Times New Roman" w:hAnsi="Times New Roman"/>
          <w:b/>
          <w:bCs/>
          <w:sz w:val="20"/>
          <w:szCs w:val="20"/>
        </w:rPr>
        <w:t>políticas públicas que beneficiem projetos que estiverem em conformidade com o entendimento nacional acordado entre governo, empresários e trabalhadores</w:t>
      </w:r>
      <w:r>
        <w:rPr>
          <w:rFonts w:ascii="Times New Roman" w:hAnsi="Times New Roman"/>
          <w:b/>
          <w:bCs/>
          <w:sz w:val="20"/>
          <w:szCs w:val="20"/>
        </w:rPr>
        <w:t>.</w:t>
      </w:r>
      <w:r>
        <w:rPr>
          <w:rStyle w:val="Refdenotaderodap"/>
          <w:rFonts w:ascii="Times New Roman" w:hAnsi="Times New Roman"/>
          <w:sz w:val="20"/>
          <w:szCs w:val="20"/>
        </w:rPr>
        <w:footnoteReference w:id="597"/>
      </w:r>
    </w:p>
    <w:p w:rsidR="00837AC8" w:rsidRDefault="00837AC8" w:rsidP="00837AC8">
      <w:pPr>
        <w:spacing w:after="0" w:line="240" w:lineRule="auto"/>
        <w:jc w:val="both"/>
        <w:rPr>
          <w:rFonts w:ascii="Times New Roman" w:hAnsi="Times New Roman"/>
          <w:sz w:val="24"/>
          <w:szCs w:val="24"/>
        </w:rPr>
      </w:pPr>
    </w:p>
    <w:p w:rsidR="00837AC8" w:rsidRDefault="00837AC8" w:rsidP="00837AC8">
      <w:pPr>
        <w:spacing w:after="0" w:line="360" w:lineRule="auto"/>
        <w:jc w:val="both"/>
        <w:rPr>
          <w:rFonts w:ascii="Times New Roman" w:hAnsi="Times New Roman"/>
          <w:sz w:val="24"/>
          <w:szCs w:val="24"/>
        </w:rPr>
      </w:pPr>
      <w:r>
        <w:rPr>
          <w:rFonts w:ascii="Times New Roman" w:hAnsi="Times New Roman"/>
          <w:sz w:val="24"/>
          <w:szCs w:val="24"/>
        </w:rPr>
        <w:tab/>
        <w:t>O caráter voluntário da adesão ao Compromisso, segundo o autor, deveu-se à pressão do patronato sucroalcooleiro que também interveio, por meio da ÚNICA, na determinação dos participantes e dos pontos a serem acordados “</w:t>
      </w:r>
      <w:r w:rsidRPr="000B2136">
        <w:rPr>
          <w:rFonts w:ascii="Times New Roman" w:hAnsi="Times New Roman"/>
          <w:sz w:val="24"/>
          <w:szCs w:val="24"/>
        </w:rPr>
        <w:t>ameaçando retirar-se do espaço e implodir o acordo</w:t>
      </w:r>
      <w:r>
        <w:rPr>
          <w:rFonts w:ascii="Times New Roman" w:hAnsi="Times New Roman"/>
          <w:sz w:val="24"/>
          <w:szCs w:val="24"/>
        </w:rPr>
        <w:t>”.</w:t>
      </w:r>
      <w:r>
        <w:rPr>
          <w:rStyle w:val="Refdenotaderodap"/>
          <w:rFonts w:ascii="Times New Roman" w:hAnsi="Times New Roman"/>
          <w:sz w:val="24"/>
          <w:szCs w:val="24"/>
        </w:rPr>
        <w:footnoteReference w:id="598"/>
      </w:r>
      <w:r>
        <w:rPr>
          <w:rFonts w:ascii="Times New Roman" w:hAnsi="Times New Roman"/>
          <w:sz w:val="24"/>
          <w:szCs w:val="24"/>
        </w:rPr>
        <w:t xml:space="preserve"> Da mesma forma, mesmo com a participação de entidades representativas dos trabalhadores canavieiros nos eventos organizativos para a Mesa de Diálogo, isto não garantiu que grande parte das reivindicações dos trabalhadores estivessem plasmadas no “Compromisso Nacional”, obrigando tais entidades a pressionar para que a </w:t>
      </w:r>
      <w:r w:rsidR="00282E0E">
        <w:rPr>
          <w:rFonts w:ascii="Times New Roman" w:hAnsi="Times New Roman"/>
          <w:sz w:val="24"/>
          <w:szCs w:val="24"/>
        </w:rPr>
        <w:t xml:space="preserve">parcela acatada fosse </w:t>
      </w:r>
      <w:r>
        <w:rPr>
          <w:rFonts w:ascii="Times New Roman" w:hAnsi="Times New Roman"/>
          <w:sz w:val="24"/>
          <w:szCs w:val="24"/>
        </w:rPr>
        <w:t>cumprida à duras penas.</w:t>
      </w:r>
      <w:r>
        <w:rPr>
          <w:rStyle w:val="Refdenotaderodap"/>
          <w:rFonts w:ascii="Times New Roman" w:hAnsi="Times New Roman"/>
          <w:sz w:val="24"/>
          <w:szCs w:val="24"/>
        </w:rPr>
        <w:footnoteReference w:id="599"/>
      </w:r>
      <w:r w:rsidR="00282E0E">
        <w:rPr>
          <w:rFonts w:ascii="Times New Roman" w:hAnsi="Times New Roman"/>
          <w:sz w:val="24"/>
          <w:szCs w:val="24"/>
        </w:rPr>
        <w:t>Teixeira</w:t>
      </w:r>
      <w:r>
        <w:rPr>
          <w:rFonts w:ascii="Times New Roman" w:hAnsi="Times New Roman"/>
          <w:sz w:val="24"/>
          <w:szCs w:val="24"/>
        </w:rPr>
        <w:t>, lançando mão de entrevistas junto a lideranças sindicais asseverou que e</w:t>
      </w:r>
      <w:r w:rsidR="00282E0E">
        <w:rPr>
          <w:rFonts w:ascii="Times New Roman" w:hAnsi="Times New Roman"/>
          <w:sz w:val="24"/>
          <w:szCs w:val="24"/>
        </w:rPr>
        <w:t>ss</w:t>
      </w:r>
      <w:r>
        <w:rPr>
          <w:rFonts w:ascii="Times New Roman" w:hAnsi="Times New Roman"/>
          <w:sz w:val="24"/>
          <w:szCs w:val="24"/>
        </w:rPr>
        <w:t xml:space="preserve">as “não apresentavam conhecimento sobre o acordo ou repudiavam-no em algum grau” e, </w:t>
      </w:r>
      <w:r w:rsidR="00282E0E">
        <w:rPr>
          <w:rFonts w:ascii="Times New Roman" w:hAnsi="Times New Roman"/>
          <w:sz w:val="24"/>
          <w:szCs w:val="24"/>
        </w:rPr>
        <w:t>apoiado em</w:t>
      </w:r>
      <w:r>
        <w:rPr>
          <w:rFonts w:ascii="Times New Roman" w:hAnsi="Times New Roman"/>
          <w:sz w:val="24"/>
          <w:szCs w:val="24"/>
        </w:rPr>
        <w:t xml:space="preserve"> seu trabalho de campo em sete usinas, constatou que “todas portavam irregularidades graves no cumprimento dos pontos pactuados”.</w:t>
      </w:r>
      <w:r>
        <w:rPr>
          <w:rStyle w:val="Refdenotaderodap"/>
          <w:rFonts w:ascii="Times New Roman" w:hAnsi="Times New Roman"/>
          <w:sz w:val="24"/>
          <w:szCs w:val="24"/>
        </w:rPr>
        <w:footnoteReference w:id="600"/>
      </w:r>
    </w:p>
    <w:p w:rsidR="00837AC8" w:rsidRDefault="00837AC8" w:rsidP="00837AC8">
      <w:pPr>
        <w:spacing w:after="0" w:line="360" w:lineRule="auto"/>
        <w:jc w:val="both"/>
        <w:rPr>
          <w:rFonts w:ascii="Times New Roman" w:hAnsi="Times New Roman"/>
          <w:sz w:val="24"/>
          <w:szCs w:val="24"/>
        </w:rPr>
      </w:pPr>
      <w:r>
        <w:rPr>
          <w:rFonts w:ascii="Times New Roman" w:hAnsi="Times New Roman"/>
          <w:sz w:val="24"/>
          <w:szCs w:val="24"/>
        </w:rPr>
        <w:tab/>
        <w:t xml:space="preserve">O “Compromisso Nacional” estabeleceu que as empresas que obedeciam aos chamados “bons tratos” ou “trabalho humanizado” </w:t>
      </w:r>
      <w:r w:rsidR="00F729D2">
        <w:rPr>
          <w:rFonts w:ascii="Times New Roman" w:hAnsi="Times New Roman"/>
          <w:sz w:val="24"/>
          <w:szCs w:val="24"/>
        </w:rPr>
        <w:t xml:space="preserve">ante </w:t>
      </w:r>
      <w:r>
        <w:rPr>
          <w:rFonts w:ascii="Times New Roman" w:hAnsi="Times New Roman"/>
          <w:sz w:val="24"/>
          <w:szCs w:val="24"/>
        </w:rPr>
        <w:t xml:space="preserve">os trabalhadores, teriam direito a um selo, concedido pela SG/PR, e figurariam como “Empresa Compromissada”. O objetivo principal da certificação era, a nosso ver, ampliar a inserção do etanol produzido no Brasil nos mercados consumidores internacionais mais relevantes, facilitando o aumento de suas exportações, agora sob a chancela de empresas “socialmente responsáveis”, numa tentativa de contornar ou de abrandar a malfadada e histórica imagem de degradação das relações de trabalho havidas nos canaviais brasileiros. Ademais, </w:t>
      </w:r>
      <w:r w:rsidR="00282E0E">
        <w:rPr>
          <w:rFonts w:ascii="Times New Roman" w:hAnsi="Times New Roman"/>
          <w:sz w:val="24"/>
          <w:szCs w:val="24"/>
        </w:rPr>
        <w:t>expressa</w:t>
      </w:r>
      <w:r>
        <w:rPr>
          <w:rFonts w:ascii="Times New Roman" w:hAnsi="Times New Roman"/>
          <w:sz w:val="24"/>
          <w:szCs w:val="24"/>
        </w:rPr>
        <w:t xml:space="preserve"> também a importância das lutas dos movimentos sociais e sindicais do campo em amenizar ou extirpar os efeitos deletérios da extensa exploração a que os trabalhadores canavieiros estão secularmente submetidos, na expectativa de que a obtenção da certificação pela SG/PR possa significar algum alívio nas condições de vida e de trabalho e cobrando das empresas certificadas o cumprimento das regras acordadas, principalmente através da ação sindical e/ou pela denúncia aos órgãos de fiscalização e regulação das relações trabalhistas.</w:t>
      </w:r>
    </w:p>
    <w:p w:rsidR="00837AC8" w:rsidRDefault="00837AC8" w:rsidP="00837AC8">
      <w:pPr>
        <w:spacing w:line="360" w:lineRule="auto"/>
        <w:ind w:firstLine="708"/>
        <w:jc w:val="both"/>
        <w:rPr>
          <w:rFonts w:ascii="Times New Roman" w:hAnsi="Times New Roman"/>
          <w:sz w:val="24"/>
          <w:szCs w:val="24"/>
        </w:rPr>
      </w:pPr>
      <w:r>
        <w:rPr>
          <w:rFonts w:ascii="Times New Roman" w:hAnsi="Times New Roman"/>
          <w:sz w:val="24"/>
          <w:szCs w:val="24"/>
        </w:rPr>
        <w:t>Quanto ao último ponto, contudo, persiste</w:t>
      </w:r>
      <w:r w:rsidR="00282E0E">
        <w:rPr>
          <w:rFonts w:ascii="Times New Roman" w:hAnsi="Times New Roman"/>
          <w:sz w:val="24"/>
          <w:szCs w:val="24"/>
        </w:rPr>
        <w:t>m</w:t>
      </w:r>
      <w:r>
        <w:rPr>
          <w:rFonts w:ascii="Times New Roman" w:hAnsi="Times New Roman"/>
          <w:sz w:val="24"/>
          <w:szCs w:val="24"/>
        </w:rPr>
        <w:t xml:space="preserve"> no noticiário denúncias de autoridades judiciárias e de procuradores do Ministério Público do Trabalho (MPT) acerca da certificação de empresas sucroalcooleiras que respondem por ações trabalhistas na Justiça do Trabalho.  A fiscalização foi atribuída a quatro empresas de “consultorias independentes”,</w:t>
      </w:r>
      <w:r>
        <w:rPr>
          <w:rStyle w:val="Refdenotaderodap"/>
          <w:rFonts w:ascii="Times New Roman" w:hAnsi="Times New Roman"/>
          <w:sz w:val="24"/>
          <w:szCs w:val="24"/>
        </w:rPr>
        <w:footnoteReference w:id="601"/>
      </w:r>
      <w:r>
        <w:rPr>
          <w:rFonts w:ascii="Times New Roman" w:hAnsi="Times New Roman"/>
          <w:sz w:val="24"/>
          <w:szCs w:val="24"/>
        </w:rPr>
        <w:t xml:space="preserve"> selecionadas mediante edital de chamada pública. Em 2012, após a vigência acordada de dois anos do “Compromisso”, adicionado um ano de prorrogação em 2011, o MPT constatou inúmeras irregularidades em pelo menos 60 das 169 usinas que receberam o selo “Empresa Compromissada”, chegando a entrar com uma ação civil pública questionando a concessão dos selos. Segundo o jornal “O Globo”:</w:t>
      </w:r>
    </w:p>
    <w:p w:rsidR="00837AC8" w:rsidRDefault="00837AC8" w:rsidP="00837AC8">
      <w:pPr>
        <w:spacing w:line="240" w:lineRule="auto"/>
        <w:ind w:left="2268"/>
        <w:jc w:val="both"/>
        <w:rPr>
          <w:rFonts w:ascii="Times New Roman" w:hAnsi="Times New Roman"/>
          <w:color w:val="000000"/>
          <w:sz w:val="20"/>
          <w:szCs w:val="20"/>
          <w:shd w:val="clear" w:color="auto" w:fill="FFFFFF"/>
        </w:rPr>
      </w:pPr>
      <w:r w:rsidRPr="00603698">
        <w:rPr>
          <w:rFonts w:ascii="Times New Roman" w:hAnsi="Times New Roman"/>
          <w:color w:val="000000"/>
          <w:sz w:val="20"/>
          <w:szCs w:val="20"/>
          <w:shd w:val="clear" w:color="auto" w:fill="FFFFFF"/>
        </w:rPr>
        <w:t xml:space="preserve">Levantamento do Ministério Público do Trabalho (MPT) de São Paulo, estado responsável por mais da metade da produção de cana do país e dos empregos no setor, mostra que 26 das 85 empresas no estado que receberam o selo do governo estão envolvidas em ações na Justiça do Trabalho. Entre as irregularidades mais </w:t>
      </w:r>
      <w:r w:rsidR="005913F9">
        <w:rPr>
          <w:rFonts w:ascii="Times New Roman" w:hAnsi="Times New Roman"/>
          <w:color w:val="000000"/>
          <w:sz w:val="20"/>
          <w:szCs w:val="20"/>
          <w:shd w:val="clear" w:color="auto" w:fill="FFFFFF"/>
        </w:rPr>
        <w:t>frequ</w:t>
      </w:r>
      <w:r w:rsidR="00095250">
        <w:rPr>
          <w:rFonts w:ascii="Times New Roman" w:hAnsi="Times New Roman"/>
          <w:color w:val="000000"/>
          <w:sz w:val="20"/>
          <w:szCs w:val="20"/>
          <w:shd w:val="clear" w:color="auto" w:fill="FFFFFF"/>
        </w:rPr>
        <w:t>entes</w:t>
      </w:r>
      <w:r w:rsidRPr="00603698">
        <w:rPr>
          <w:rFonts w:ascii="Times New Roman" w:hAnsi="Times New Roman"/>
          <w:color w:val="000000"/>
          <w:sz w:val="20"/>
          <w:szCs w:val="20"/>
          <w:shd w:val="clear" w:color="auto" w:fill="FFFFFF"/>
        </w:rPr>
        <w:t xml:space="preserve">, estão a falta de equipamento de proteção, inexistência de área de vivência (sanitário, refeitório, local para descanso), faltam pausas para descanso e há utilização </w:t>
      </w:r>
      <w:r>
        <w:rPr>
          <w:rFonts w:ascii="Times New Roman" w:hAnsi="Times New Roman"/>
          <w:color w:val="000000"/>
          <w:sz w:val="20"/>
          <w:szCs w:val="20"/>
          <w:shd w:val="clear" w:color="auto" w:fill="FFFFFF"/>
        </w:rPr>
        <w:t xml:space="preserve">de </w:t>
      </w:r>
      <w:r w:rsidRPr="00603698">
        <w:rPr>
          <w:rFonts w:ascii="Times New Roman" w:hAnsi="Times New Roman"/>
          <w:color w:val="000000"/>
          <w:sz w:val="20"/>
          <w:szCs w:val="20"/>
          <w:shd w:val="clear" w:color="auto" w:fill="FFFFFF"/>
        </w:rPr>
        <w:t>terceiros, ou “gatos”, para contratar trabalhadores.</w:t>
      </w:r>
      <w:r>
        <w:rPr>
          <w:rStyle w:val="Refdenotaderodap"/>
          <w:rFonts w:ascii="Times New Roman" w:hAnsi="Times New Roman"/>
          <w:color w:val="000000"/>
          <w:sz w:val="20"/>
          <w:szCs w:val="20"/>
          <w:shd w:val="clear" w:color="auto" w:fill="FFFFFF"/>
        </w:rPr>
        <w:footnoteReference w:id="602"/>
      </w:r>
    </w:p>
    <w:p w:rsidR="00837AC8" w:rsidRDefault="00837AC8" w:rsidP="00837AC8">
      <w:pPr>
        <w:spacing w:after="0" w:line="360" w:lineRule="auto"/>
        <w:jc w:val="both"/>
        <w:rPr>
          <w:rFonts w:ascii="Times New Roman" w:hAnsi="Times New Roman"/>
          <w:color w:val="000000"/>
          <w:sz w:val="24"/>
          <w:szCs w:val="24"/>
        </w:rPr>
      </w:pPr>
      <w:r>
        <w:rPr>
          <w:rFonts w:ascii="Times New Roman" w:hAnsi="Times New Roman"/>
          <w:color w:val="000000"/>
          <w:sz w:val="20"/>
          <w:szCs w:val="20"/>
        </w:rPr>
        <w:tab/>
      </w:r>
      <w:r>
        <w:rPr>
          <w:rFonts w:ascii="Times New Roman" w:hAnsi="Times New Roman"/>
          <w:color w:val="000000"/>
          <w:sz w:val="24"/>
          <w:szCs w:val="24"/>
        </w:rPr>
        <w:t>Ou seja, o cenário de extrema precarização e exploração da força de trabalho dos trabalhadores nas usinas de cana-de-açúcar não se alterou substancialmente após o “Compromisso Nacional”, agora certificadas aos olhos do mercado exterior como “Empresas Compromissadas”. Teixeira, a partir de investigações do MPT de Araraquara e de seu trabalho de campo, por exemplo, mostra o elenco de usinas certificadas como “boas empregadoras” que operavam ao arrepio da legislação trabalhista em vigor, dentro de um quadro infracional gravíssimo.</w:t>
      </w:r>
      <w:r>
        <w:rPr>
          <w:rStyle w:val="Refdenotaderodap"/>
          <w:rFonts w:ascii="Times New Roman" w:hAnsi="Times New Roman"/>
          <w:color w:val="000000"/>
          <w:sz w:val="24"/>
          <w:szCs w:val="24"/>
        </w:rPr>
        <w:footnoteReference w:id="603"/>
      </w:r>
    </w:p>
    <w:p w:rsidR="00837AC8" w:rsidRDefault="00837AC8" w:rsidP="00837AC8">
      <w:pPr>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A mecanização, a despeito do que sustentava o discurso empresarial e o noticiário,  tampouco reduziu as relações degradantes e expropriatórias de produção nos canaviais. Ao contrário, novas </w:t>
      </w:r>
      <w:r w:rsidR="00BE7F77">
        <w:rPr>
          <w:rFonts w:ascii="Times New Roman" w:hAnsi="Times New Roman"/>
          <w:color w:val="000000"/>
          <w:sz w:val="24"/>
          <w:szCs w:val="24"/>
        </w:rPr>
        <w:t>modalidades</w:t>
      </w:r>
      <w:r>
        <w:rPr>
          <w:rFonts w:ascii="Times New Roman" w:hAnsi="Times New Roman"/>
          <w:color w:val="000000"/>
          <w:sz w:val="24"/>
          <w:szCs w:val="24"/>
        </w:rPr>
        <w:t xml:space="preserve"> de subalternização e de exploração aviltantes surgiram através de uma nova especialização do trabalho manual no interior das usinas, com aparecimento de novos postos de trabalho manuais que em nada se assemelhavam com a pretendida “humanização” divulgada pelo “Compromisso”, pactuada pelas entidades patronais e cutistas, pelo governo e também trazida pela documentação do CDES.</w:t>
      </w:r>
      <w:r>
        <w:rPr>
          <w:rStyle w:val="Refdenotaderodap"/>
          <w:rFonts w:ascii="Times New Roman" w:hAnsi="Times New Roman"/>
          <w:color w:val="000000"/>
          <w:sz w:val="24"/>
          <w:szCs w:val="24"/>
        </w:rPr>
        <w:footnoteReference w:id="604"/>
      </w:r>
      <w:r>
        <w:rPr>
          <w:rFonts w:ascii="Times New Roman" w:hAnsi="Times New Roman"/>
          <w:color w:val="000000"/>
          <w:sz w:val="24"/>
          <w:szCs w:val="24"/>
        </w:rPr>
        <w:t xml:space="preserve"> Os pontos do “Compromisso”, aliás, sequer conseguiram alcançar ou contemplar os efeitos perversos da mecanização nas condições de trabalho que se retroalimentavam a partir de sua introdução, e seus articuladores utilizavam o fetiche do “progresso técnico” como argumento para o aperfeiçoamento inevitável das condições de trabalho. </w:t>
      </w:r>
    </w:p>
    <w:p w:rsidR="00837AC8" w:rsidRDefault="00837AC8" w:rsidP="00837AC8">
      <w:pPr>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A preocupação se direcionava apenas à gestão dos excedentes de trabalhadores produzidos pelo avanço da meca</w:t>
      </w:r>
      <w:r w:rsidR="00282E0E">
        <w:rPr>
          <w:rFonts w:ascii="Times New Roman" w:hAnsi="Times New Roman"/>
          <w:color w:val="000000"/>
          <w:sz w:val="24"/>
          <w:szCs w:val="24"/>
        </w:rPr>
        <w:t xml:space="preserve">nização nas usinas. Isto levou </w:t>
      </w:r>
      <w:r>
        <w:rPr>
          <w:rFonts w:ascii="Times New Roman" w:hAnsi="Times New Roman"/>
          <w:color w:val="000000"/>
          <w:sz w:val="24"/>
          <w:szCs w:val="24"/>
        </w:rPr>
        <w:t>o CDES, em 2010, a criar o Subgrupo Requalificação de Trabalhadores da Cana-de-Açúcar no âmbito do GT Matriz Energética.</w:t>
      </w:r>
      <w:r>
        <w:rPr>
          <w:rStyle w:val="Refdenotaderodap"/>
          <w:rFonts w:ascii="Times New Roman" w:hAnsi="Times New Roman"/>
          <w:color w:val="000000"/>
          <w:sz w:val="24"/>
          <w:szCs w:val="24"/>
        </w:rPr>
        <w:footnoteReference w:id="605"/>
      </w:r>
      <w:r w:rsidR="00282E0E">
        <w:rPr>
          <w:rFonts w:ascii="Times New Roman" w:hAnsi="Times New Roman"/>
          <w:color w:val="000000"/>
          <w:sz w:val="24"/>
          <w:szCs w:val="24"/>
        </w:rPr>
        <w:t xml:space="preserve"> Naquele</w:t>
      </w:r>
      <w:r>
        <w:rPr>
          <w:rFonts w:ascii="Times New Roman" w:hAnsi="Times New Roman"/>
          <w:color w:val="000000"/>
          <w:sz w:val="24"/>
          <w:szCs w:val="24"/>
        </w:rPr>
        <w:t xml:space="preserve"> ano, três reuniões do subgrupo foram realizadas para cuidar do tema. Dos 23 membros do Subgrupo, apenas 4 eram conselheiros titulares do CDES, mas, devido ao grande número de assessores listados, supõe-se que es</w:t>
      </w:r>
      <w:r w:rsidR="0037305F">
        <w:rPr>
          <w:rFonts w:ascii="Times New Roman" w:hAnsi="Times New Roman"/>
          <w:color w:val="000000"/>
          <w:sz w:val="24"/>
          <w:szCs w:val="24"/>
        </w:rPr>
        <w:t>s</w:t>
      </w:r>
      <w:r>
        <w:rPr>
          <w:rFonts w:ascii="Times New Roman" w:hAnsi="Times New Roman"/>
          <w:color w:val="000000"/>
          <w:sz w:val="24"/>
          <w:szCs w:val="24"/>
        </w:rPr>
        <w:t>es figuravam como substitutos de outros conselheiros já que, com exceção da Feraesp e do Sinduscon-SP, vinculavam-se às entidades laborais e patronais presentes no CDES.</w:t>
      </w:r>
      <w:r>
        <w:rPr>
          <w:rStyle w:val="Refdenotaderodap"/>
          <w:rFonts w:ascii="Times New Roman" w:hAnsi="Times New Roman"/>
          <w:color w:val="000000"/>
          <w:sz w:val="24"/>
          <w:szCs w:val="24"/>
        </w:rPr>
        <w:footnoteReference w:id="606"/>
      </w:r>
    </w:p>
    <w:p w:rsidR="00837AC8" w:rsidRDefault="00837AC8" w:rsidP="00837AC8">
      <w:pPr>
        <w:autoSpaceDE w:val="0"/>
        <w:autoSpaceDN w:val="0"/>
        <w:adjustRightInd w:val="0"/>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rPr>
        <w:tab/>
      </w:r>
      <w:r w:rsidRPr="00F51562">
        <w:rPr>
          <w:rFonts w:ascii="Times New Roman" w:hAnsi="Times New Roman"/>
          <w:color w:val="000000"/>
          <w:sz w:val="24"/>
          <w:szCs w:val="24"/>
        </w:rPr>
        <w:t>O programa de requalificação almejava alcançar os trabalhadores canavieiros atingidos pelo aprofundamento e ampliação do processo de mecanização das usinas no interior de São Paulo a partir de duas frentes: a) treinamento para manutenção e utilização das novas máquinas e para adequação aos processos de trabalho delas advindos</w:t>
      </w:r>
      <w:r>
        <w:rPr>
          <w:rStyle w:val="Refdenotaderodap"/>
          <w:rFonts w:ascii="Times New Roman" w:hAnsi="Times New Roman"/>
          <w:color w:val="000000"/>
          <w:sz w:val="24"/>
          <w:szCs w:val="24"/>
        </w:rPr>
        <w:footnoteReference w:id="607"/>
      </w:r>
      <w:r w:rsidRPr="00F51562">
        <w:rPr>
          <w:rFonts w:ascii="Times New Roman" w:hAnsi="Times New Roman"/>
          <w:color w:val="000000"/>
          <w:sz w:val="24"/>
          <w:szCs w:val="24"/>
        </w:rPr>
        <w:t xml:space="preserve"> e b)  recolocação d</w:t>
      </w:r>
      <w:r w:rsidRPr="00F51562">
        <w:rPr>
          <w:rFonts w:ascii="Times New Roman" w:hAnsi="Times New Roman"/>
          <w:color w:val="000000"/>
          <w:sz w:val="24"/>
          <w:szCs w:val="24"/>
          <w:shd w:val="clear" w:color="auto" w:fill="FFFFFF"/>
        </w:rPr>
        <w:t>os excedentes de trabalhadores com vistas à absorção pela indústria da construção civil em São Paulo, onde havia enorme demanda por trabalhadores.</w:t>
      </w:r>
      <w:r>
        <w:rPr>
          <w:rFonts w:ascii="Times New Roman" w:hAnsi="Times New Roman"/>
          <w:color w:val="000000"/>
          <w:sz w:val="24"/>
          <w:szCs w:val="24"/>
          <w:shd w:val="clear" w:color="auto" w:fill="FFFFFF"/>
        </w:rPr>
        <w:t xml:space="preserve"> Foi precisamente nes</w:t>
      </w:r>
      <w:r w:rsidR="0037305F">
        <w:rPr>
          <w:rFonts w:ascii="Times New Roman" w:hAnsi="Times New Roman"/>
          <w:color w:val="000000"/>
          <w:sz w:val="24"/>
          <w:szCs w:val="24"/>
          <w:shd w:val="clear" w:color="auto" w:fill="FFFFFF"/>
        </w:rPr>
        <w:t>s</w:t>
      </w:r>
      <w:r>
        <w:rPr>
          <w:rFonts w:ascii="Times New Roman" w:hAnsi="Times New Roman"/>
          <w:color w:val="000000"/>
          <w:sz w:val="24"/>
          <w:szCs w:val="24"/>
          <w:shd w:val="clear" w:color="auto" w:fill="FFFFFF"/>
        </w:rPr>
        <w:t xml:space="preserve">e último ponto que o CDES se debruçou de forma orgânica. Segundo notícia vinculada pela assessoria da </w:t>
      </w:r>
      <w:r w:rsidR="00F928B3">
        <w:rPr>
          <w:rFonts w:ascii="Times New Roman" w:hAnsi="Times New Roman"/>
          <w:color w:val="000000"/>
          <w:sz w:val="24"/>
          <w:szCs w:val="24"/>
          <w:shd w:val="clear" w:color="auto" w:fill="FFFFFF"/>
        </w:rPr>
        <w:t>SEDES</w:t>
      </w:r>
      <w:r>
        <w:rPr>
          <w:rFonts w:ascii="Times New Roman" w:hAnsi="Times New Roman"/>
          <w:color w:val="000000"/>
          <w:sz w:val="24"/>
          <w:szCs w:val="24"/>
          <w:shd w:val="clear" w:color="auto" w:fill="FFFFFF"/>
        </w:rPr>
        <w:t xml:space="preserve"> em julho de 2010,</w:t>
      </w:r>
    </w:p>
    <w:p w:rsidR="00837AC8" w:rsidRPr="000E2350" w:rsidRDefault="00837AC8" w:rsidP="00837AC8">
      <w:pPr>
        <w:autoSpaceDE w:val="0"/>
        <w:autoSpaceDN w:val="0"/>
        <w:adjustRightInd w:val="0"/>
        <w:spacing w:line="240" w:lineRule="auto"/>
        <w:ind w:left="2268"/>
        <w:jc w:val="both"/>
        <w:rPr>
          <w:rFonts w:ascii="Times New Roman" w:hAnsi="Times New Roman"/>
          <w:color w:val="000000"/>
          <w:sz w:val="20"/>
          <w:szCs w:val="20"/>
          <w:shd w:val="clear" w:color="auto" w:fill="FFFFFF"/>
        </w:rPr>
      </w:pPr>
      <w:r w:rsidRPr="00D636F8">
        <w:rPr>
          <w:rFonts w:ascii="Times New Roman" w:hAnsi="Times New Roman"/>
          <w:color w:val="000000"/>
          <w:sz w:val="20"/>
          <w:szCs w:val="20"/>
          <w:shd w:val="clear" w:color="auto" w:fill="FFFFFF"/>
        </w:rPr>
        <w:t xml:space="preserve">A ação, para cuja estruturação o CDES está contribuindo, deverá envolver a qualificação dos trabalhadores e ter como um dos parâmetros o desenvolvimento local. É possível que a demanda por </w:t>
      </w:r>
      <w:r w:rsidR="00D056BE">
        <w:rPr>
          <w:rFonts w:ascii="Times New Roman" w:hAnsi="Times New Roman"/>
          <w:color w:val="000000"/>
          <w:sz w:val="20"/>
          <w:szCs w:val="20"/>
          <w:shd w:val="clear" w:color="auto" w:fill="FFFFFF"/>
        </w:rPr>
        <w:t>mão de obra</w:t>
      </w:r>
      <w:r w:rsidRPr="00D636F8">
        <w:rPr>
          <w:rFonts w:ascii="Times New Roman" w:hAnsi="Times New Roman"/>
          <w:color w:val="000000"/>
          <w:sz w:val="20"/>
          <w:szCs w:val="20"/>
          <w:shd w:val="clear" w:color="auto" w:fill="FFFFFF"/>
        </w:rPr>
        <w:t xml:space="preserve"> no setor da con</w:t>
      </w:r>
      <w:r>
        <w:rPr>
          <w:rFonts w:ascii="Times New Roman" w:hAnsi="Times New Roman"/>
          <w:color w:val="000000"/>
          <w:sz w:val="20"/>
          <w:szCs w:val="20"/>
          <w:shd w:val="clear" w:color="auto" w:fill="FFFFFF"/>
        </w:rPr>
        <w:t>strução (construção civil e indú</w:t>
      </w:r>
      <w:r w:rsidRPr="00D636F8">
        <w:rPr>
          <w:rFonts w:ascii="Times New Roman" w:hAnsi="Times New Roman"/>
          <w:color w:val="000000"/>
          <w:sz w:val="20"/>
          <w:szCs w:val="20"/>
          <w:shd w:val="clear" w:color="auto" w:fill="FFFFFF"/>
        </w:rPr>
        <w:t xml:space="preserve">stria de materiais de construção) reverta em novas oportunidades de trabalho e desenvolvimento para as regiões objeto de investimentos. O impacto da mecanização da colheita da cana, que deverá atingir 100% em São Paulo nos próximos anos, deve ser absorvido por um esforço coordenado de qualificação e geração de oportunidades para os trabalhadores atingidos. O resultado esperado é um acordo entre os principais setores envolvidos, levando-se em conta a sinergia entre esses setores, que encontram-se representados no </w:t>
      </w:r>
      <w:r w:rsidRPr="000E2350">
        <w:rPr>
          <w:rFonts w:ascii="Times New Roman" w:hAnsi="Times New Roman"/>
          <w:color w:val="000000"/>
          <w:sz w:val="20"/>
          <w:szCs w:val="20"/>
          <w:shd w:val="clear" w:color="auto" w:fill="FFFFFF"/>
        </w:rPr>
        <w:t>Conselho.</w:t>
      </w:r>
      <w:r w:rsidRPr="000E2350">
        <w:rPr>
          <w:rStyle w:val="Refdenotaderodap"/>
          <w:rFonts w:ascii="Times New Roman" w:hAnsi="Times New Roman"/>
          <w:color w:val="000000"/>
          <w:sz w:val="20"/>
          <w:szCs w:val="20"/>
          <w:shd w:val="clear" w:color="auto" w:fill="FFFFFF"/>
        </w:rPr>
        <w:footnoteReference w:id="608"/>
      </w:r>
    </w:p>
    <w:p w:rsidR="00837AC8" w:rsidRDefault="00837AC8" w:rsidP="00837AC8">
      <w:pPr>
        <w:autoSpaceDE w:val="0"/>
        <w:autoSpaceDN w:val="0"/>
        <w:adjustRightInd w:val="0"/>
        <w:spacing w:line="360" w:lineRule="auto"/>
        <w:ind w:firstLine="708"/>
        <w:jc w:val="both"/>
        <w:rPr>
          <w:rFonts w:ascii="Times New Roman" w:hAnsi="Times New Roman"/>
          <w:sz w:val="24"/>
          <w:szCs w:val="24"/>
        </w:rPr>
      </w:pPr>
      <w:r w:rsidRPr="00F51562">
        <w:rPr>
          <w:rFonts w:ascii="Times New Roman" w:hAnsi="Times New Roman"/>
          <w:color w:val="000000"/>
          <w:sz w:val="24"/>
          <w:szCs w:val="24"/>
          <w:shd w:val="clear" w:color="auto" w:fill="FFFFFF"/>
        </w:rPr>
        <w:t>Na II Reunião do Subgrupo, consta no Relatório que a Feraesp</w:t>
      </w:r>
      <w:r>
        <w:rPr>
          <w:rFonts w:ascii="Times New Roman" w:hAnsi="Times New Roman"/>
          <w:color w:val="000000"/>
          <w:sz w:val="24"/>
          <w:szCs w:val="24"/>
          <w:shd w:val="clear" w:color="auto" w:fill="FFFFFF"/>
        </w:rPr>
        <w:t>/CUT</w:t>
      </w:r>
      <w:r w:rsidRPr="00F51562">
        <w:rPr>
          <w:rFonts w:ascii="Times New Roman" w:hAnsi="Times New Roman"/>
          <w:color w:val="000000"/>
          <w:sz w:val="24"/>
          <w:szCs w:val="24"/>
          <w:shd w:val="clear" w:color="auto" w:fill="FFFFFF"/>
        </w:rPr>
        <w:t xml:space="preserve"> “</w:t>
      </w:r>
      <w:r w:rsidRPr="00F51562">
        <w:rPr>
          <w:rFonts w:ascii="Times New Roman" w:hAnsi="Times New Roman"/>
          <w:sz w:val="24"/>
          <w:szCs w:val="24"/>
        </w:rPr>
        <w:t>apóia integralmente o projeto piloto dequalificação de trabalhadores dispensados do corte da cana-de-açucar para a cadeia produtivada construção civil no Estado de São Paulo</w:t>
      </w:r>
      <w:r>
        <w:rPr>
          <w:rFonts w:ascii="Times New Roman" w:hAnsi="Times New Roman"/>
          <w:sz w:val="24"/>
          <w:szCs w:val="24"/>
        </w:rPr>
        <w:t>”.</w:t>
      </w:r>
      <w:r>
        <w:rPr>
          <w:rStyle w:val="Refdenotaderodap"/>
          <w:rFonts w:ascii="Times New Roman" w:hAnsi="Times New Roman"/>
          <w:sz w:val="24"/>
          <w:szCs w:val="24"/>
        </w:rPr>
        <w:footnoteReference w:id="609"/>
      </w:r>
      <w:r>
        <w:rPr>
          <w:rFonts w:ascii="Times New Roman" w:hAnsi="Times New Roman"/>
          <w:sz w:val="24"/>
          <w:szCs w:val="24"/>
        </w:rPr>
        <w:t xml:space="preserve"> Nes</w:t>
      </w:r>
      <w:r w:rsidR="0037305F">
        <w:rPr>
          <w:rFonts w:ascii="Times New Roman" w:hAnsi="Times New Roman"/>
          <w:sz w:val="24"/>
          <w:szCs w:val="24"/>
        </w:rPr>
        <w:t>s</w:t>
      </w:r>
      <w:r>
        <w:rPr>
          <w:rFonts w:ascii="Times New Roman" w:hAnsi="Times New Roman"/>
          <w:sz w:val="24"/>
          <w:szCs w:val="24"/>
        </w:rPr>
        <w:t xml:space="preserve">e mesmo relatório, fica evidente o papel do CDES como articulador, negociador e avalizador do projeto piloto, muito em virtude dos esforços e da coalizão de expoentes das entidades patronais do setor sucroalcooleiro, da construção civil e de materiais de construção e da maior central sindical do país, com o “apoio técnico” e político da Secretaria Geral e da Casa Civil da Presidência da República, a qual a </w:t>
      </w:r>
      <w:r w:rsidR="00F928B3">
        <w:rPr>
          <w:rFonts w:ascii="Times New Roman" w:hAnsi="Times New Roman"/>
          <w:sz w:val="24"/>
          <w:szCs w:val="24"/>
        </w:rPr>
        <w:t>SEDES</w:t>
      </w:r>
      <w:r>
        <w:rPr>
          <w:rFonts w:ascii="Times New Roman" w:hAnsi="Times New Roman"/>
          <w:sz w:val="24"/>
          <w:szCs w:val="24"/>
        </w:rPr>
        <w:t xml:space="preserve"> era vinculada:</w:t>
      </w:r>
    </w:p>
    <w:p w:rsidR="00837AC8" w:rsidRPr="00F51562" w:rsidRDefault="00837AC8" w:rsidP="00837AC8">
      <w:pPr>
        <w:autoSpaceDE w:val="0"/>
        <w:autoSpaceDN w:val="0"/>
        <w:adjustRightInd w:val="0"/>
        <w:spacing w:after="0" w:line="240" w:lineRule="auto"/>
        <w:ind w:left="2268"/>
        <w:jc w:val="both"/>
        <w:rPr>
          <w:rFonts w:ascii="Times New Roman" w:hAnsi="Times New Roman"/>
          <w:color w:val="000000"/>
          <w:sz w:val="20"/>
          <w:szCs w:val="20"/>
          <w:shd w:val="clear" w:color="auto" w:fill="FFFFFF"/>
        </w:rPr>
      </w:pPr>
      <w:r w:rsidRPr="00F51562">
        <w:rPr>
          <w:rFonts w:ascii="Times New Roman" w:hAnsi="Times New Roman"/>
          <w:sz w:val="20"/>
          <w:szCs w:val="20"/>
        </w:rPr>
        <w:t>Por sugestão do Conselheiro Cláudio Conz ficou definido que os conselheiros que patrocinaram o diálogo social e o entendimento entre as partes (Artur Henrique, Cláudio Conz, Marcos Jank e Paulo Simão) e a equipe técnica da SEDES serão informados permanentemente sobre o andamento dos trabalhos. Quando necessário, o Comitê Executivo poderá solicitar reunião de monitoramento com o CDES e a SEDES/SRI visando à tomada de decisões que contribuam para o bom andamento do projeto, inclusive em termos de apoio institucional, técnico e político.</w:t>
      </w:r>
      <w:r>
        <w:rPr>
          <w:rStyle w:val="Refdenotaderodap"/>
          <w:rFonts w:ascii="Times New Roman" w:hAnsi="Times New Roman"/>
          <w:sz w:val="20"/>
          <w:szCs w:val="20"/>
        </w:rPr>
        <w:footnoteReference w:id="610"/>
      </w:r>
    </w:p>
    <w:p w:rsidR="00837AC8" w:rsidRDefault="00837AC8" w:rsidP="00837AC8">
      <w:pPr>
        <w:spacing w:after="0" w:line="360" w:lineRule="auto"/>
        <w:jc w:val="both"/>
        <w:rPr>
          <w:rFonts w:ascii="Times New Roman" w:hAnsi="Times New Roman"/>
          <w:color w:val="000000"/>
          <w:sz w:val="24"/>
          <w:szCs w:val="24"/>
        </w:rPr>
      </w:pPr>
    </w:p>
    <w:p w:rsidR="00837AC8" w:rsidRDefault="00837AC8" w:rsidP="00837AC8">
      <w:pPr>
        <w:spacing w:line="360" w:lineRule="auto"/>
        <w:jc w:val="both"/>
        <w:rPr>
          <w:rFonts w:ascii="Times New Roman" w:hAnsi="Times New Roman"/>
          <w:color w:val="000000"/>
          <w:sz w:val="24"/>
          <w:szCs w:val="24"/>
        </w:rPr>
      </w:pPr>
      <w:r>
        <w:rPr>
          <w:rFonts w:ascii="Times New Roman" w:hAnsi="Times New Roman"/>
          <w:color w:val="000000"/>
          <w:sz w:val="24"/>
          <w:szCs w:val="24"/>
        </w:rPr>
        <w:tab/>
        <w:t xml:space="preserve">A articulação empresarial-sindicalistas laborais por meio do CDES, isto é, se valendo da construção simbólica e política que o Conselho angariou como arena do “diálogo social” e, portanto, de “democratização das decisões”, ao longo dos dois governos Lula da Silva, foi suficientemente capaz de nele se apoiar para posicionar-se como </w:t>
      </w:r>
      <w:r w:rsidR="00BA258A">
        <w:rPr>
          <w:rFonts w:ascii="Times New Roman" w:hAnsi="Times New Roman"/>
          <w:color w:val="000000"/>
          <w:sz w:val="24"/>
          <w:szCs w:val="24"/>
        </w:rPr>
        <w:t>arena articuladora e validadora</w:t>
      </w:r>
      <w:r>
        <w:rPr>
          <w:rFonts w:ascii="Times New Roman" w:hAnsi="Times New Roman"/>
          <w:color w:val="000000"/>
          <w:sz w:val="24"/>
          <w:szCs w:val="24"/>
        </w:rPr>
        <w:t xml:space="preserve"> do remanejamento de trabalhadores precarizados e superexplorados, justamente em prol dos setores do capital que mais ampliaram suas taxas de lucros durante o período. A indústria de agrocombustível e da construção civil, inclusive, puderam exponencializar a intensidade</w:t>
      </w:r>
      <w:r>
        <w:rPr>
          <w:rStyle w:val="Refdenotaderodap"/>
          <w:rFonts w:ascii="Times New Roman" w:hAnsi="Times New Roman"/>
          <w:color w:val="000000"/>
          <w:sz w:val="24"/>
          <w:szCs w:val="24"/>
        </w:rPr>
        <w:footnoteReference w:id="611"/>
      </w:r>
      <w:r>
        <w:rPr>
          <w:rFonts w:ascii="Times New Roman" w:hAnsi="Times New Roman"/>
          <w:color w:val="000000"/>
          <w:sz w:val="24"/>
          <w:szCs w:val="24"/>
        </w:rPr>
        <w:t xml:space="preserve"> – que costuma vir combinad</w:t>
      </w:r>
      <w:r w:rsidR="00BA258A">
        <w:rPr>
          <w:rFonts w:ascii="Times New Roman" w:hAnsi="Times New Roman"/>
          <w:color w:val="000000"/>
          <w:sz w:val="24"/>
          <w:szCs w:val="24"/>
        </w:rPr>
        <w:t>a</w:t>
      </w:r>
      <w:r>
        <w:rPr>
          <w:rFonts w:ascii="Times New Roman" w:hAnsi="Times New Roman"/>
          <w:color w:val="000000"/>
          <w:sz w:val="24"/>
          <w:szCs w:val="24"/>
        </w:rPr>
        <w:t xml:space="preserve"> com o aumento dos níveis de produtividade – </w:t>
      </w:r>
      <w:r w:rsidR="00BA258A">
        <w:rPr>
          <w:rFonts w:ascii="Times New Roman" w:hAnsi="Times New Roman"/>
          <w:color w:val="000000"/>
          <w:sz w:val="24"/>
          <w:szCs w:val="24"/>
        </w:rPr>
        <w:t xml:space="preserve">do uso da </w:t>
      </w:r>
      <w:r>
        <w:rPr>
          <w:rFonts w:ascii="Times New Roman" w:hAnsi="Times New Roman"/>
          <w:color w:val="000000"/>
          <w:sz w:val="24"/>
          <w:szCs w:val="24"/>
        </w:rPr>
        <w:t>força de trabalho, valendo-se, para tanto, da modernização de máquinas e equipamentos, dos novos procedimentos produtivos e da requalificação dos trabalhadores, remanejados ou não. O conselheiro Paulo Simão (CBIC) se valeu da plenária do CDES para expor a dimensão do crescimento do setor mobiliário no Brasil durante os anos Lula:</w:t>
      </w:r>
    </w:p>
    <w:p w:rsidR="00837AC8" w:rsidRPr="00D83CB7" w:rsidRDefault="00837AC8" w:rsidP="00837AC8">
      <w:pPr>
        <w:spacing w:line="240" w:lineRule="auto"/>
        <w:ind w:left="2268"/>
        <w:jc w:val="both"/>
        <w:rPr>
          <w:rFonts w:ascii="Times New Roman" w:hAnsi="Times New Roman"/>
          <w:sz w:val="20"/>
          <w:szCs w:val="20"/>
        </w:rPr>
      </w:pPr>
      <w:r w:rsidRPr="00D83CB7">
        <w:rPr>
          <w:rFonts w:ascii="Times New Roman" w:hAnsi="Times New Roman"/>
          <w:sz w:val="20"/>
          <w:szCs w:val="20"/>
        </w:rPr>
        <w:t>Ao ser convocado pelo Governo Federal em 2003 para modificar e dinamizar o mercado brasileiro o nosso setor deu mostra de competências, capacidade de organização em trabalho coletivo e grande espírito empreendedor. O resultado em poucos anos já pode ser sentido por todos. O mercado imobiliário, hoje, apresenta números surpreendentes. Em apenas quatro anos os investimentos em créditos imobiliários se multiplicaram por oito. Passaram de 2,2 para 18 bil</w:t>
      </w:r>
      <w:r>
        <w:rPr>
          <w:rFonts w:ascii="Times New Roman" w:hAnsi="Times New Roman"/>
          <w:sz w:val="20"/>
          <w:szCs w:val="20"/>
        </w:rPr>
        <w:t xml:space="preserve">hões de reais e segue em frente (Ata da </w:t>
      </w:r>
      <w:r w:rsidRPr="00D83CB7">
        <w:rPr>
          <w:rFonts w:ascii="Times New Roman" w:hAnsi="Times New Roman"/>
          <w:sz w:val="20"/>
          <w:szCs w:val="20"/>
        </w:rPr>
        <w:t xml:space="preserve">24ª </w:t>
      </w:r>
      <w:r>
        <w:rPr>
          <w:rFonts w:ascii="Times New Roman" w:hAnsi="Times New Roman"/>
          <w:sz w:val="20"/>
          <w:szCs w:val="20"/>
        </w:rPr>
        <w:t>R</w:t>
      </w:r>
      <w:r w:rsidRPr="00D83CB7">
        <w:rPr>
          <w:rFonts w:ascii="Times New Roman" w:hAnsi="Times New Roman"/>
          <w:sz w:val="20"/>
          <w:szCs w:val="20"/>
        </w:rPr>
        <w:t>eunião</w:t>
      </w:r>
      <w:r>
        <w:rPr>
          <w:rFonts w:ascii="Times New Roman" w:hAnsi="Times New Roman"/>
          <w:sz w:val="20"/>
          <w:szCs w:val="20"/>
        </w:rPr>
        <w:t xml:space="preserve"> Plenária, 27/11/2007</w:t>
      </w:r>
      <w:r w:rsidRPr="00D83CB7">
        <w:rPr>
          <w:rFonts w:ascii="Times New Roman" w:hAnsi="Times New Roman"/>
          <w:sz w:val="20"/>
          <w:szCs w:val="20"/>
        </w:rPr>
        <w:t>, p. 10)</w:t>
      </w:r>
      <w:r>
        <w:rPr>
          <w:rFonts w:ascii="Times New Roman" w:hAnsi="Times New Roman"/>
          <w:sz w:val="20"/>
          <w:szCs w:val="20"/>
        </w:rPr>
        <w:t>.</w:t>
      </w:r>
    </w:p>
    <w:p w:rsidR="00837AC8" w:rsidRDefault="00837AC8" w:rsidP="00837AC8">
      <w:pPr>
        <w:spacing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Estudo realizado pela FGV em parceria com CBIC em 2012, mas com dados levantados das empresas de construção civil no período 2003-2009, através de </w:t>
      </w:r>
      <w:r w:rsidRPr="006754E5">
        <w:rPr>
          <w:rFonts w:ascii="Times New Roman" w:hAnsi="Times New Roman"/>
          <w:i/>
          <w:color w:val="000000"/>
          <w:sz w:val="24"/>
          <w:szCs w:val="24"/>
        </w:rPr>
        <w:t>survey</w:t>
      </w:r>
      <w:r>
        <w:rPr>
          <w:rFonts w:ascii="Times New Roman" w:hAnsi="Times New Roman"/>
          <w:color w:val="000000"/>
          <w:sz w:val="24"/>
          <w:szCs w:val="24"/>
        </w:rPr>
        <w:t xml:space="preserve">enviado às empresas de construção, </w:t>
      </w:r>
      <w:r w:rsidRPr="006754E5">
        <w:rPr>
          <w:rFonts w:ascii="Times New Roman" w:hAnsi="Times New Roman"/>
          <w:color w:val="000000"/>
          <w:sz w:val="24"/>
          <w:szCs w:val="24"/>
        </w:rPr>
        <w:t xml:space="preserve">observa </w:t>
      </w:r>
      <w:r>
        <w:rPr>
          <w:rFonts w:ascii="Times New Roman" w:hAnsi="Times New Roman"/>
          <w:color w:val="000000"/>
          <w:sz w:val="24"/>
          <w:szCs w:val="24"/>
        </w:rPr>
        <w:t xml:space="preserve">que, </w:t>
      </w:r>
    </w:p>
    <w:p w:rsidR="00837AC8" w:rsidRDefault="00837AC8" w:rsidP="00837AC8">
      <w:pPr>
        <w:spacing w:after="0" w:line="240" w:lineRule="auto"/>
        <w:ind w:left="2268"/>
        <w:jc w:val="both"/>
        <w:rPr>
          <w:rFonts w:ascii="Times New Roman" w:hAnsi="Times New Roman"/>
          <w:color w:val="000000"/>
          <w:sz w:val="20"/>
          <w:szCs w:val="20"/>
        </w:rPr>
      </w:pPr>
      <w:r w:rsidRPr="00967E61">
        <w:rPr>
          <w:rFonts w:ascii="Times New Roman" w:hAnsi="Times New Roman"/>
          <w:color w:val="000000"/>
          <w:sz w:val="20"/>
          <w:szCs w:val="20"/>
        </w:rPr>
        <w:t xml:space="preserve">A percepção </w:t>
      </w:r>
      <w:r>
        <w:rPr>
          <w:rFonts w:ascii="Times New Roman" w:hAnsi="Times New Roman"/>
          <w:color w:val="000000"/>
          <w:sz w:val="20"/>
          <w:szCs w:val="20"/>
        </w:rPr>
        <w:t>do setor</w:t>
      </w:r>
      <w:r w:rsidRPr="00967E61">
        <w:rPr>
          <w:rFonts w:ascii="Times New Roman" w:hAnsi="Times New Roman"/>
          <w:color w:val="000000"/>
          <w:sz w:val="20"/>
          <w:szCs w:val="20"/>
        </w:rPr>
        <w:t xml:space="preserve"> é de que a produtividade evoluiu no período pesquisado, mas essa evolução poderia ter sido melhor. Para conseguir o desejado salto na produtividade, as principais iniciativas se referem ao </w:t>
      </w:r>
      <w:r w:rsidRPr="00BD5BEB">
        <w:rPr>
          <w:rFonts w:ascii="Times New Roman" w:hAnsi="Times New Roman"/>
          <w:b/>
          <w:color w:val="000000"/>
          <w:sz w:val="20"/>
          <w:szCs w:val="20"/>
        </w:rPr>
        <w:t>treinamento de pessoal</w:t>
      </w:r>
      <w:r w:rsidRPr="00967E61">
        <w:rPr>
          <w:rFonts w:ascii="Times New Roman" w:hAnsi="Times New Roman"/>
          <w:color w:val="000000"/>
          <w:sz w:val="20"/>
          <w:szCs w:val="20"/>
        </w:rPr>
        <w:t xml:space="preserve"> e a condições favoráveis deinvestimento em máquinas, equipamentos e processos produtivos – o que depende de medidas que envolvem as entidades setoriais e os governos</w:t>
      </w:r>
      <w:r>
        <w:rPr>
          <w:rFonts w:ascii="Times New Roman" w:hAnsi="Times New Roman"/>
          <w:color w:val="000000"/>
          <w:sz w:val="20"/>
          <w:szCs w:val="20"/>
        </w:rPr>
        <w:t>.</w:t>
      </w:r>
    </w:p>
    <w:p w:rsidR="00837AC8" w:rsidRDefault="00837AC8" w:rsidP="00837AC8">
      <w:pPr>
        <w:spacing w:after="0" w:line="240" w:lineRule="auto"/>
        <w:ind w:left="2268"/>
        <w:jc w:val="both"/>
        <w:rPr>
          <w:rFonts w:ascii="Times New Roman" w:hAnsi="Times New Roman"/>
          <w:color w:val="000000"/>
          <w:sz w:val="20"/>
          <w:szCs w:val="20"/>
        </w:rPr>
      </w:pPr>
      <w:r>
        <w:rPr>
          <w:rFonts w:ascii="Times New Roman" w:hAnsi="Times New Roman"/>
          <w:color w:val="000000"/>
          <w:sz w:val="20"/>
          <w:szCs w:val="20"/>
        </w:rPr>
        <w:t>(...)</w:t>
      </w:r>
    </w:p>
    <w:p w:rsidR="00837AC8" w:rsidRPr="00967E61" w:rsidRDefault="00837AC8" w:rsidP="00837AC8">
      <w:pPr>
        <w:spacing w:after="0" w:line="240" w:lineRule="auto"/>
        <w:ind w:left="2268"/>
        <w:jc w:val="both"/>
        <w:rPr>
          <w:rFonts w:ascii="Times New Roman" w:hAnsi="Times New Roman"/>
          <w:color w:val="000000"/>
          <w:sz w:val="20"/>
          <w:szCs w:val="20"/>
        </w:rPr>
      </w:pPr>
      <w:r w:rsidRPr="006754E5">
        <w:rPr>
          <w:rFonts w:ascii="Times New Roman" w:hAnsi="Times New Roman"/>
          <w:color w:val="000000"/>
          <w:sz w:val="20"/>
          <w:szCs w:val="20"/>
        </w:rPr>
        <w:t xml:space="preserve">Questionou-se a percepção das empresas com relaçãoà produtividade da mão de obra na comparação dos períodos anterior e posterior a 2007. Um total de 80% respondeu que </w:t>
      </w:r>
      <w:r w:rsidRPr="00BD5BEB">
        <w:rPr>
          <w:rFonts w:ascii="Times New Roman" w:hAnsi="Times New Roman"/>
          <w:b/>
          <w:color w:val="000000"/>
          <w:sz w:val="20"/>
          <w:szCs w:val="20"/>
        </w:rPr>
        <w:t>o investimento em treinamento passou a ser mais intenso a partir de 2007</w:t>
      </w:r>
      <w:r w:rsidRPr="006754E5">
        <w:rPr>
          <w:rFonts w:ascii="Times New Roman" w:hAnsi="Times New Roman"/>
          <w:color w:val="000000"/>
          <w:sz w:val="20"/>
          <w:szCs w:val="20"/>
        </w:rPr>
        <w:t xml:space="preserve">, sendo que 37% disseramque passaram a investir muito mais em treinamento nesse período. </w:t>
      </w:r>
      <w:r w:rsidRPr="00BD5BEB">
        <w:rPr>
          <w:rFonts w:ascii="Times New Roman" w:hAnsi="Times New Roman"/>
          <w:b/>
          <w:color w:val="000000"/>
          <w:sz w:val="20"/>
          <w:szCs w:val="20"/>
        </w:rPr>
        <w:t>Portanto o crescimento setorial foi acompanhado de iniciativas mais intensas de treinamento pela grande maioria das empresas</w:t>
      </w:r>
      <w:r w:rsidRPr="006754E5">
        <w:rPr>
          <w:rFonts w:ascii="Times New Roman" w:hAnsi="Times New Roman"/>
          <w:color w:val="000000"/>
          <w:sz w:val="20"/>
          <w:szCs w:val="20"/>
        </w:rPr>
        <w:t>. O treinamento oferecidopelas empresas, por sua vez, ocorre em cursos organizados pelas próprias empresas (60%), pelo Senai (58%), porempresas especializad</w:t>
      </w:r>
      <w:r>
        <w:rPr>
          <w:rFonts w:ascii="Times New Roman" w:hAnsi="Times New Roman"/>
          <w:color w:val="000000"/>
          <w:sz w:val="20"/>
          <w:szCs w:val="20"/>
        </w:rPr>
        <w:t>as (52%) e pelo sindicato (37%).</w:t>
      </w:r>
      <w:r>
        <w:rPr>
          <w:rStyle w:val="Refdenotaderodap"/>
          <w:rFonts w:ascii="Times New Roman" w:hAnsi="Times New Roman"/>
          <w:color w:val="000000"/>
          <w:sz w:val="20"/>
          <w:szCs w:val="20"/>
        </w:rPr>
        <w:footnoteReference w:id="612"/>
      </w:r>
    </w:p>
    <w:p w:rsidR="00837AC8" w:rsidRDefault="00837AC8" w:rsidP="00837AC8">
      <w:pPr>
        <w:spacing w:after="0" w:line="360" w:lineRule="auto"/>
        <w:jc w:val="both"/>
        <w:rPr>
          <w:rFonts w:ascii="Times New Roman" w:hAnsi="Times New Roman"/>
          <w:color w:val="000000"/>
          <w:sz w:val="24"/>
          <w:szCs w:val="24"/>
        </w:rPr>
      </w:pPr>
    </w:p>
    <w:p w:rsidR="00837AC8" w:rsidRPr="000645BE" w:rsidRDefault="00837AC8" w:rsidP="00837AC8">
      <w:pPr>
        <w:autoSpaceDE w:val="0"/>
        <w:autoSpaceDN w:val="0"/>
        <w:adjustRightInd w:val="0"/>
        <w:spacing w:line="360" w:lineRule="auto"/>
        <w:jc w:val="both"/>
        <w:rPr>
          <w:rFonts w:ascii="Times New Roman" w:hAnsi="Times New Roman"/>
          <w:sz w:val="24"/>
          <w:szCs w:val="24"/>
        </w:rPr>
      </w:pPr>
      <w:r>
        <w:rPr>
          <w:rFonts w:ascii="Times New Roman" w:hAnsi="Times New Roman"/>
          <w:color w:val="000000"/>
          <w:sz w:val="24"/>
          <w:szCs w:val="24"/>
        </w:rPr>
        <w:tab/>
      </w:r>
      <w:r w:rsidRPr="00AE638C">
        <w:rPr>
          <w:rFonts w:ascii="Times New Roman" w:hAnsi="Times New Roman"/>
          <w:color w:val="000000"/>
          <w:sz w:val="24"/>
          <w:szCs w:val="24"/>
        </w:rPr>
        <w:t xml:space="preserve">O “salto na produtividade” de que o setor </w:t>
      </w:r>
      <w:r>
        <w:rPr>
          <w:rFonts w:ascii="Times New Roman" w:hAnsi="Times New Roman"/>
          <w:color w:val="000000"/>
          <w:sz w:val="24"/>
          <w:szCs w:val="24"/>
        </w:rPr>
        <w:t xml:space="preserve">afirma </w:t>
      </w:r>
      <w:r w:rsidRPr="00AE638C">
        <w:rPr>
          <w:rFonts w:ascii="Times New Roman" w:hAnsi="Times New Roman"/>
          <w:color w:val="000000"/>
          <w:sz w:val="24"/>
          <w:szCs w:val="24"/>
        </w:rPr>
        <w:t>necessita</w:t>
      </w:r>
      <w:r>
        <w:rPr>
          <w:rFonts w:ascii="Times New Roman" w:hAnsi="Times New Roman"/>
          <w:color w:val="000000"/>
          <w:sz w:val="24"/>
          <w:szCs w:val="24"/>
        </w:rPr>
        <w:t>r</w:t>
      </w:r>
      <w:r w:rsidRPr="00AE638C">
        <w:rPr>
          <w:rFonts w:ascii="Times New Roman" w:hAnsi="Times New Roman"/>
          <w:color w:val="000000"/>
          <w:sz w:val="24"/>
          <w:szCs w:val="24"/>
        </w:rPr>
        <w:t xml:space="preserve"> conta com a “inclusão produtiva” de uma massa de contingentes de trabalhadores disponíveis e em situação social de trânsito entre a pobreza absoluta e a pobreza oficial, como no caso do Programa de Setorial de Qualificação para beneficiários do programa Bolsa Família (PlanSeq Bolsa Família) direcionado ao setor da construção civil. Como uma das modalidades do Plano Nacional de Qualificação (PNQ) criado em 2003, do Ministério do Trabalho e Emprego (MTE), o PlanSeq integra a ação de alguns ministérios (MDS, MTE e Casa Civil)</w:t>
      </w:r>
      <w:r>
        <w:rPr>
          <w:rFonts w:ascii="Times New Roman" w:hAnsi="Times New Roman"/>
          <w:color w:val="000000"/>
          <w:sz w:val="24"/>
          <w:szCs w:val="24"/>
        </w:rPr>
        <w:t xml:space="preserve"> em articulação com entidades patronais (CBIC e Sistema CNI) e </w:t>
      </w:r>
      <w:r w:rsidRPr="00AE638C">
        <w:rPr>
          <w:rFonts w:ascii="Times New Roman" w:hAnsi="Times New Roman"/>
          <w:color w:val="000000"/>
          <w:sz w:val="24"/>
          <w:szCs w:val="24"/>
        </w:rPr>
        <w:t xml:space="preserve">objetiva, prioritariamente, </w:t>
      </w:r>
      <w:r>
        <w:rPr>
          <w:rFonts w:ascii="Times New Roman" w:hAnsi="Times New Roman"/>
          <w:color w:val="000000"/>
          <w:sz w:val="24"/>
          <w:szCs w:val="24"/>
        </w:rPr>
        <w:t>subqualificar</w:t>
      </w:r>
      <w:r w:rsidRPr="00AE638C">
        <w:rPr>
          <w:rFonts w:ascii="Times New Roman" w:hAnsi="Times New Roman"/>
          <w:color w:val="000000"/>
          <w:sz w:val="24"/>
          <w:szCs w:val="24"/>
        </w:rPr>
        <w:t xml:space="preserve"> (ou “treinar” na acepção da CBIC) </w:t>
      </w:r>
      <w:r w:rsidR="00D056BE">
        <w:rPr>
          <w:rFonts w:ascii="Times New Roman" w:hAnsi="Times New Roman"/>
          <w:color w:val="000000"/>
          <w:sz w:val="24"/>
          <w:szCs w:val="24"/>
        </w:rPr>
        <w:t>mão de obra</w:t>
      </w:r>
      <w:r w:rsidRPr="00AE638C">
        <w:rPr>
          <w:rFonts w:ascii="Times New Roman" w:hAnsi="Times New Roman"/>
          <w:color w:val="000000"/>
          <w:sz w:val="24"/>
          <w:szCs w:val="24"/>
        </w:rPr>
        <w:t xml:space="preserve"> subremunerada para, exatamente, elevar a produtividade da indústria da construção civil, valendo-se, para tanto, de recursos públicos advindos do Fundo de Amparo do Trabalhador (FAT), </w:t>
      </w:r>
      <w:r w:rsidRPr="00AE638C">
        <w:rPr>
          <w:rFonts w:ascii="Times New Roman" w:hAnsi="Times New Roman"/>
          <w:sz w:val="24"/>
          <w:szCs w:val="24"/>
        </w:rPr>
        <w:t>repassados para a execução descentralizada do Programa, ou seja, para cada estado ou prefeitura, sob a orientação do MTE.</w:t>
      </w:r>
      <w:r>
        <w:rPr>
          <w:rFonts w:ascii="Times New Roman" w:hAnsi="Times New Roman"/>
          <w:sz w:val="24"/>
          <w:szCs w:val="24"/>
        </w:rPr>
        <w:t xml:space="preserve"> Os cursos oferecidos destinam-se à preparação de trabalhadores (pedreiros, pintores, eletricistas, encanadores, mestres de obras, etc) nas frentes de trabalho requeridas pelo Programa de Aceleração do Crescimento (PAC), iniciado em 2007 e pelo Programa Minha Casa, Minha Vida, de 2009. O documento “</w:t>
      </w:r>
      <w:r w:rsidRPr="000645BE">
        <w:rPr>
          <w:rFonts w:ascii="Times New Roman" w:eastAsia="TimesNewRomanPS-ItalicMT" w:hAnsi="Times New Roman"/>
          <w:iCs/>
          <w:sz w:val="24"/>
          <w:szCs w:val="24"/>
        </w:rPr>
        <w:t>Qualificação profissional para beneficiários do Bolsa Família</w:t>
      </w:r>
      <w:r>
        <w:rPr>
          <w:rFonts w:ascii="Times New Roman" w:eastAsia="TimesNewRomanPS-ItalicMT" w:hAnsi="Times New Roman"/>
          <w:iCs/>
          <w:sz w:val="24"/>
          <w:szCs w:val="24"/>
        </w:rPr>
        <w:t>”, produzido pelo MDS e MTE em 2008, destaca como objetivos do programa:</w:t>
      </w:r>
    </w:p>
    <w:p w:rsidR="00837AC8" w:rsidRPr="00B24A05" w:rsidRDefault="00837AC8" w:rsidP="00837AC8">
      <w:pPr>
        <w:autoSpaceDE w:val="0"/>
        <w:autoSpaceDN w:val="0"/>
        <w:adjustRightInd w:val="0"/>
        <w:spacing w:after="0" w:line="240" w:lineRule="auto"/>
        <w:ind w:left="2268"/>
        <w:rPr>
          <w:rFonts w:ascii="Times New Roman" w:hAnsi="Times New Roman"/>
          <w:color w:val="000000"/>
          <w:sz w:val="20"/>
          <w:szCs w:val="20"/>
        </w:rPr>
      </w:pPr>
      <w:r w:rsidRPr="00B24A05">
        <w:rPr>
          <w:rFonts w:ascii="Times New Roman" w:hAnsi="Times New Roman"/>
          <w:color w:val="000000"/>
          <w:sz w:val="20"/>
          <w:szCs w:val="20"/>
        </w:rPr>
        <w:t xml:space="preserve">• Atender à demanda de </w:t>
      </w:r>
      <w:r w:rsidR="00D056BE">
        <w:rPr>
          <w:rFonts w:ascii="Times New Roman" w:hAnsi="Times New Roman"/>
          <w:color w:val="000000"/>
          <w:sz w:val="20"/>
          <w:szCs w:val="20"/>
        </w:rPr>
        <w:t>mão de obra</w:t>
      </w:r>
      <w:r w:rsidRPr="00B24A05">
        <w:rPr>
          <w:rFonts w:ascii="Times New Roman" w:hAnsi="Times New Roman"/>
          <w:color w:val="000000"/>
          <w:sz w:val="20"/>
          <w:szCs w:val="20"/>
        </w:rPr>
        <w:t xml:space="preserve"> qualificada para as vagas criadas pelo</w:t>
      </w:r>
    </w:p>
    <w:p w:rsidR="00837AC8" w:rsidRPr="00B24A05" w:rsidRDefault="00837AC8" w:rsidP="00837AC8">
      <w:pPr>
        <w:autoSpaceDE w:val="0"/>
        <w:autoSpaceDN w:val="0"/>
        <w:adjustRightInd w:val="0"/>
        <w:spacing w:after="0" w:line="240" w:lineRule="auto"/>
        <w:ind w:left="2268"/>
        <w:rPr>
          <w:rFonts w:ascii="Times New Roman" w:hAnsi="Times New Roman"/>
          <w:color w:val="000000"/>
          <w:sz w:val="20"/>
          <w:szCs w:val="20"/>
        </w:rPr>
      </w:pPr>
      <w:r w:rsidRPr="00B24A05">
        <w:rPr>
          <w:rFonts w:ascii="Times New Roman" w:hAnsi="Times New Roman"/>
          <w:color w:val="000000"/>
          <w:sz w:val="20"/>
          <w:szCs w:val="20"/>
        </w:rPr>
        <w:t>crescimento econômico.</w:t>
      </w:r>
    </w:p>
    <w:p w:rsidR="00837AC8" w:rsidRPr="00B24A05" w:rsidRDefault="00837AC8" w:rsidP="00837AC8">
      <w:pPr>
        <w:autoSpaceDE w:val="0"/>
        <w:autoSpaceDN w:val="0"/>
        <w:adjustRightInd w:val="0"/>
        <w:spacing w:after="0" w:line="240" w:lineRule="auto"/>
        <w:ind w:left="2268"/>
        <w:rPr>
          <w:rFonts w:ascii="Times New Roman" w:hAnsi="Times New Roman"/>
          <w:color w:val="000000"/>
          <w:sz w:val="20"/>
          <w:szCs w:val="20"/>
        </w:rPr>
      </w:pPr>
      <w:r w:rsidRPr="00B24A05">
        <w:rPr>
          <w:rFonts w:ascii="Times New Roman" w:hAnsi="Times New Roman"/>
          <w:color w:val="000000"/>
          <w:sz w:val="20"/>
          <w:szCs w:val="20"/>
        </w:rPr>
        <w:t>• Implementar um modelo unificado de ações complementares que ampliem asoportunidades de inclusão ocupacional dos trabalhadores beneficiários do ProgramaBolsa Família.</w:t>
      </w:r>
    </w:p>
    <w:p w:rsidR="00837AC8" w:rsidRPr="00B24A05" w:rsidRDefault="00837AC8" w:rsidP="00837AC8">
      <w:pPr>
        <w:autoSpaceDE w:val="0"/>
        <w:autoSpaceDN w:val="0"/>
        <w:adjustRightInd w:val="0"/>
        <w:spacing w:after="0" w:line="240" w:lineRule="auto"/>
        <w:ind w:left="2268"/>
        <w:rPr>
          <w:rFonts w:ascii="Times New Roman" w:hAnsi="Times New Roman"/>
          <w:color w:val="000000"/>
          <w:sz w:val="20"/>
          <w:szCs w:val="20"/>
        </w:rPr>
      </w:pPr>
      <w:r w:rsidRPr="00B24A05">
        <w:rPr>
          <w:rFonts w:ascii="Times New Roman" w:hAnsi="Times New Roman"/>
          <w:color w:val="000000"/>
          <w:sz w:val="20"/>
          <w:szCs w:val="20"/>
        </w:rPr>
        <w:t xml:space="preserve">• Adequar os cursos de qualificação profissional às demandas de </w:t>
      </w:r>
      <w:r w:rsidR="00D056BE">
        <w:rPr>
          <w:rFonts w:ascii="Times New Roman" w:hAnsi="Times New Roman"/>
          <w:color w:val="000000"/>
          <w:sz w:val="20"/>
          <w:szCs w:val="20"/>
        </w:rPr>
        <w:t>mão de obra</w:t>
      </w:r>
    </w:p>
    <w:p w:rsidR="00837AC8" w:rsidRPr="00B24A05" w:rsidRDefault="00837AC8" w:rsidP="00837AC8">
      <w:pPr>
        <w:autoSpaceDE w:val="0"/>
        <w:autoSpaceDN w:val="0"/>
        <w:adjustRightInd w:val="0"/>
        <w:spacing w:after="0" w:line="240" w:lineRule="auto"/>
        <w:ind w:left="2268"/>
        <w:rPr>
          <w:rFonts w:ascii="Times New Roman" w:hAnsi="Times New Roman"/>
          <w:color w:val="000000"/>
          <w:sz w:val="20"/>
          <w:szCs w:val="20"/>
        </w:rPr>
      </w:pPr>
      <w:r w:rsidRPr="00B24A05">
        <w:rPr>
          <w:rFonts w:ascii="Times New Roman" w:hAnsi="Times New Roman"/>
          <w:color w:val="000000"/>
          <w:sz w:val="20"/>
          <w:szCs w:val="20"/>
        </w:rPr>
        <w:t>regionais, tomando como base a evolução da oferta de postos de trabalho.</w:t>
      </w:r>
    </w:p>
    <w:p w:rsidR="00837AC8" w:rsidRDefault="00837AC8" w:rsidP="00837AC8">
      <w:pPr>
        <w:autoSpaceDE w:val="0"/>
        <w:autoSpaceDN w:val="0"/>
        <w:adjustRightInd w:val="0"/>
        <w:spacing w:after="0" w:line="240" w:lineRule="auto"/>
        <w:ind w:left="2268"/>
        <w:rPr>
          <w:rFonts w:ascii="Times New Roman" w:hAnsi="Times New Roman"/>
          <w:color w:val="000000"/>
          <w:sz w:val="20"/>
          <w:szCs w:val="20"/>
        </w:rPr>
      </w:pPr>
      <w:r w:rsidRPr="00B24A05">
        <w:rPr>
          <w:rFonts w:ascii="Times New Roman" w:hAnsi="Times New Roman"/>
          <w:color w:val="000000"/>
          <w:sz w:val="20"/>
          <w:szCs w:val="20"/>
        </w:rPr>
        <w:t>• Estimular a articulação entre os setores de trabalho e assistência social, nos âmbitosfederal, estadual e municipal</w:t>
      </w:r>
      <w:r>
        <w:rPr>
          <w:rFonts w:ascii="Times New Roman" w:hAnsi="Times New Roman"/>
          <w:color w:val="000000"/>
          <w:sz w:val="20"/>
          <w:szCs w:val="20"/>
        </w:rPr>
        <w:t>.</w:t>
      </w:r>
      <w:r>
        <w:rPr>
          <w:rStyle w:val="Refdenotaderodap"/>
          <w:rFonts w:ascii="Times New Roman" w:hAnsi="Times New Roman"/>
          <w:color w:val="000000"/>
          <w:sz w:val="20"/>
          <w:szCs w:val="20"/>
        </w:rPr>
        <w:footnoteReference w:id="613"/>
      </w:r>
    </w:p>
    <w:p w:rsidR="00837AC8" w:rsidRPr="00B24A05" w:rsidRDefault="00837AC8" w:rsidP="00837AC8">
      <w:pPr>
        <w:autoSpaceDE w:val="0"/>
        <w:autoSpaceDN w:val="0"/>
        <w:adjustRightInd w:val="0"/>
        <w:spacing w:after="0" w:line="240" w:lineRule="auto"/>
        <w:ind w:left="2268"/>
        <w:rPr>
          <w:rFonts w:ascii="Times New Roman" w:hAnsi="Times New Roman"/>
          <w:color w:val="000000"/>
          <w:sz w:val="20"/>
          <w:szCs w:val="20"/>
        </w:rPr>
      </w:pPr>
    </w:p>
    <w:p w:rsidR="00837AC8" w:rsidRDefault="00837AC8" w:rsidP="00837AC8">
      <w:pPr>
        <w:autoSpaceDE w:val="0"/>
        <w:autoSpaceDN w:val="0"/>
        <w:adjustRightInd w:val="0"/>
        <w:spacing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O nascedouro do PlanSeq Construção Civil recebeu grande apoio, incentivo e </w:t>
      </w:r>
      <w:r w:rsidR="00BA258A">
        <w:rPr>
          <w:rFonts w:ascii="Times New Roman" w:hAnsi="Times New Roman"/>
          <w:color w:val="000000"/>
          <w:sz w:val="24"/>
          <w:szCs w:val="24"/>
        </w:rPr>
        <w:t>propaganda</w:t>
      </w:r>
      <w:r>
        <w:rPr>
          <w:rFonts w:ascii="Times New Roman" w:hAnsi="Times New Roman"/>
          <w:color w:val="000000"/>
          <w:sz w:val="24"/>
          <w:szCs w:val="24"/>
        </w:rPr>
        <w:t xml:space="preserve"> por parte do CDES por ocasião, por exemplo, do seu anúncio pelo presidente da CBIC, o conselheiro Paulo Safady Simão, na 30ª reunião plenária: </w:t>
      </w:r>
    </w:p>
    <w:p w:rsidR="00837AC8" w:rsidRDefault="00837AC8" w:rsidP="00837AC8">
      <w:pPr>
        <w:spacing w:line="240" w:lineRule="auto"/>
        <w:ind w:left="2268"/>
        <w:jc w:val="both"/>
        <w:rPr>
          <w:rFonts w:ascii="Times New Roman" w:hAnsi="Times New Roman"/>
          <w:color w:val="000000"/>
          <w:sz w:val="20"/>
          <w:szCs w:val="20"/>
        </w:rPr>
      </w:pPr>
      <w:r w:rsidRPr="007B0702">
        <w:rPr>
          <w:rFonts w:ascii="Times New Roman" w:hAnsi="Times New Roman"/>
          <w:color w:val="000000"/>
          <w:sz w:val="20"/>
          <w:szCs w:val="20"/>
        </w:rPr>
        <w:t>Eu queria dizer primeiro ao Ministro Patrus Anani</w:t>
      </w:r>
      <w:r>
        <w:rPr>
          <w:rFonts w:ascii="Times New Roman" w:hAnsi="Times New Roman"/>
          <w:color w:val="000000"/>
          <w:sz w:val="20"/>
          <w:szCs w:val="20"/>
        </w:rPr>
        <w:t>a</w:t>
      </w:r>
      <w:r w:rsidRPr="007B0702">
        <w:rPr>
          <w:rFonts w:ascii="Times New Roman" w:hAnsi="Times New Roman"/>
          <w:color w:val="000000"/>
          <w:sz w:val="20"/>
          <w:szCs w:val="20"/>
        </w:rPr>
        <w:t>s, quero confirmar esse belíssimo projeto que estamos fazendo juntos, da construção civil junto ao Ministério do Dese</w:t>
      </w:r>
      <w:r>
        <w:rPr>
          <w:rFonts w:ascii="Times New Roman" w:hAnsi="Times New Roman"/>
          <w:color w:val="000000"/>
          <w:sz w:val="20"/>
          <w:szCs w:val="20"/>
        </w:rPr>
        <w:t>nvolvimento Social e Combate à F</w:t>
      </w:r>
      <w:r w:rsidRPr="007B0702">
        <w:rPr>
          <w:rFonts w:ascii="Times New Roman" w:hAnsi="Times New Roman"/>
          <w:color w:val="000000"/>
          <w:sz w:val="20"/>
          <w:szCs w:val="20"/>
        </w:rPr>
        <w:t>ome, e também com o Ministério do Trabalho, que é um processo de treinamento de pessoas do Bolsa Família para ingressar nas obras do PAC.  (...) E não é só para as obras do PAC, agora temos um programa desafiador,</w:t>
      </w:r>
      <w:r>
        <w:rPr>
          <w:rFonts w:ascii="Times New Roman" w:hAnsi="Times New Roman"/>
          <w:color w:val="000000"/>
          <w:sz w:val="20"/>
          <w:szCs w:val="20"/>
        </w:rPr>
        <w:t xml:space="preserve"> que é o Minha Casa, Minha Vida (Conselheiro Paulo Simão, Ata da 30ª Reunião Plenária, 04/06/09, p. 28).</w:t>
      </w:r>
    </w:p>
    <w:p w:rsidR="00837AC8" w:rsidRDefault="00837AC8" w:rsidP="00837AC8">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Em junho de 2008 – portanto um ano antes da intervenção de Paulo Simão na plenária do CDES – o conselheiro </w:t>
      </w:r>
      <w:r w:rsidR="00096253">
        <w:rPr>
          <w:rFonts w:ascii="Times New Roman" w:hAnsi="Times New Roman"/>
          <w:sz w:val="24"/>
          <w:szCs w:val="24"/>
        </w:rPr>
        <w:t>viajou</w:t>
      </w:r>
      <w:r>
        <w:rPr>
          <w:rFonts w:ascii="Times New Roman" w:hAnsi="Times New Roman"/>
          <w:sz w:val="24"/>
          <w:szCs w:val="24"/>
        </w:rPr>
        <w:t xml:space="preserve"> com a comitiva do CDES (no papel de instituição presidente da AICESIS), para a 97ª Conferência Internacional do Trabalho na OIT, em Genebra, para divulgar e angariar apoios, na reunião sobre “Construção Civil e Empregos Verdes”, para o PlanSeq Construção:</w:t>
      </w:r>
      <w:r>
        <w:rPr>
          <w:rStyle w:val="Refdenotaderodap"/>
          <w:rFonts w:ascii="Times New Roman" w:hAnsi="Times New Roman"/>
          <w:sz w:val="24"/>
          <w:szCs w:val="24"/>
        </w:rPr>
        <w:footnoteReference w:id="614"/>
      </w:r>
    </w:p>
    <w:p w:rsidR="00837AC8" w:rsidRPr="00B24A05" w:rsidRDefault="00837AC8" w:rsidP="00837AC8">
      <w:pPr>
        <w:autoSpaceDE w:val="0"/>
        <w:autoSpaceDN w:val="0"/>
        <w:adjustRightInd w:val="0"/>
        <w:spacing w:line="240" w:lineRule="auto"/>
        <w:ind w:left="2268"/>
        <w:jc w:val="both"/>
        <w:rPr>
          <w:rFonts w:ascii="Times New Roman" w:hAnsi="Times New Roman"/>
          <w:sz w:val="20"/>
          <w:szCs w:val="20"/>
        </w:rPr>
      </w:pPr>
      <w:r w:rsidRPr="00B24A05">
        <w:rPr>
          <w:rFonts w:ascii="Times New Roman" w:hAnsi="Times New Roman"/>
          <w:sz w:val="20"/>
          <w:szCs w:val="20"/>
        </w:rPr>
        <w:t>O Conselheiro do CDES Paulo Simão apresentou o projeto denominado PlanSeQ Construção, que é um programa de treinamento voltado a capacitar 250.000 mulheres e homens do programa Bolsa Família para as obras da construção do PAC, a serem realizadas em 13 regiões metropolitanas previamente escolhidas. (...) O projeto recebeu muitos elogios e foi solicitada à representante da OIT no Brasil, a Senhora Laís Abramo, que acompanhe de perto os trabalhos e mantenha a central devidamente informada dos resultados do projeto.</w:t>
      </w:r>
      <w:r>
        <w:rPr>
          <w:rStyle w:val="Refdenotaderodap"/>
          <w:rFonts w:ascii="Times New Roman" w:hAnsi="Times New Roman"/>
          <w:sz w:val="20"/>
          <w:szCs w:val="20"/>
        </w:rPr>
        <w:footnoteReference w:id="615"/>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Obviamente, o Programa procura responder às demandas caras ao empresariado da construção civil por remanejamento, absorção e treinamento de </w:t>
      </w:r>
      <w:r w:rsidR="00D056BE">
        <w:rPr>
          <w:rFonts w:ascii="Times New Roman" w:hAnsi="Times New Roman"/>
          <w:sz w:val="24"/>
          <w:szCs w:val="24"/>
        </w:rPr>
        <w:t>mão de obra</w:t>
      </w:r>
      <w:r>
        <w:rPr>
          <w:rFonts w:ascii="Times New Roman" w:hAnsi="Times New Roman"/>
          <w:sz w:val="24"/>
          <w:szCs w:val="24"/>
        </w:rPr>
        <w:t xml:space="preserve">, num movimento que prioriza a arregimentação de populações de grande vulnerabilidade social integrantes do Programa Bolsa Família em direção ao atendimento emergencial e transitório do complexo da indústria da construção, em sua expansão galopante durante os governos Lula da Silva, a qual corroborou a assunção de intelectuais orgânicos de seus aparelhos privados de hegemonia e de projetos do setor a algumas agências estatais responsáveis pelas políticas públicas consideradas promotoras do “desenvolvimento sustentável com inclusão social”. </w:t>
      </w:r>
    </w:p>
    <w:p w:rsidR="00837AC8" w:rsidRDefault="00837AC8" w:rsidP="00837AC8">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 xml:space="preserve">Perceba-se que, mais uma vez, por meio de fóruns promotores de acordos embasados no “diálogo social”, do qual o CDES é pioneiro e um dos carros-chefe nos governos Lula da Silva, </w:t>
      </w:r>
      <w:r w:rsidR="00096253">
        <w:rPr>
          <w:rFonts w:ascii="Times New Roman" w:hAnsi="Times New Roman"/>
          <w:sz w:val="24"/>
          <w:szCs w:val="24"/>
        </w:rPr>
        <w:t>diferentes setores d</w:t>
      </w:r>
      <w:r>
        <w:rPr>
          <w:rFonts w:ascii="Times New Roman" w:hAnsi="Times New Roman"/>
          <w:sz w:val="24"/>
          <w:szCs w:val="24"/>
        </w:rPr>
        <w:t>o capital encontra</w:t>
      </w:r>
      <w:r w:rsidR="00096253">
        <w:rPr>
          <w:rFonts w:ascii="Times New Roman" w:hAnsi="Times New Roman"/>
          <w:sz w:val="24"/>
          <w:szCs w:val="24"/>
        </w:rPr>
        <w:t>vam</w:t>
      </w:r>
      <w:r>
        <w:rPr>
          <w:rFonts w:ascii="Times New Roman" w:hAnsi="Times New Roman"/>
          <w:sz w:val="24"/>
          <w:szCs w:val="24"/>
        </w:rPr>
        <w:t xml:space="preserve"> caminhos de facilitação e/ou encurtamento para </w:t>
      </w:r>
      <w:r w:rsidR="00096253">
        <w:rPr>
          <w:rFonts w:ascii="Times New Roman" w:hAnsi="Times New Roman"/>
          <w:sz w:val="24"/>
          <w:szCs w:val="24"/>
        </w:rPr>
        <w:t xml:space="preserve">garantir </w:t>
      </w:r>
      <w:r w:rsidR="00D056BE">
        <w:rPr>
          <w:rFonts w:ascii="Times New Roman" w:hAnsi="Times New Roman"/>
          <w:sz w:val="24"/>
          <w:szCs w:val="24"/>
        </w:rPr>
        <w:t>o</w:t>
      </w:r>
      <w:r w:rsidR="00096253">
        <w:rPr>
          <w:rFonts w:ascii="Times New Roman" w:hAnsi="Times New Roman"/>
          <w:sz w:val="24"/>
          <w:szCs w:val="24"/>
        </w:rPr>
        <w:t xml:space="preserve"> “abastecimento” de mão de obra </w:t>
      </w:r>
      <w:r w:rsidR="00D056BE">
        <w:rPr>
          <w:rFonts w:ascii="Times New Roman" w:hAnsi="Times New Roman"/>
          <w:sz w:val="24"/>
          <w:szCs w:val="24"/>
        </w:rPr>
        <w:t>de</w:t>
      </w:r>
      <w:r>
        <w:rPr>
          <w:rFonts w:ascii="Times New Roman" w:hAnsi="Times New Roman"/>
          <w:sz w:val="24"/>
          <w:szCs w:val="24"/>
        </w:rPr>
        <w:t xml:space="preserve"> setores da classe trabalhadora com vistas a prepará-los tão-somente para a ocupação de postos de trabalho simples e não estruturantes, isto é, para o atendimento de eventos transitórios como a Copa do Mundo, as Olimpíadas ou de investimentos nas obras do PAC, todos de viés temporário e às custas da elevação da taxa de exploração da força de trabalho. Não há uma formação de natureza efetivamente profissional, que proporcione o domínio aprofundado e consistente de um campo científico e tecnológico, mas, ao contrário, trata-se da disponibilização de uma massa de reserva de trabalhadores acionável, manejável e descartável de acordo com o ciclo de negócios do empresariado. Na Revista Poli: Saúde, Educação e Trabalho, Ruy Braga sintetizou com perspicácia es</w:t>
      </w:r>
      <w:r w:rsidR="0037305F">
        <w:rPr>
          <w:rFonts w:ascii="Times New Roman" w:hAnsi="Times New Roman"/>
          <w:sz w:val="24"/>
          <w:szCs w:val="24"/>
        </w:rPr>
        <w:t>s</w:t>
      </w:r>
      <w:r>
        <w:rPr>
          <w:rFonts w:ascii="Times New Roman" w:hAnsi="Times New Roman"/>
          <w:sz w:val="24"/>
          <w:szCs w:val="24"/>
        </w:rPr>
        <w:t>e movimento:</w:t>
      </w:r>
    </w:p>
    <w:p w:rsidR="00837AC8" w:rsidRPr="00874CAA" w:rsidRDefault="00837AC8" w:rsidP="00837AC8">
      <w:pPr>
        <w:autoSpaceDE w:val="0"/>
        <w:autoSpaceDN w:val="0"/>
        <w:adjustRightInd w:val="0"/>
        <w:spacing w:after="0" w:line="240" w:lineRule="auto"/>
        <w:ind w:left="2268"/>
        <w:jc w:val="both"/>
        <w:rPr>
          <w:rFonts w:ascii="Times New Roman" w:hAnsi="Times New Roman"/>
          <w:color w:val="000000"/>
          <w:sz w:val="20"/>
          <w:szCs w:val="20"/>
        </w:rPr>
      </w:pPr>
      <w:r w:rsidRPr="00874CAA">
        <w:rPr>
          <w:rFonts w:ascii="Times New Roman" w:hAnsi="Times New Roman"/>
          <w:sz w:val="20"/>
          <w:szCs w:val="20"/>
        </w:rPr>
        <w:t>O que temos hoje é uma demanda das empresas para que o Estado atue, por intermédio de políticas públicas, como o principal instrumento de garantia e manutenção dessa população excedente às necessidades imediatas das empresas porque elas querem contar com esse pessoal para entrar no mercado de trabalho quando puderem aproveitar o ciclo de negócios e investimentos (...) Nesse sentido, as políticas de formação são políticas de administração da superpopulação relativa em benefício, evidentemente, das empresas.</w:t>
      </w:r>
      <w:r>
        <w:rPr>
          <w:rStyle w:val="Refdenotaderodap"/>
          <w:rFonts w:ascii="Times New Roman" w:hAnsi="Times New Roman"/>
          <w:sz w:val="20"/>
          <w:szCs w:val="20"/>
        </w:rPr>
        <w:footnoteReference w:id="616"/>
      </w:r>
    </w:p>
    <w:p w:rsidR="00837AC8" w:rsidRDefault="00837AC8" w:rsidP="00837AC8">
      <w:pPr>
        <w:autoSpaceDE w:val="0"/>
        <w:autoSpaceDN w:val="0"/>
        <w:adjustRightInd w:val="0"/>
        <w:spacing w:after="0" w:line="240" w:lineRule="auto"/>
        <w:rPr>
          <w:rFonts w:ascii="Times New Roman" w:hAnsi="Times New Roman"/>
          <w:color w:val="000000"/>
          <w:sz w:val="24"/>
          <w:szCs w:val="24"/>
        </w:rPr>
      </w:pPr>
    </w:p>
    <w:p w:rsidR="00837AC8" w:rsidRDefault="00837AC8" w:rsidP="00837AC8">
      <w:pPr>
        <w:autoSpaceDE w:val="0"/>
        <w:autoSpaceDN w:val="0"/>
        <w:adjustRightInd w:val="0"/>
        <w:spacing w:after="0" w:line="360" w:lineRule="auto"/>
        <w:jc w:val="both"/>
        <w:rPr>
          <w:rFonts w:ascii="Times New Roman" w:hAnsi="Times New Roman"/>
          <w:sz w:val="24"/>
          <w:szCs w:val="24"/>
        </w:rPr>
      </w:pPr>
      <w:r>
        <w:rPr>
          <w:rFonts w:ascii="TTE15CFED0t00" w:hAnsi="TTE15CFED0t00" w:cs="TTE15CFED0t00"/>
          <w:sz w:val="20"/>
          <w:szCs w:val="20"/>
        </w:rPr>
        <w:tab/>
      </w:r>
      <w:r w:rsidRPr="00082ED7">
        <w:rPr>
          <w:rFonts w:ascii="Times New Roman" w:hAnsi="Times New Roman"/>
          <w:sz w:val="24"/>
          <w:szCs w:val="24"/>
        </w:rPr>
        <w:t xml:space="preserve">A estupefação </w:t>
      </w:r>
      <w:r>
        <w:rPr>
          <w:rFonts w:ascii="Times New Roman" w:hAnsi="Times New Roman"/>
          <w:sz w:val="24"/>
          <w:szCs w:val="24"/>
        </w:rPr>
        <w:t xml:space="preserve">maior (se se permite ainda espaço para espantos) fica a cargo da posição extremamente </w:t>
      </w:r>
      <w:r w:rsidR="00812F7E">
        <w:rPr>
          <w:rFonts w:ascii="Times New Roman" w:hAnsi="Times New Roman"/>
          <w:sz w:val="24"/>
          <w:szCs w:val="24"/>
        </w:rPr>
        <w:t>potenciadora</w:t>
      </w:r>
      <w:r>
        <w:rPr>
          <w:rFonts w:ascii="Times New Roman" w:hAnsi="Times New Roman"/>
          <w:sz w:val="24"/>
          <w:szCs w:val="24"/>
        </w:rPr>
        <w:t xml:space="preserve"> às determinações rapineiras do capital em que se defende e </w:t>
      </w:r>
      <w:r w:rsidR="00812F7E">
        <w:rPr>
          <w:rFonts w:ascii="Times New Roman" w:hAnsi="Times New Roman"/>
          <w:sz w:val="24"/>
          <w:szCs w:val="24"/>
        </w:rPr>
        <w:t>promove</w:t>
      </w:r>
      <w:r>
        <w:rPr>
          <w:rFonts w:ascii="Times New Roman" w:hAnsi="Times New Roman"/>
          <w:sz w:val="24"/>
          <w:szCs w:val="24"/>
        </w:rPr>
        <w:t xml:space="preserve">, de forma </w:t>
      </w:r>
      <w:r w:rsidR="00812F7E">
        <w:rPr>
          <w:rFonts w:ascii="Times New Roman" w:hAnsi="Times New Roman"/>
          <w:sz w:val="24"/>
          <w:szCs w:val="24"/>
        </w:rPr>
        <w:t>astuciosa</w:t>
      </w:r>
      <w:r>
        <w:rPr>
          <w:rFonts w:ascii="Times New Roman" w:hAnsi="Times New Roman"/>
          <w:sz w:val="24"/>
          <w:szCs w:val="24"/>
        </w:rPr>
        <w:t xml:space="preserve">, o encontro benevolente entre a “inclusão produtiva” e o aumento da competitividade empresarial. Como relação vantajosa para ambas as partes, a ideologia pactuadora </w:t>
      </w:r>
      <w:r>
        <w:rPr>
          <w:rFonts w:ascii="Times New Roman" w:hAnsi="Times New Roman"/>
          <w:i/>
          <w:sz w:val="24"/>
          <w:szCs w:val="24"/>
        </w:rPr>
        <w:t>precisa</w:t>
      </w:r>
      <w:r>
        <w:rPr>
          <w:rFonts w:ascii="Times New Roman" w:hAnsi="Times New Roman"/>
          <w:sz w:val="24"/>
          <w:szCs w:val="24"/>
        </w:rPr>
        <w:t xml:space="preserve"> encontrar atendimento a direitos onde há  exploração, enxergar ganhos onde há expropriação, realçar emancipação onde há subalternização, bradar pela inclusão </w:t>
      </w:r>
      <w:r w:rsidR="00D056BE">
        <w:rPr>
          <w:rFonts w:ascii="Times New Roman" w:hAnsi="Times New Roman"/>
          <w:sz w:val="24"/>
          <w:szCs w:val="24"/>
        </w:rPr>
        <w:t>quando predomina a precarização. O</w:t>
      </w:r>
      <w:r>
        <w:rPr>
          <w:rFonts w:ascii="Times New Roman" w:hAnsi="Times New Roman"/>
          <w:sz w:val="24"/>
          <w:szCs w:val="24"/>
        </w:rPr>
        <w:t xml:space="preserve">u seja, posicionar possuidores e despossuídos como agentes econômicos necessariamente complementares e afins, reapropriação ideológica da lei neoclássica de interesses mútuos entre a oferta e a procura como orientação de condução das formas de gerenciamento dos conflitos entre as classes sociais fundamentais, sobressaindo a pavimentação não apenas para o apassivamento da classe trabalhadora, mas para a introjeção de modos de vida e de visão de mundo caras ao sujeito social antagonista:  </w:t>
      </w:r>
    </w:p>
    <w:p w:rsidR="00837AC8" w:rsidRPr="00082ED7" w:rsidRDefault="00837AC8" w:rsidP="00837AC8">
      <w:pPr>
        <w:tabs>
          <w:tab w:val="left" w:pos="7168"/>
        </w:tabs>
        <w:autoSpaceDE w:val="0"/>
        <w:autoSpaceDN w:val="0"/>
        <w:adjustRightInd w:val="0"/>
        <w:spacing w:after="0" w:line="240" w:lineRule="auto"/>
        <w:rPr>
          <w:rFonts w:ascii="Times New Roman" w:hAnsi="Times New Roman"/>
          <w:sz w:val="24"/>
          <w:szCs w:val="24"/>
        </w:rPr>
      </w:pPr>
    </w:p>
    <w:p w:rsidR="00837AC8" w:rsidRDefault="00837AC8" w:rsidP="00837AC8">
      <w:pPr>
        <w:autoSpaceDE w:val="0"/>
        <w:autoSpaceDN w:val="0"/>
        <w:adjustRightInd w:val="0"/>
        <w:spacing w:after="0" w:line="240" w:lineRule="auto"/>
        <w:ind w:left="2268"/>
        <w:jc w:val="both"/>
        <w:rPr>
          <w:rFonts w:ascii="Times New Roman" w:hAnsi="Times New Roman"/>
          <w:sz w:val="20"/>
          <w:szCs w:val="20"/>
        </w:rPr>
      </w:pPr>
      <w:r w:rsidRPr="00082ED7">
        <w:rPr>
          <w:rFonts w:ascii="Times New Roman" w:hAnsi="Times New Roman"/>
          <w:sz w:val="20"/>
          <w:szCs w:val="20"/>
        </w:rPr>
        <w:t xml:space="preserve">É claro que temos trabalhadores de baixa renda, famílias organizadas, constituídas e estamos priorizando com muito vigor as políticas de capacitação profissional, de qualificação, de </w:t>
      </w:r>
      <w:r w:rsidRPr="00021FBD">
        <w:rPr>
          <w:rFonts w:ascii="Times New Roman" w:hAnsi="Times New Roman"/>
          <w:b/>
          <w:sz w:val="20"/>
          <w:szCs w:val="20"/>
        </w:rPr>
        <w:t>inclusão produtiva</w:t>
      </w:r>
      <w:r w:rsidRPr="00082ED7">
        <w:rPr>
          <w:rFonts w:ascii="Times New Roman" w:hAnsi="Times New Roman"/>
          <w:sz w:val="20"/>
          <w:szCs w:val="20"/>
        </w:rPr>
        <w:t xml:space="preserve">, integrando com as possibilidades do PAC, com as possibilidades de desenvolvimento regional, com os arranjos produtivos locais, </w:t>
      </w:r>
      <w:r w:rsidRPr="00CD006D">
        <w:rPr>
          <w:rFonts w:ascii="Times New Roman" w:hAnsi="Times New Roman"/>
          <w:b/>
          <w:sz w:val="20"/>
          <w:szCs w:val="20"/>
        </w:rPr>
        <w:t>formação de empreendedores</w:t>
      </w:r>
      <w:r w:rsidRPr="00082ED7">
        <w:rPr>
          <w:rFonts w:ascii="Times New Roman" w:hAnsi="Times New Roman"/>
          <w:sz w:val="20"/>
          <w:szCs w:val="20"/>
        </w:rPr>
        <w:t xml:space="preserve">, </w:t>
      </w:r>
      <w:r w:rsidRPr="00CD006D">
        <w:rPr>
          <w:rFonts w:ascii="Times New Roman" w:hAnsi="Times New Roman"/>
          <w:b/>
          <w:sz w:val="20"/>
          <w:szCs w:val="20"/>
        </w:rPr>
        <w:t>cooperativismo</w:t>
      </w:r>
      <w:r w:rsidRPr="00082ED7">
        <w:rPr>
          <w:rFonts w:ascii="Times New Roman" w:hAnsi="Times New Roman"/>
          <w:sz w:val="20"/>
          <w:szCs w:val="20"/>
        </w:rPr>
        <w:t xml:space="preserve">, </w:t>
      </w:r>
      <w:r w:rsidRPr="00021FBD">
        <w:rPr>
          <w:rFonts w:ascii="Times New Roman" w:hAnsi="Times New Roman"/>
          <w:b/>
          <w:sz w:val="20"/>
          <w:szCs w:val="20"/>
        </w:rPr>
        <w:t>nessa linha emancipatória</w:t>
      </w:r>
      <w:r w:rsidRPr="00082ED7">
        <w:rPr>
          <w:rFonts w:ascii="Times New Roman" w:hAnsi="Times New Roman"/>
          <w:sz w:val="20"/>
          <w:szCs w:val="20"/>
        </w:rPr>
        <w:t xml:space="preserve"> que eu penso que é o foco desse segundo</w:t>
      </w:r>
      <w:r>
        <w:rPr>
          <w:rFonts w:ascii="Times New Roman" w:hAnsi="Times New Roman"/>
          <w:sz w:val="20"/>
          <w:szCs w:val="20"/>
        </w:rPr>
        <w:t xml:space="preserve"> momento em que estamos vivendo (Ministro Patrus Ananias, </w:t>
      </w:r>
      <w:r>
        <w:rPr>
          <w:rFonts w:ascii="Times New Roman" w:hAnsi="Times New Roman"/>
          <w:color w:val="000000"/>
          <w:sz w:val="20"/>
          <w:szCs w:val="20"/>
        </w:rPr>
        <w:t>Ata da 30ª Reunião Plenária, 04/06/09, p. 32 – grifos meus).</w:t>
      </w:r>
    </w:p>
    <w:p w:rsidR="00837AC8" w:rsidRDefault="00837AC8" w:rsidP="00837AC8">
      <w:pPr>
        <w:autoSpaceDE w:val="0"/>
        <w:autoSpaceDN w:val="0"/>
        <w:adjustRightInd w:val="0"/>
        <w:spacing w:after="0" w:line="240" w:lineRule="auto"/>
        <w:ind w:left="2268"/>
        <w:jc w:val="both"/>
        <w:rPr>
          <w:rFonts w:ascii="Times New Roman" w:hAnsi="Times New Roman"/>
          <w:sz w:val="20"/>
          <w:szCs w:val="20"/>
        </w:rPr>
      </w:pPr>
    </w:p>
    <w:p w:rsidR="00837AC8" w:rsidRPr="000118FC" w:rsidRDefault="00837AC8" w:rsidP="000118FC">
      <w:pPr>
        <w:spacing w:after="0" w:line="360" w:lineRule="auto"/>
        <w:ind w:firstLine="708"/>
        <w:jc w:val="both"/>
        <w:rPr>
          <w:rFonts w:ascii="Times New Roman" w:hAnsi="Times New Roman"/>
          <w:sz w:val="24"/>
          <w:szCs w:val="24"/>
        </w:rPr>
      </w:pPr>
      <w:r>
        <w:rPr>
          <w:rFonts w:ascii="Times New Roman" w:hAnsi="Times New Roman"/>
          <w:sz w:val="24"/>
          <w:szCs w:val="24"/>
        </w:rPr>
        <w:t>Desta maneira, uma das funções precípuas do CDES era trabalhar processualmente para que se criasse</w:t>
      </w:r>
      <w:r w:rsidRPr="00354F8E">
        <w:rPr>
          <w:rFonts w:ascii="Times New Roman" w:hAnsi="Times New Roman"/>
          <w:sz w:val="24"/>
          <w:szCs w:val="24"/>
        </w:rPr>
        <w:t xml:space="preserve"> a </w:t>
      </w:r>
      <w:r>
        <w:rPr>
          <w:rFonts w:ascii="Times New Roman" w:hAnsi="Times New Roman"/>
          <w:sz w:val="24"/>
          <w:szCs w:val="24"/>
        </w:rPr>
        <w:t>imagem</w:t>
      </w:r>
      <w:r w:rsidRPr="00354F8E">
        <w:rPr>
          <w:rFonts w:ascii="Times New Roman" w:hAnsi="Times New Roman"/>
          <w:sz w:val="24"/>
          <w:szCs w:val="24"/>
        </w:rPr>
        <w:t xml:space="preserve"> deque a</w:t>
      </w:r>
      <w:r>
        <w:rPr>
          <w:rFonts w:ascii="Times New Roman" w:hAnsi="Times New Roman"/>
          <w:sz w:val="24"/>
          <w:szCs w:val="24"/>
        </w:rPr>
        <w:t xml:space="preserve"> relação capital-trabalho pudesse (quase) sempre </w:t>
      </w:r>
      <w:r w:rsidRPr="00354F8E">
        <w:rPr>
          <w:rFonts w:ascii="Times New Roman" w:hAnsi="Times New Roman"/>
          <w:sz w:val="24"/>
          <w:szCs w:val="24"/>
        </w:rPr>
        <w:t xml:space="preserve">convergir </w:t>
      </w:r>
      <w:r>
        <w:rPr>
          <w:rFonts w:ascii="Times New Roman" w:hAnsi="Times New Roman"/>
          <w:sz w:val="24"/>
          <w:szCs w:val="24"/>
        </w:rPr>
        <w:t>para</w:t>
      </w:r>
      <w:r w:rsidRPr="00354F8E">
        <w:rPr>
          <w:rFonts w:ascii="Times New Roman" w:hAnsi="Times New Roman"/>
          <w:sz w:val="24"/>
          <w:szCs w:val="24"/>
        </w:rPr>
        <w:t xml:space="preserve"> tentativa</w:t>
      </w:r>
      <w:r>
        <w:rPr>
          <w:rFonts w:ascii="Times New Roman" w:hAnsi="Times New Roman"/>
          <w:sz w:val="24"/>
          <w:szCs w:val="24"/>
        </w:rPr>
        <w:t>s</w:t>
      </w:r>
      <w:r w:rsidRPr="00354F8E">
        <w:rPr>
          <w:rFonts w:ascii="Times New Roman" w:hAnsi="Times New Roman"/>
          <w:sz w:val="24"/>
          <w:szCs w:val="24"/>
        </w:rPr>
        <w:t xml:space="preserve"> de ganhos mútuos. </w:t>
      </w:r>
      <w:r>
        <w:rPr>
          <w:rFonts w:ascii="Times New Roman" w:hAnsi="Times New Roman"/>
          <w:sz w:val="24"/>
          <w:szCs w:val="24"/>
        </w:rPr>
        <w:t xml:space="preserve">Como arena de </w:t>
      </w:r>
      <w:r w:rsidR="00812F7E">
        <w:rPr>
          <w:rFonts w:ascii="Times New Roman" w:hAnsi="Times New Roman"/>
          <w:i/>
          <w:sz w:val="24"/>
          <w:szCs w:val="24"/>
        </w:rPr>
        <w:t xml:space="preserve">prevenção e </w:t>
      </w:r>
      <w:r>
        <w:rPr>
          <w:rFonts w:ascii="Times New Roman" w:hAnsi="Times New Roman"/>
          <w:i/>
          <w:sz w:val="24"/>
          <w:szCs w:val="24"/>
        </w:rPr>
        <w:t xml:space="preserve">administração de conflitos, </w:t>
      </w:r>
      <w:r>
        <w:rPr>
          <w:rFonts w:ascii="Times New Roman" w:hAnsi="Times New Roman"/>
          <w:sz w:val="24"/>
          <w:szCs w:val="24"/>
        </w:rPr>
        <w:t xml:space="preserve">as divergências sociais eram deslocadas para o terreno onde supostamente todos pudessem ganhar, típica manifestação do </w:t>
      </w:r>
      <w:r w:rsidRPr="00B577E1">
        <w:rPr>
          <w:rFonts w:ascii="Times New Roman" w:hAnsi="Times New Roman"/>
          <w:i/>
          <w:sz w:val="24"/>
          <w:szCs w:val="24"/>
        </w:rPr>
        <w:t>idealismo burguês</w:t>
      </w:r>
      <w:r>
        <w:rPr>
          <w:rFonts w:ascii="Times New Roman" w:hAnsi="Times New Roman"/>
          <w:sz w:val="24"/>
          <w:szCs w:val="24"/>
        </w:rPr>
        <w:t>, sobre o qual nos ensina Florestan</w:t>
      </w:r>
      <w:r w:rsidRPr="00B577E1">
        <w:rPr>
          <w:rFonts w:ascii="Times New Roman" w:hAnsi="Times New Roman"/>
          <w:sz w:val="20"/>
          <w:szCs w:val="20"/>
        </w:rPr>
        <w:t>.</w:t>
      </w:r>
      <w:r>
        <w:rPr>
          <w:rStyle w:val="Refdenotaderodap"/>
          <w:rFonts w:ascii="Times New Roman" w:hAnsi="Times New Roman"/>
          <w:sz w:val="20"/>
          <w:szCs w:val="20"/>
        </w:rPr>
        <w:footnoteReference w:id="617"/>
      </w:r>
    </w:p>
    <w:p w:rsidR="00837AC8" w:rsidRDefault="00837AC8" w:rsidP="00837AC8">
      <w:pPr>
        <w:spacing w:after="0" w:line="360" w:lineRule="auto"/>
        <w:ind w:firstLine="708"/>
        <w:jc w:val="both"/>
        <w:rPr>
          <w:rFonts w:ascii="Times New Roman" w:hAnsi="Times New Roman"/>
          <w:sz w:val="24"/>
          <w:szCs w:val="24"/>
        </w:rPr>
      </w:pPr>
      <w:r>
        <w:rPr>
          <w:rFonts w:ascii="Times New Roman" w:hAnsi="Times New Roman"/>
          <w:sz w:val="24"/>
          <w:szCs w:val="24"/>
        </w:rPr>
        <w:t xml:space="preserve">Na verdade, deve-se atentar para o fato de que, em contextos de recuperação de crescimento econômico, calcados principalmente em setores do capital de intensiva utilização de </w:t>
      </w:r>
      <w:r w:rsidR="00D056BE">
        <w:rPr>
          <w:rFonts w:ascii="Times New Roman" w:hAnsi="Times New Roman"/>
          <w:sz w:val="24"/>
          <w:szCs w:val="24"/>
        </w:rPr>
        <w:t>mão de obra</w:t>
      </w:r>
      <w:r>
        <w:rPr>
          <w:rFonts w:ascii="Times New Roman" w:hAnsi="Times New Roman"/>
          <w:sz w:val="24"/>
          <w:szCs w:val="24"/>
        </w:rPr>
        <w:t xml:space="preserve">, como é o caso da construção civil, as barreiras jurídico-legais e fiscalizatórias do Estado, quando existem e atuam, recuam </w:t>
      </w:r>
      <w:r w:rsidR="00F729D2">
        <w:rPr>
          <w:rFonts w:ascii="Times New Roman" w:hAnsi="Times New Roman"/>
          <w:sz w:val="24"/>
          <w:szCs w:val="24"/>
        </w:rPr>
        <w:t>em meio a</w:t>
      </w:r>
      <w:r>
        <w:rPr>
          <w:rFonts w:ascii="Times New Roman" w:hAnsi="Times New Roman"/>
          <w:sz w:val="24"/>
          <w:szCs w:val="24"/>
        </w:rPr>
        <w:t>o avanço predatório e subhumano das condições de exploração por parte das empresas e se tornam mais débeis e de difícil alcance regulador. A luta se torna ainda mais árdua e de difícil solução para o campo popular quando se encontra em situações de ofensiva (coercitiva ou conse</w:t>
      </w:r>
      <w:r w:rsidR="00BE7F77">
        <w:rPr>
          <w:rFonts w:ascii="Times New Roman" w:hAnsi="Times New Roman"/>
          <w:sz w:val="24"/>
          <w:szCs w:val="24"/>
        </w:rPr>
        <w:t>nsual</w:t>
      </w:r>
      <w:r w:rsidR="000118FC">
        <w:rPr>
          <w:rFonts w:ascii="Times New Roman" w:hAnsi="Times New Roman"/>
          <w:sz w:val="24"/>
          <w:szCs w:val="24"/>
        </w:rPr>
        <w:t xml:space="preserve">) de setores do capital </w:t>
      </w:r>
      <w:r>
        <w:rPr>
          <w:rFonts w:ascii="Times New Roman" w:hAnsi="Times New Roman"/>
          <w:sz w:val="24"/>
          <w:szCs w:val="24"/>
        </w:rPr>
        <w:t>cada vez mais fortemente organizados na sociedade civil e galgando posições estratégicas, decisivas no interior da sociedade política e, por outro l</w:t>
      </w:r>
      <w:r w:rsidR="000118FC">
        <w:rPr>
          <w:rFonts w:ascii="Times New Roman" w:hAnsi="Times New Roman"/>
          <w:sz w:val="24"/>
          <w:szCs w:val="24"/>
        </w:rPr>
        <w:t>ado, quando são estreitíssimas</w:t>
      </w:r>
      <w:r>
        <w:rPr>
          <w:rFonts w:ascii="Times New Roman" w:hAnsi="Times New Roman"/>
          <w:sz w:val="24"/>
          <w:szCs w:val="24"/>
        </w:rPr>
        <w:t xml:space="preserve"> as margens de concessões (políticas e sociais) às parcelas mais precarizadas dos trabalhadores.</w:t>
      </w:r>
    </w:p>
    <w:p w:rsidR="00837AC8" w:rsidRDefault="00837AC8" w:rsidP="00837AC8">
      <w:pPr>
        <w:spacing w:after="0" w:line="360" w:lineRule="auto"/>
        <w:ind w:firstLine="708"/>
        <w:jc w:val="both"/>
        <w:rPr>
          <w:rFonts w:ascii="Times New Roman" w:hAnsi="Times New Roman"/>
          <w:sz w:val="24"/>
          <w:szCs w:val="24"/>
        </w:rPr>
      </w:pPr>
      <w:r>
        <w:rPr>
          <w:rFonts w:ascii="Times New Roman" w:hAnsi="Times New Roman"/>
          <w:sz w:val="24"/>
          <w:szCs w:val="24"/>
        </w:rPr>
        <w:t xml:space="preserve">Assim, em alguns projetos de megaempreendimentos de infraestrutura levados a cabo pelo governo federal, em “parceria” com o setor privado e sob excessiva licenciosidade das burocracias sindicais frente às terceirizações e subcontratações (insistindo nas “contrapartidas sociais” para realização das obras) retorna à cena a </w:t>
      </w:r>
      <w:r w:rsidR="000118FC">
        <w:rPr>
          <w:rFonts w:ascii="Times New Roman" w:hAnsi="Times New Roman"/>
          <w:sz w:val="24"/>
          <w:szCs w:val="24"/>
        </w:rPr>
        <w:t>evidência d</w:t>
      </w:r>
      <w:r>
        <w:rPr>
          <w:rFonts w:ascii="Times New Roman" w:hAnsi="Times New Roman"/>
          <w:sz w:val="24"/>
          <w:szCs w:val="24"/>
        </w:rPr>
        <w:t>o caráter historicamente despótico e autocrático das burguesias brasileiras na forma de ondas disruptivas causadas por paralisações, greves e rebeliões nos canteiros de trabalho das principais obras do PAC, em 2011, nas Hidrelétricas de Jirau e de Santo (RO), de São Domingos (MS), em frentes de trabalho na Bahia e Ceará, no Complexo Petroquímico de Suape (PE), sem contar outras ocorridas em 2012 no Complexo Petroquímico do Rio de Janeiro (Comperj), e novas paralisações em Suape, Jirau, etc. Deve-se observar que, ainda em 2009, a denúncia da situação de trabalhadores que viviam sob condição análoga a escravidão havia circulado nos noticiários:</w:t>
      </w:r>
    </w:p>
    <w:p w:rsidR="00837AC8" w:rsidRPr="00CD386B" w:rsidRDefault="00837AC8" w:rsidP="00837AC8">
      <w:pPr>
        <w:spacing w:after="0" w:line="240" w:lineRule="auto"/>
        <w:ind w:left="2268"/>
        <w:jc w:val="both"/>
        <w:rPr>
          <w:rFonts w:ascii="Times New Roman" w:hAnsi="Times New Roman"/>
          <w:color w:val="535353"/>
          <w:sz w:val="18"/>
          <w:szCs w:val="18"/>
        </w:rPr>
      </w:pPr>
      <w:r w:rsidRPr="007136DD">
        <w:rPr>
          <w:rFonts w:ascii="Times New Roman" w:hAnsi="Times New Roman"/>
          <w:sz w:val="20"/>
          <w:szCs w:val="20"/>
        </w:rPr>
        <w:t xml:space="preserve">Durante a última greve dos trabalhadores das obras de Jirau e Santo Antonio, eles afirmaram que </w:t>
      </w:r>
      <w:r w:rsidR="00095250">
        <w:rPr>
          <w:rFonts w:ascii="Times New Roman" w:hAnsi="Times New Roman"/>
          <w:sz w:val="20"/>
          <w:szCs w:val="20"/>
        </w:rPr>
        <w:t>“</w:t>
      </w:r>
      <w:r w:rsidRPr="007136DD">
        <w:rPr>
          <w:rFonts w:ascii="Times New Roman" w:hAnsi="Times New Roman"/>
          <w:sz w:val="20"/>
          <w:szCs w:val="20"/>
        </w:rPr>
        <w:t>ficar lá é ficar no inferno</w:t>
      </w:r>
      <w:r w:rsidR="00095250">
        <w:rPr>
          <w:rFonts w:ascii="Times New Roman" w:hAnsi="Times New Roman"/>
          <w:sz w:val="20"/>
          <w:szCs w:val="20"/>
        </w:rPr>
        <w:t>”</w:t>
      </w:r>
      <w:r w:rsidRPr="007136DD">
        <w:rPr>
          <w:rFonts w:ascii="Times New Roman" w:hAnsi="Times New Roman"/>
          <w:sz w:val="20"/>
          <w:szCs w:val="20"/>
        </w:rPr>
        <w:t xml:space="preserve"> e denunciaram que o alojamento é apertado para a quantidade de homens hospedados; que o preço pago pela hora de serviço, além de ser baixíssimo, nem sempre cobre todas as horas extras trabalhadas e que ficam à mercê dos controladores, já que não têm acesso aos registros das horas trabalhadas</w:t>
      </w:r>
      <w:r w:rsidRPr="00CD386B">
        <w:rPr>
          <w:rFonts w:ascii="Times New Roman" w:hAnsi="Times New Roman"/>
          <w:color w:val="535353"/>
          <w:sz w:val="18"/>
          <w:szCs w:val="18"/>
        </w:rPr>
        <w:t>.</w:t>
      </w:r>
      <w:r w:rsidRPr="00CD386B">
        <w:rPr>
          <w:rStyle w:val="Refdenotaderodap"/>
          <w:rFonts w:ascii="Times New Roman" w:hAnsi="Times New Roman"/>
          <w:color w:val="535353"/>
          <w:sz w:val="18"/>
          <w:szCs w:val="18"/>
        </w:rPr>
        <w:footnoteReference w:id="618"/>
      </w:r>
    </w:p>
    <w:p w:rsidR="00837AC8" w:rsidRDefault="00837AC8" w:rsidP="00837AC8">
      <w:pPr>
        <w:spacing w:after="0" w:line="240" w:lineRule="auto"/>
        <w:ind w:left="2268"/>
        <w:jc w:val="both"/>
        <w:rPr>
          <w:rFonts w:ascii="Times New Roman" w:hAnsi="Times New Roman"/>
          <w:sz w:val="24"/>
          <w:szCs w:val="24"/>
        </w:rPr>
      </w:pPr>
    </w:p>
    <w:p w:rsidR="00837AC8" w:rsidRDefault="00837AC8" w:rsidP="00837AC8">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Esta é a demonstração concreta e cabal do “crescente divórcio”, nas palavras de Florestan, “que se dá entre a ideologia e a utopia burguesas e a realidade criada pela dominação burguesa”</w:t>
      </w:r>
      <w:r w:rsidR="000118FC">
        <w:rPr>
          <w:rStyle w:val="Refdenotaderodap"/>
          <w:rFonts w:ascii="Times New Roman" w:hAnsi="Times New Roman"/>
          <w:sz w:val="24"/>
          <w:szCs w:val="24"/>
        </w:rPr>
        <w:footnoteReference w:id="619"/>
      </w:r>
      <w:r>
        <w:rPr>
          <w:rFonts w:ascii="Times New Roman" w:hAnsi="Times New Roman"/>
          <w:sz w:val="24"/>
          <w:szCs w:val="24"/>
        </w:rPr>
        <w:t xml:space="preserve"> e esvazia de sentido e conteúdo quaisquer traços de humanização e democratização das relações de trabalho sob a égide do capital, factível apenas como sustentáculo necessário do </w:t>
      </w:r>
      <w:r w:rsidRPr="00B17B32">
        <w:rPr>
          <w:rFonts w:ascii="Times New Roman" w:hAnsi="Times New Roman"/>
          <w:i/>
          <w:sz w:val="24"/>
          <w:szCs w:val="24"/>
        </w:rPr>
        <w:t>idealismo burguês</w:t>
      </w:r>
      <w:r>
        <w:rPr>
          <w:rFonts w:ascii="Times New Roman" w:hAnsi="Times New Roman"/>
          <w:sz w:val="24"/>
          <w:szCs w:val="24"/>
        </w:rPr>
        <w:t xml:space="preserve"> em tempos </w:t>
      </w:r>
      <w:r w:rsidR="000118FC">
        <w:rPr>
          <w:rFonts w:ascii="Times New Roman" w:hAnsi="Times New Roman"/>
          <w:sz w:val="24"/>
          <w:szCs w:val="24"/>
        </w:rPr>
        <w:t xml:space="preserve">de </w:t>
      </w:r>
      <w:r>
        <w:rPr>
          <w:rFonts w:ascii="Times New Roman" w:hAnsi="Times New Roman"/>
          <w:sz w:val="24"/>
          <w:szCs w:val="24"/>
        </w:rPr>
        <w:t>intensificação das formas de exploração, expropriação e precarização da exis</w:t>
      </w:r>
      <w:r w:rsidR="000118FC">
        <w:rPr>
          <w:rFonts w:ascii="Times New Roman" w:hAnsi="Times New Roman"/>
          <w:sz w:val="24"/>
          <w:szCs w:val="24"/>
        </w:rPr>
        <w:t>tência social dos trabalhadores, sob forma de “democracia”.</w:t>
      </w:r>
    </w:p>
    <w:p w:rsidR="00837AC8" w:rsidRPr="006B333A" w:rsidRDefault="00095250" w:rsidP="006B333A">
      <w:pPr>
        <w:pStyle w:val="PargrafodaLista"/>
        <w:numPr>
          <w:ilvl w:val="1"/>
          <w:numId w:val="27"/>
        </w:numPr>
        <w:autoSpaceDE w:val="0"/>
        <w:autoSpaceDN w:val="0"/>
        <w:adjustRightInd w:val="0"/>
        <w:spacing w:line="360" w:lineRule="auto"/>
        <w:jc w:val="both"/>
        <w:rPr>
          <w:rFonts w:ascii="Times New Roman" w:hAnsi="Times New Roman"/>
          <w:b/>
          <w:sz w:val="24"/>
          <w:szCs w:val="24"/>
        </w:rPr>
      </w:pPr>
      <w:r w:rsidRPr="006B333A">
        <w:rPr>
          <w:rFonts w:ascii="Times New Roman" w:hAnsi="Times New Roman"/>
          <w:b/>
          <w:sz w:val="24"/>
          <w:szCs w:val="24"/>
        </w:rPr>
        <w:t>–</w:t>
      </w:r>
      <w:r w:rsidR="00837AC8" w:rsidRPr="006B333A">
        <w:rPr>
          <w:rFonts w:ascii="Times New Roman" w:hAnsi="Times New Roman"/>
          <w:b/>
          <w:sz w:val="24"/>
          <w:szCs w:val="24"/>
        </w:rPr>
        <w:t xml:space="preserve"> Conclusão</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O propósito deste capítulo foi trabalhar com a hipótese de que o CDES, nos anos 2008 e 2009, atribuiu-se o papel de funcionar como </w:t>
      </w:r>
      <w:r w:rsidRPr="00A343D8">
        <w:rPr>
          <w:rFonts w:ascii="Times New Roman" w:hAnsi="Times New Roman"/>
          <w:i/>
          <w:sz w:val="24"/>
          <w:szCs w:val="24"/>
        </w:rPr>
        <w:t>comitê, célula ou câmara de gestão da crise econômica internacional</w:t>
      </w:r>
      <w:r>
        <w:rPr>
          <w:rFonts w:ascii="Times New Roman" w:hAnsi="Times New Roman"/>
          <w:sz w:val="24"/>
          <w:szCs w:val="24"/>
        </w:rPr>
        <w:t xml:space="preserve"> no Brasil. De certo, como vimos, ainda que de forma não exaustiva, outras agências da sociedade civil (Febraban) e política (GAC/MF) também trabalharam nes</w:t>
      </w:r>
      <w:r w:rsidR="0037305F">
        <w:rPr>
          <w:rFonts w:ascii="Times New Roman" w:hAnsi="Times New Roman"/>
          <w:sz w:val="24"/>
          <w:szCs w:val="24"/>
        </w:rPr>
        <w:t>s</w:t>
      </w:r>
      <w:r>
        <w:rPr>
          <w:rFonts w:ascii="Times New Roman" w:hAnsi="Times New Roman"/>
          <w:sz w:val="24"/>
          <w:szCs w:val="24"/>
        </w:rPr>
        <w:t xml:space="preserve">e sentido e, conforme também mostramos, sob o trânsito e influência de muitos  empresários do CDES. </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 marca diferencial do CDES, contudo, deriva de sua peculiaridade constitutiva: de um lado, como arena que se apresenta como aglutinadora de representação de interesses híbridos (não antagônicos), traz um crônico componente empresarial de peso numérico significativo e de considerável capacidade articuladora nas determinações centrais dos programas expedidos pelo Conselho; de outro lado, reveste as formas de obtenção da hegemonia social pelo </w:t>
      </w:r>
      <w:r w:rsidR="000118FC">
        <w:rPr>
          <w:rFonts w:ascii="Times New Roman" w:hAnsi="Times New Roman"/>
          <w:sz w:val="24"/>
          <w:szCs w:val="24"/>
        </w:rPr>
        <w:t xml:space="preserve">grande </w:t>
      </w:r>
      <w:r>
        <w:rPr>
          <w:rFonts w:ascii="Times New Roman" w:hAnsi="Times New Roman"/>
          <w:sz w:val="24"/>
          <w:szCs w:val="24"/>
        </w:rPr>
        <w:t xml:space="preserve">empresariado como fruto de “acordos”, “diálogos”, “pactuações”, apresentando-se como fruto da “democracia participativa” o que foi expressão da canalização organizada da ação política empresarial, ainda que sob necessários ajustes e concessões. </w:t>
      </w:r>
    </w:p>
    <w:p w:rsidR="00837AC8" w:rsidRDefault="006B0EB6"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w:t>
      </w:r>
      <w:r w:rsidR="00837AC8">
        <w:rPr>
          <w:rFonts w:ascii="Times New Roman" w:hAnsi="Times New Roman"/>
          <w:sz w:val="24"/>
          <w:szCs w:val="24"/>
        </w:rPr>
        <w:t xml:space="preserve"> especificidade formativa </w:t>
      </w:r>
      <w:r>
        <w:rPr>
          <w:rFonts w:ascii="Times New Roman" w:hAnsi="Times New Roman"/>
          <w:sz w:val="24"/>
          <w:szCs w:val="24"/>
        </w:rPr>
        <w:t>“pluralista”</w:t>
      </w:r>
      <w:r w:rsidR="00837AC8">
        <w:rPr>
          <w:rFonts w:ascii="Times New Roman" w:hAnsi="Times New Roman"/>
          <w:sz w:val="24"/>
          <w:szCs w:val="24"/>
        </w:rPr>
        <w:t xml:space="preserve">do Conselho, ao mesmo tempo em que </w:t>
      </w:r>
      <w:r w:rsidR="000118FC">
        <w:rPr>
          <w:rFonts w:ascii="Times New Roman" w:hAnsi="Times New Roman"/>
          <w:sz w:val="24"/>
          <w:szCs w:val="24"/>
        </w:rPr>
        <w:t xml:space="preserve">apenas </w:t>
      </w:r>
      <w:r>
        <w:rPr>
          <w:rFonts w:ascii="Times New Roman" w:hAnsi="Times New Roman"/>
          <w:sz w:val="24"/>
          <w:szCs w:val="24"/>
        </w:rPr>
        <w:t>aparenta</w:t>
      </w:r>
      <w:r w:rsidR="00837AC8">
        <w:rPr>
          <w:rFonts w:ascii="Times New Roman" w:hAnsi="Times New Roman"/>
          <w:sz w:val="24"/>
          <w:szCs w:val="24"/>
        </w:rPr>
        <w:t xml:space="preserve"> dificultar as demandas (setoriais ou gerais) da</w:t>
      </w:r>
      <w:r w:rsidR="00E0065C">
        <w:rPr>
          <w:rFonts w:ascii="Times New Roman" w:hAnsi="Times New Roman"/>
          <w:sz w:val="24"/>
          <w:szCs w:val="24"/>
        </w:rPr>
        <w:t xml:space="preserve"> classe empresarial, no fundo a</w:t>
      </w:r>
      <w:r w:rsidR="00837AC8">
        <w:rPr>
          <w:rFonts w:ascii="Times New Roman" w:hAnsi="Times New Roman"/>
          <w:sz w:val="24"/>
          <w:szCs w:val="24"/>
        </w:rPr>
        <w:t xml:space="preserve"> impulsiona: não devido apenas ao caráter legitimador dos resultados colhidos num ambiente de recomendações produzidas com outros segmentos sociais, mas prin</w:t>
      </w:r>
      <w:r w:rsidR="0037305F">
        <w:rPr>
          <w:rFonts w:ascii="Times New Roman" w:hAnsi="Times New Roman"/>
          <w:sz w:val="24"/>
          <w:szCs w:val="24"/>
        </w:rPr>
        <w:t>cipalmente porque, por meio dess</w:t>
      </w:r>
      <w:r w:rsidR="00837AC8">
        <w:rPr>
          <w:rFonts w:ascii="Times New Roman" w:hAnsi="Times New Roman"/>
          <w:sz w:val="24"/>
          <w:szCs w:val="24"/>
        </w:rPr>
        <w:t xml:space="preserve">e estratagema, o particular torna-se universal, ou seja, as expectativas puramente corporativas ganham status de interesses nacionais. Ora, nenhuma das </w:t>
      </w:r>
      <w:r w:rsidR="001820BF">
        <w:rPr>
          <w:rFonts w:ascii="Times New Roman" w:hAnsi="Times New Roman"/>
          <w:sz w:val="24"/>
          <w:szCs w:val="24"/>
        </w:rPr>
        <w:t xml:space="preserve">outras </w:t>
      </w:r>
      <w:r w:rsidR="00837AC8">
        <w:rPr>
          <w:rFonts w:ascii="Times New Roman" w:hAnsi="Times New Roman"/>
          <w:sz w:val="24"/>
          <w:szCs w:val="24"/>
        </w:rPr>
        <w:t>arenas de gestão da crise citadas acima e rapidamente mencionadas e/ou analisadas neste capítulo carreiam esta “virtude”.</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  Tentamos comprovar a hipótese lançando mão de uma documentação que trazia os debates presentes nas reuniões plenárias, os relatórios e pareceres de análises da crise econômica e da moção expedida para a Presidência da República. Contribuíram também documentação proveniente de entidades da sociedade civil de cunho patronal e sindical, além de notícias </w:t>
      </w:r>
      <w:r w:rsidR="00561106">
        <w:rPr>
          <w:rFonts w:ascii="Times New Roman" w:hAnsi="Times New Roman"/>
          <w:sz w:val="24"/>
          <w:szCs w:val="24"/>
        </w:rPr>
        <w:t>de diferentes procedência (grande imprensa e outras)</w:t>
      </w:r>
      <w:r>
        <w:rPr>
          <w:rFonts w:ascii="Times New Roman" w:hAnsi="Times New Roman"/>
          <w:sz w:val="24"/>
          <w:szCs w:val="24"/>
        </w:rPr>
        <w:t xml:space="preserve">. </w:t>
      </w:r>
    </w:p>
    <w:p w:rsidR="00837AC8" w:rsidRDefault="00561106"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Pode-se assim m</w:t>
      </w:r>
      <w:r w:rsidR="00837AC8">
        <w:rPr>
          <w:rFonts w:ascii="Times New Roman" w:hAnsi="Times New Roman"/>
          <w:sz w:val="24"/>
          <w:szCs w:val="24"/>
        </w:rPr>
        <w:t xml:space="preserve">ostrar que os interesses dos setores empresariais representados no CDES desde muito antes da crise constantemente requisitados, foram razoavelmente atendidos sob a alegação de constituírem medidas de combate à crise econômica, ainda que para tanto foram pretendidas. </w:t>
      </w:r>
    </w:p>
    <w:p w:rsidR="00837AC8" w:rsidRDefault="00561106"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w:t>
      </w:r>
      <w:r w:rsidR="00837AC8">
        <w:rPr>
          <w:rFonts w:ascii="Times New Roman" w:hAnsi="Times New Roman"/>
          <w:sz w:val="24"/>
          <w:szCs w:val="24"/>
        </w:rPr>
        <w:t xml:space="preserve"> noção de crise se sustentava predominantemente em seus aspectos  econômicos </w:t>
      </w:r>
      <w:r>
        <w:rPr>
          <w:rFonts w:ascii="Times New Roman" w:hAnsi="Times New Roman"/>
          <w:sz w:val="24"/>
          <w:szCs w:val="24"/>
        </w:rPr>
        <w:t xml:space="preserve">mais </w:t>
      </w:r>
      <w:r w:rsidR="00837AC8">
        <w:rPr>
          <w:rFonts w:ascii="Times New Roman" w:hAnsi="Times New Roman"/>
          <w:sz w:val="24"/>
          <w:szCs w:val="24"/>
        </w:rPr>
        <w:t>imediatos</w:t>
      </w:r>
      <w:r>
        <w:rPr>
          <w:rFonts w:ascii="Times New Roman" w:hAnsi="Times New Roman"/>
          <w:sz w:val="24"/>
          <w:szCs w:val="24"/>
        </w:rPr>
        <w:t xml:space="preserve"> e nos desbobramentos possíveis</w:t>
      </w:r>
      <w:r w:rsidR="00837AC8">
        <w:rPr>
          <w:rFonts w:ascii="Times New Roman" w:hAnsi="Times New Roman"/>
          <w:sz w:val="24"/>
          <w:szCs w:val="24"/>
        </w:rPr>
        <w:t xml:space="preserve">, no monitoramento e avaliação de indicadores de crescimento, investimento, balança comercial, política industrial, creditícia, tributária, fiscal e monetária, dentre outros. Noção esta compartilhada por todos os atores sociais e governamentais presentes nas reuniões plenárias. </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 política social, na mesma direção, </w:t>
      </w:r>
      <w:r w:rsidR="00561106">
        <w:rPr>
          <w:rFonts w:ascii="Times New Roman" w:hAnsi="Times New Roman"/>
          <w:sz w:val="24"/>
          <w:szCs w:val="24"/>
        </w:rPr>
        <w:t>defendida</w:t>
      </w:r>
      <w:r>
        <w:rPr>
          <w:rFonts w:ascii="Times New Roman" w:hAnsi="Times New Roman"/>
          <w:sz w:val="24"/>
          <w:szCs w:val="24"/>
        </w:rPr>
        <w:t xml:space="preserve"> como fator de distribuição de renda para os estratos mais pauperizados da classe trabalhadora</w:t>
      </w:r>
      <w:r w:rsidR="00561106">
        <w:rPr>
          <w:rFonts w:ascii="Times New Roman" w:hAnsi="Times New Roman"/>
          <w:sz w:val="24"/>
          <w:szCs w:val="24"/>
        </w:rPr>
        <w:t xml:space="preserve"> era</w:t>
      </w:r>
      <w:r>
        <w:rPr>
          <w:rFonts w:ascii="Times New Roman" w:hAnsi="Times New Roman"/>
          <w:sz w:val="24"/>
          <w:szCs w:val="24"/>
        </w:rPr>
        <w:t xml:space="preserve"> subsumida enquanto instrumento de alavancagem dos fatores de produção: tanto por meio do aumento da capacidade consumidora dos trabalhadores da base da pirâmide social quanto por meio do engrossamento das fileiras que compunham a base da pirâmide, com módica ascensão de setores pauperizados. Vetores distributivos como aumento na geração de empregos e da formalização dos contratos, programas de transferência de renda e de extensão de benefícios de prestação continuada e elevação real do salário mínimo foram realçados pela cúpula da burocracia sindical e por alguns ministros como responsáveis pelo aquecimento do mercado interno.</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Nes</w:t>
      </w:r>
      <w:r w:rsidR="0037305F">
        <w:rPr>
          <w:rFonts w:ascii="Times New Roman" w:hAnsi="Times New Roman"/>
          <w:sz w:val="24"/>
          <w:szCs w:val="24"/>
        </w:rPr>
        <w:t>s</w:t>
      </w:r>
      <w:r>
        <w:rPr>
          <w:rFonts w:ascii="Times New Roman" w:hAnsi="Times New Roman"/>
          <w:sz w:val="24"/>
          <w:szCs w:val="24"/>
        </w:rPr>
        <w:t xml:space="preserve">e sentido, as estratégias de combate à crise advogadas pelo Conselho foram pensadas e articuladas a partir da lógica mercantil-empresarial, como formas de </w:t>
      </w:r>
      <w:r w:rsidR="00561106">
        <w:rPr>
          <w:rFonts w:ascii="Times New Roman" w:hAnsi="Times New Roman"/>
          <w:sz w:val="24"/>
          <w:szCs w:val="24"/>
        </w:rPr>
        <w:t>impulsionar</w:t>
      </w:r>
      <w:r>
        <w:rPr>
          <w:rFonts w:ascii="Times New Roman" w:hAnsi="Times New Roman"/>
          <w:sz w:val="24"/>
          <w:szCs w:val="24"/>
        </w:rPr>
        <w:t xml:space="preserve"> a ampliação da  reprodução das relações capitalistas de produção expressas não apenas pelo </w:t>
      </w:r>
      <w:r w:rsidRPr="002B23C0">
        <w:rPr>
          <w:rFonts w:ascii="Times New Roman" w:hAnsi="Times New Roman"/>
          <w:i/>
          <w:sz w:val="24"/>
          <w:szCs w:val="24"/>
        </w:rPr>
        <w:t>conteúdo das propostas operadas</w:t>
      </w:r>
      <w:r w:rsidR="00095250">
        <w:rPr>
          <w:rFonts w:ascii="Times New Roman" w:hAnsi="Times New Roman"/>
          <w:sz w:val="24"/>
          <w:szCs w:val="24"/>
        </w:rPr>
        <w:t>–</w:t>
      </w:r>
      <w:r>
        <w:rPr>
          <w:rFonts w:ascii="Times New Roman" w:hAnsi="Times New Roman"/>
          <w:sz w:val="24"/>
          <w:szCs w:val="24"/>
        </w:rPr>
        <w:t xml:space="preserve"> apresentado nos debates das plenárias, nas propostas contidas nos documentos do Conselho e pelas exposições da equipe ministerial – mas também pela </w:t>
      </w:r>
      <w:r w:rsidRPr="002B23C0">
        <w:rPr>
          <w:rFonts w:ascii="Times New Roman" w:hAnsi="Times New Roman"/>
          <w:i/>
          <w:sz w:val="24"/>
          <w:szCs w:val="24"/>
        </w:rPr>
        <w:t xml:space="preserve">intermitente ação política </w:t>
      </w:r>
      <w:r>
        <w:rPr>
          <w:rFonts w:ascii="Times New Roman" w:hAnsi="Times New Roman"/>
          <w:i/>
          <w:sz w:val="24"/>
          <w:szCs w:val="24"/>
        </w:rPr>
        <w:t xml:space="preserve">e inconteste composição </w:t>
      </w:r>
      <w:r w:rsidR="00561106">
        <w:rPr>
          <w:rFonts w:ascii="Times New Roman" w:hAnsi="Times New Roman"/>
          <w:i/>
          <w:sz w:val="24"/>
          <w:szCs w:val="24"/>
        </w:rPr>
        <w:t xml:space="preserve">majoritária </w:t>
      </w:r>
      <w:r w:rsidRPr="002B23C0">
        <w:rPr>
          <w:rFonts w:ascii="Times New Roman" w:hAnsi="Times New Roman"/>
          <w:i/>
          <w:sz w:val="24"/>
          <w:szCs w:val="24"/>
        </w:rPr>
        <w:t>empresarial</w:t>
      </w:r>
      <w:r>
        <w:rPr>
          <w:rFonts w:ascii="Times New Roman" w:hAnsi="Times New Roman"/>
          <w:sz w:val="24"/>
          <w:szCs w:val="24"/>
        </w:rPr>
        <w:t xml:space="preserve"> tanto das instâncias internas criadas pelo Conselho quanto dos fóruns inaugurados na sociedade política e na sociedade civil.  </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Por meio destas frentes de formulação e de ação (propositivas e organizativas), as associações empresariais puderam lograr acesso e comunicação direta com um dos centros de exercício do poder institucionalizado (GAC), preparando e ajustando os termos julgados necessários para a condução empresarial da crise e legitimando-as quando levadas e discutidas para o aval e a fiança do CDES. Contudo, a ele não se resumiu tais funções porque, como lembramos, o CDES atribuiu-se desde muito antes da crise o papel de </w:t>
      </w:r>
      <w:r w:rsidRPr="00F42C6F">
        <w:rPr>
          <w:rFonts w:ascii="Times New Roman" w:hAnsi="Times New Roman"/>
          <w:i/>
          <w:sz w:val="24"/>
          <w:szCs w:val="24"/>
        </w:rPr>
        <w:t>condensador programático</w:t>
      </w:r>
      <w:r>
        <w:rPr>
          <w:rFonts w:ascii="Times New Roman" w:hAnsi="Times New Roman"/>
          <w:sz w:val="24"/>
          <w:szCs w:val="24"/>
        </w:rPr>
        <w:t xml:space="preserve"> das demandas social-liberais de desenvolvimento do capitalismo tecidas pelas entidades patronais e pela burocracia sindical, sob </w:t>
      </w:r>
      <w:r w:rsidR="00561106">
        <w:rPr>
          <w:rFonts w:ascii="Times New Roman" w:hAnsi="Times New Roman"/>
          <w:sz w:val="24"/>
          <w:szCs w:val="24"/>
        </w:rPr>
        <w:t>direção</w:t>
      </w:r>
      <w:r>
        <w:rPr>
          <w:rFonts w:ascii="Times New Roman" w:hAnsi="Times New Roman"/>
          <w:sz w:val="24"/>
          <w:szCs w:val="24"/>
        </w:rPr>
        <w:t xml:space="preserve"> da</w:t>
      </w:r>
      <w:r w:rsidR="00561106">
        <w:rPr>
          <w:rFonts w:ascii="Times New Roman" w:hAnsi="Times New Roman"/>
          <w:sz w:val="24"/>
          <w:szCs w:val="24"/>
        </w:rPr>
        <w:t>s</w:t>
      </w:r>
      <w:r>
        <w:rPr>
          <w:rFonts w:ascii="Times New Roman" w:hAnsi="Times New Roman"/>
          <w:sz w:val="24"/>
          <w:szCs w:val="24"/>
        </w:rPr>
        <w:t xml:space="preserve"> primeira</w:t>
      </w:r>
      <w:r w:rsidR="00561106">
        <w:rPr>
          <w:rFonts w:ascii="Times New Roman" w:hAnsi="Times New Roman"/>
          <w:sz w:val="24"/>
          <w:szCs w:val="24"/>
        </w:rPr>
        <w:t>s</w:t>
      </w:r>
      <w:r>
        <w:rPr>
          <w:rFonts w:ascii="Times New Roman" w:hAnsi="Times New Roman"/>
          <w:sz w:val="24"/>
          <w:szCs w:val="24"/>
        </w:rPr>
        <w:t xml:space="preserve">. Foram, grosso modo, tais demandas que puderam ser repostas com maior ênfase e celeridade frente à situação de crise, mas que jamais foram retiradas do repertório de resoluções produzidas. </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O atendimento parcial (e o grau de parcialidade é de difícil mensuração) destas demandas pelo governo, a operacionalização de uma instância interlocutória inaugurada entre um grupo de conselheiros e o </w:t>
      </w:r>
      <w:r>
        <w:rPr>
          <w:rFonts w:ascii="Times New Roman" w:hAnsi="Times New Roman"/>
          <w:i/>
          <w:sz w:val="24"/>
          <w:szCs w:val="24"/>
        </w:rPr>
        <w:t xml:space="preserve">staff </w:t>
      </w:r>
      <w:r>
        <w:rPr>
          <w:rFonts w:ascii="Times New Roman" w:hAnsi="Times New Roman"/>
          <w:sz w:val="24"/>
          <w:szCs w:val="24"/>
        </w:rPr>
        <w:t xml:space="preserve">ministerial e o reconhecimento </w:t>
      </w:r>
      <w:r>
        <w:rPr>
          <w:rFonts w:ascii="Times New Roman" w:hAnsi="Times New Roman"/>
          <w:i/>
          <w:sz w:val="24"/>
          <w:szCs w:val="24"/>
        </w:rPr>
        <w:t>do conjunto dos conselheiros</w:t>
      </w:r>
      <w:r>
        <w:rPr>
          <w:rFonts w:ascii="Times New Roman" w:hAnsi="Times New Roman"/>
          <w:sz w:val="24"/>
          <w:szCs w:val="24"/>
        </w:rPr>
        <w:t xml:space="preserve"> de que os encaminhamentos dados na administração da crise econômica nos permitem confirmar a hipótese de que o CDES trabalhou como </w:t>
      </w:r>
      <w:r w:rsidRPr="00F41A34">
        <w:rPr>
          <w:rFonts w:ascii="Times New Roman" w:hAnsi="Times New Roman"/>
          <w:i/>
          <w:sz w:val="24"/>
          <w:szCs w:val="24"/>
        </w:rPr>
        <w:t>um dos operadores coletivos da gestão da crise econômica</w:t>
      </w:r>
      <w:r>
        <w:rPr>
          <w:rFonts w:ascii="Times New Roman" w:hAnsi="Times New Roman"/>
          <w:i/>
          <w:sz w:val="24"/>
          <w:szCs w:val="24"/>
        </w:rPr>
        <w:t xml:space="preserve"> para o capital e hegemonizado pelo</w:t>
      </w:r>
      <w:r w:rsidR="00561106">
        <w:rPr>
          <w:rFonts w:ascii="Times New Roman" w:hAnsi="Times New Roman"/>
          <w:i/>
          <w:sz w:val="24"/>
          <w:szCs w:val="24"/>
        </w:rPr>
        <w:t xml:space="preserve">s setores dogrande </w:t>
      </w:r>
      <w:r>
        <w:rPr>
          <w:rFonts w:ascii="Times New Roman" w:hAnsi="Times New Roman"/>
          <w:i/>
          <w:sz w:val="24"/>
          <w:szCs w:val="24"/>
        </w:rPr>
        <w:t>capital</w:t>
      </w:r>
      <w:r>
        <w:rPr>
          <w:rFonts w:ascii="Times New Roman" w:hAnsi="Times New Roman"/>
          <w:sz w:val="24"/>
          <w:szCs w:val="24"/>
        </w:rPr>
        <w:t xml:space="preserve"> no Brasil, principalmente entre 2008 e 2009.</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 função de câmara de gestão da crise para o capital do CDES não se deteve </w:t>
      </w:r>
      <w:r w:rsidR="00561106">
        <w:rPr>
          <w:rFonts w:ascii="Times New Roman" w:hAnsi="Times New Roman"/>
          <w:sz w:val="24"/>
          <w:szCs w:val="24"/>
        </w:rPr>
        <w:t>n</w:t>
      </w:r>
      <w:r>
        <w:rPr>
          <w:rFonts w:ascii="Times New Roman" w:hAnsi="Times New Roman"/>
          <w:sz w:val="24"/>
          <w:szCs w:val="24"/>
        </w:rPr>
        <w:t>os requisitos exigidos pelo capital</w:t>
      </w:r>
      <w:r w:rsidR="00561106">
        <w:rPr>
          <w:rFonts w:ascii="Times New Roman" w:hAnsi="Times New Roman"/>
          <w:sz w:val="24"/>
          <w:szCs w:val="24"/>
        </w:rPr>
        <w:t>,</w:t>
      </w:r>
      <w:r>
        <w:rPr>
          <w:rFonts w:ascii="Times New Roman" w:hAnsi="Times New Roman"/>
          <w:sz w:val="24"/>
          <w:szCs w:val="24"/>
        </w:rPr>
        <w:t xml:space="preserve"> eivados de “variáveis econômicas”</w:t>
      </w:r>
      <w:r w:rsidR="0069548C">
        <w:rPr>
          <w:rFonts w:ascii="Times New Roman" w:hAnsi="Times New Roman"/>
          <w:sz w:val="24"/>
          <w:szCs w:val="24"/>
        </w:rPr>
        <w:t>, apagando</w:t>
      </w:r>
      <w:r>
        <w:rPr>
          <w:rFonts w:ascii="Times New Roman" w:hAnsi="Times New Roman"/>
          <w:sz w:val="24"/>
          <w:szCs w:val="24"/>
        </w:rPr>
        <w:t xml:space="preserve"> as relações sociais </w:t>
      </w:r>
      <w:r w:rsidR="0069548C">
        <w:rPr>
          <w:rFonts w:ascii="Times New Roman" w:hAnsi="Times New Roman"/>
          <w:sz w:val="24"/>
          <w:szCs w:val="24"/>
        </w:rPr>
        <w:t>subjacentes.</w:t>
      </w:r>
      <w:r>
        <w:rPr>
          <w:rFonts w:ascii="Times New Roman" w:hAnsi="Times New Roman"/>
          <w:sz w:val="24"/>
          <w:szCs w:val="24"/>
        </w:rPr>
        <w:t xml:space="preserve"> No CDES e através dele, o capital também exigiu o manejo sobre o “capital variável” e, para tanto, requereu e acionou uma massa crescente de trabalhadores disponíveis, sob o signo da “requalificação” e “inclusão produtiva”, para os setores do capital que asseguravam a manutenção ou a expansão do crescimento econômico: o setor da construção civil e o subsetor sucroalcooleiro da fração d</w:t>
      </w:r>
      <w:r w:rsidR="00DA0864">
        <w:rPr>
          <w:rFonts w:ascii="Times New Roman" w:hAnsi="Times New Roman"/>
          <w:sz w:val="24"/>
          <w:szCs w:val="24"/>
        </w:rPr>
        <w:t>o</w:t>
      </w:r>
      <w:r>
        <w:rPr>
          <w:rFonts w:ascii="Times New Roman" w:hAnsi="Times New Roman"/>
          <w:sz w:val="24"/>
          <w:szCs w:val="24"/>
        </w:rPr>
        <w:t xml:space="preserve"> agronegócio. Duas linhas de ação de </w:t>
      </w:r>
      <w:r>
        <w:rPr>
          <w:rFonts w:ascii="Times New Roman" w:hAnsi="Times New Roman"/>
          <w:i/>
          <w:sz w:val="24"/>
          <w:szCs w:val="24"/>
        </w:rPr>
        <w:t xml:space="preserve">gestão e manejo da mão de obra </w:t>
      </w:r>
      <w:r>
        <w:rPr>
          <w:rFonts w:ascii="Times New Roman" w:hAnsi="Times New Roman"/>
          <w:sz w:val="24"/>
          <w:szCs w:val="24"/>
        </w:rPr>
        <w:t xml:space="preserve">foram utilizadas: recolocação de excedentes de trabalhadores do setor canavieiro paulista no setor de construção civil e absorção dos beneficiários do Bolsa Família para as obras do PAC. </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A primeira, como vimos, foi tributária do “Compromisso Nacional”, articulado no interior do CDES que, ao fim ao cabo, certificou como “Empresas Compromissadas” usinas exportadoras de etanol ainda que as condições de trabalho dos canavieiros permanecessem praticamente inalteradas. Ao avanço da mecanização no setor, “requalificou-se” (ou seja, ofereceu-se treinamento precarizado) para ingressarem, ou seja, para serem “realocados” na indústria da construção civil local, reduto igualmente de péssimas condições de trabalho.</w:t>
      </w:r>
      <w:r>
        <w:rPr>
          <w:rStyle w:val="Refdenotaderodap"/>
          <w:rFonts w:ascii="Times New Roman" w:hAnsi="Times New Roman"/>
          <w:sz w:val="24"/>
          <w:szCs w:val="24"/>
        </w:rPr>
        <w:footnoteReference w:id="620"/>
      </w:r>
      <w:r>
        <w:rPr>
          <w:rFonts w:ascii="Times New Roman" w:hAnsi="Times New Roman"/>
          <w:sz w:val="24"/>
          <w:szCs w:val="24"/>
        </w:rPr>
        <w:t xml:space="preserve"> Neste acordo o CDES teve participação orgânica, isto é, foi por meio dele que se articulou e se viabilizou a construção do “Compromisso Nacional”. A segunda linha de gestão e manejo de mão de obra foi apenas apoiada e divulgada pelo CDES. Com o PlanSeq Construção Civil, articulado no CDES pelo conselheiro Paulo Simão, disponibilizou-se igualmente contingentes de </w:t>
      </w:r>
      <w:r w:rsidR="00D056BE">
        <w:rPr>
          <w:rFonts w:ascii="Times New Roman" w:hAnsi="Times New Roman"/>
          <w:sz w:val="24"/>
          <w:szCs w:val="24"/>
        </w:rPr>
        <w:t>mão de obra</w:t>
      </w:r>
      <w:r>
        <w:rPr>
          <w:rFonts w:ascii="Times New Roman" w:hAnsi="Times New Roman"/>
          <w:sz w:val="24"/>
          <w:szCs w:val="24"/>
        </w:rPr>
        <w:t xml:space="preserve"> beneficiados pelo Bolsa Família para trabalharem nas obras do PAC.  </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Es</w:t>
      </w:r>
      <w:r w:rsidR="0037305F">
        <w:rPr>
          <w:rFonts w:ascii="Times New Roman" w:hAnsi="Times New Roman"/>
          <w:sz w:val="24"/>
          <w:szCs w:val="24"/>
        </w:rPr>
        <w:t>s</w:t>
      </w:r>
      <w:r>
        <w:rPr>
          <w:rFonts w:ascii="Times New Roman" w:hAnsi="Times New Roman"/>
          <w:sz w:val="24"/>
          <w:szCs w:val="24"/>
        </w:rPr>
        <w:t>e verdadeiro “arranque” na almejada disponibilização de força de trabalho para o capital em tempos de crise também não se limitou, como vimos, a es</w:t>
      </w:r>
      <w:r w:rsidR="00250D38">
        <w:rPr>
          <w:rFonts w:ascii="Times New Roman" w:hAnsi="Times New Roman"/>
          <w:sz w:val="24"/>
          <w:szCs w:val="24"/>
        </w:rPr>
        <w:t>s</w:t>
      </w:r>
      <w:r>
        <w:rPr>
          <w:rFonts w:ascii="Times New Roman" w:hAnsi="Times New Roman"/>
          <w:sz w:val="24"/>
          <w:szCs w:val="24"/>
        </w:rPr>
        <w:t xml:space="preserve">es setores, tampouco à parcela precarizada da força de trabalho. Vimos como a cúpula sindical cutista esforçou-se (e foi vitoriosa) na fragilização das relações trabalhistas através do Acordo Coletivo Especial (ACE) de autoria do Sindicato dos Metalúrgicos do ABC, resultando aqui em expropriações secundárias; e na disponibilização de seus sindicalizados para o capital </w:t>
      </w:r>
      <w:r w:rsidR="00366A12">
        <w:rPr>
          <w:rFonts w:ascii="Times New Roman" w:hAnsi="Times New Roman"/>
          <w:sz w:val="24"/>
          <w:szCs w:val="24"/>
        </w:rPr>
        <w:t>bancário-</w:t>
      </w:r>
      <w:r>
        <w:rPr>
          <w:rFonts w:ascii="Times New Roman" w:hAnsi="Times New Roman"/>
          <w:sz w:val="24"/>
          <w:szCs w:val="24"/>
        </w:rPr>
        <w:t xml:space="preserve">financeiro na forma de consumidores de seus produtos e serviços, no acordo entre a CUT e o BB/CEF. Efetivamente, o CDES não costurou o ACE dos metalúrgicos do ABC, mas serviu como palanque inicial de </w:t>
      </w:r>
      <w:r w:rsidR="0069548C">
        <w:rPr>
          <w:rFonts w:ascii="Times New Roman" w:hAnsi="Times New Roman"/>
          <w:sz w:val="24"/>
          <w:szCs w:val="24"/>
        </w:rPr>
        <w:t>propagação</w:t>
      </w:r>
      <w:r>
        <w:rPr>
          <w:rFonts w:ascii="Times New Roman" w:hAnsi="Times New Roman"/>
          <w:sz w:val="24"/>
          <w:szCs w:val="24"/>
        </w:rPr>
        <w:t xml:space="preserve"> e </w:t>
      </w:r>
      <w:r w:rsidR="0069548C">
        <w:rPr>
          <w:rFonts w:ascii="Times New Roman" w:hAnsi="Times New Roman"/>
          <w:sz w:val="24"/>
          <w:szCs w:val="24"/>
        </w:rPr>
        <w:t xml:space="preserve">de </w:t>
      </w:r>
      <w:r>
        <w:rPr>
          <w:rFonts w:ascii="Times New Roman" w:hAnsi="Times New Roman"/>
          <w:sz w:val="24"/>
          <w:szCs w:val="24"/>
        </w:rPr>
        <w:t xml:space="preserve">possíveis acordos. Quanto ao segundo acordo entre a burocracia sindical cutista e os bancos públicos, o CDES serviu como instrumento ou canal de acesso facilitador do acordo. </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Nos dois casos, o papel do CDES</w:t>
      </w:r>
      <w:r w:rsidR="0069548C">
        <w:rPr>
          <w:rFonts w:ascii="Times New Roman" w:hAnsi="Times New Roman"/>
          <w:sz w:val="24"/>
          <w:szCs w:val="24"/>
        </w:rPr>
        <w:t xml:space="preserve"> foi “inorgânico”, isto é, não atuou</w:t>
      </w:r>
      <w:r>
        <w:rPr>
          <w:rFonts w:ascii="Times New Roman" w:hAnsi="Times New Roman"/>
          <w:sz w:val="24"/>
          <w:szCs w:val="24"/>
        </w:rPr>
        <w:t xml:space="preserve"> como intelectual orgânico na composição dos acordos, </w:t>
      </w:r>
      <w:r w:rsidR="0069548C">
        <w:rPr>
          <w:rFonts w:ascii="Times New Roman" w:hAnsi="Times New Roman"/>
          <w:sz w:val="24"/>
          <w:szCs w:val="24"/>
        </w:rPr>
        <w:t>como</w:t>
      </w:r>
      <w:r>
        <w:rPr>
          <w:rFonts w:ascii="Times New Roman" w:hAnsi="Times New Roman"/>
          <w:sz w:val="24"/>
          <w:szCs w:val="24"/>
        </w:rPr>
        <w:t xml:space="preserve"> realizado no caso do “Compromisso Nacional”. </w:t>
      </w:r>
      <w:r w:rsidR="0069548C">
        <w:rPr>
          <w:rFonts w:ascii="Times New Roman" w:hAnsi="Times New Roman"/>
          <w:sz w:val="24"/>
          <w:szCs w:val="24"/>
        </w:rPr>
        <w:t>P</w:t>
      </w:r>
      <w:r>
        <w:rPr>
          <w:rFonts w:ascii="Times New Roman" w:hAnsi="Times New Roman"/>
          <w:sz w:val="24"/>
          <w:szCs w:val="24"/>
        </w:rPr>
        <w:t xml:space="preserve">ode-se dizer que ele era visto e tomado por alguns conselheiros como uma bancada, </w:t>
      </w:r>
      <w:r w:rsidR="0069548C">
        <w:rPr>
          <w:rFonts w:ascii="Times New Roman" w:hAnsi="Times New Roman"/>
          <w:sz w:val="24"/>
          <w:szCs w:val="24"/>
        </w:rPr>
        <w:t xml:space="preserve">plataforma </w:t>
      </w:r>
      <w:r>
        <w:rPr>
          <w:rFonts w:ascii="Times New Roman" w:hAnsi="Times New Roman"/>
          <w:sz w:val="24"/>
          <w:szCs w:val="24"/>
        </w:rPr>
        <w:t>de facilitação ou encurtamento de acordos previamente elaborados, bem como</w:t>
      </w:r>
      <w:r w:rsidR="00C77D00">
        <w:rPr>
          <w:rFonts w:ascii="Times New Roman" w:hAnsi="Times New Roman"/>
          <w:sz w:val="24"/>
          <w:szCs w:val="24"/>
        </w:rPr>
        <w:t xml:space="preserve"> depalanque ou tribuna </w:t>
      </w:r>
      <w:r w:rsidR="0069548C">
        <w:rPr>
          <w:rFonts w:ascii="Times New Roman" w:hAnsi="Times New Roman"/>
          <w:sz w:val="24"/>
          <w:szCs w:val="24"/>
        </w:rPr>
        <w:t xml:space="preserve">interna </w:t>
      </w:r>
      <w:r>
        <w:rPr>
          <w:rFonts w:ascii="Times New Roman" w:hAnsi="Times New Roman"/>
          <w:sz w:val="24"/>
          <w:szCs w:val="24"/>
        </w:rPr>
        <w:t xml:space="preserve">de projetos em elaboração. Outro exemplo cabal destas artimanhas e estratagemas apresentadas em suas plenárias ou instâncias internas foi a proposta de implantação de microsseguros para a população pauperizada, outra frente de avanço da disponibilização de largos contingentes da classe trabalhadora ao mercado </w:t>
      </w:r>
      <w:r w:rsidR="00C77D00">
        <w:rPr>
          <w:rFonts w:ascii="Times New Roman" w:hAnsi="Times New Roman"/>
          <w:sz w:val="24"/>
          <w:szCs w:val="24"/>
        </w:rPr>
        <w:t>bancário-</w:t>
      </w:r>
      <w:r>
        <w:rPr>
          <w:rFonts w:ascii="Times New Roman" w:hAnsi="Times New Roman"/>
          <w:sz w:val="24"/>
          <w:szCs w:val="24"/>
        </w:rPr>
        <w:t>fin</w:t>
      </w:r>
      <w:r w:rsidR="009D42B4">
        <w:rPr>
          <w:rFonts w:ascii="Times New Roman" w:hAnsi="Times New Roman"/>
          <w:sz w:val="24"/>
          <w:szCs w:val="24"/>
        </w:rPr>
        <w:t>anceiro. Sem falar do acordo PRO</w:t>
      </w:r>
      <w:r>
        <w:rPr>
          <w:rFonts w:ascii="Times New Roman" w:hAnsi="Times New Roman"/>
          <w:sz w:val="24"/>
          <w:szCs w:val="24"/>
        </w:rPr>
        <w:t>CAP BK, anunciado p</w:t>
      </w:r>
      <w:r w:rsidR="00C77D00">
        <w:rPr>
          <w:rFonts w:ascii="Times New Roman" w:hAnsi="Times New Roman"/>
          <w:sz w:val="24"/>
          <w:szCs w:val="24"/>
        </w:rPr>
        <w:t>or</w:t>
      </w:r>
      <w:r>
        <w:rPr>
          <w:rFonts w:ascii="Times New Roman" w:hAnsi="Times New Roman"/>
          <w:sz w:val="24"/>
          <w:szCs w:val="24"/>
        </w:rPr>
        <w:t xml:space="preserve"> Mantega e aplaudido pelo presidente Lula da Silva, mecanismo de endividamento dos trabalhadores para salvar (“capitalizar”) as empresas que lhes exploram.</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Cabe dizer que </w:t>
      </w:r>
      <w:r>
        <w:rPr>
          <w:rFonts w:ascii="Times New Roman" w:hAnsi="Times New Roman"/>
          <w:i/>
          <w:sz w:val="24"/>
          <w:szCs w:val="24"/>
        </w:rPr>
        <w:t xml:space="preserve">todas as frentes de mercantilização, financeirização, precarização, fragilização da relação trabalhista, “requalificação” e “realocação” da força de trabalho </w:t>
      </w:r>
      <w:r>
        <w:rPr>
          <w:rFonts w:ascii="Times New Roman" w:hAnsi="Times New Roman"/>
          <w:sz w:val="24"/>
          <w:szCs w:val="24"/>
        </w:rPr>
        <w:t xml:space="preserve">operadas de forma “orgânica” e “inorgânica” pelo CDES significam, em primeiro lugar, expandir relações sociais que exasperam </w:t>
      </w:r>
      <w:r>
        <w:rPr>
          <w:rFonts w:ascii="Times New Roman" w:hAnsi="Times New Roman"/>
          <w:i/>
          <w:sz w:val="24"/>
          <w:szCs w:val="24"/>
        </w:rPr>
        <w:t xml:space="preserve">disponibilização da força de trabalho </w:t>
      </w:r>
      <w:r w:rsidR="00F729D2">
        <w:rPr>
          <w:rFonts w:ascii="Times New Roman" w:hAnsi="Times New Roman"/>
          <w:i/>
          <w:sz w:val="24"/>
          <w:szCs w:val="24"/>
        </w:rPr>
        <w:t>a</w:t>
      </w:r>
      <w:r>
        <w:rPr>
          <w:rFonts w:ascii="Times New Roman" w:hAnsi="Times New Roman"/>
          <w:i/>
          <w:sz w:val="24"/>
          <w:szCs w:val="24"/>
        </w:rPr>
        <w:t>o capital</w:t>
      </w:r>
      <w:r>
        <w:rPr>
          <w:rFonts w:ascii="Times New Roman" w:hAnsi="Times New Roman"/>
          <w:sz w:val="24"/>
          <w:szCs w:val="24"/>
        </w:rPr>
        <w:t>.  Em segundo lugar, garantir</w:t>
      </w:r>
      <w:r w:rsidR="00C77D00">
        <w:rPr>
          <w:rFonts w:ascii="Times New Roman" w:hAnsi="Times New Roman"/>
          <w:sz w:val="24"/>
          <w:szCs w:val="24"/>
        </w:rPr>
        <w:t>em as</w:t>
      </w:r>
      <w:r>
        <w:rPr>
          <w:rFonts w:ascii="Times New Roman" w:hAnsi="Times New Roman"/>
          <w:sz w:val="24"/>
          <w:szCs w:val="24"/>
        </w:rPr>
        <w:t xml:space="preserve"> formas pelas quais o trabalho é subsumido pela lógica capitalista socialmente dominante, isto é, através da </w:t>
      </w:r>
      <w:r w:rsidRPr="00052E2A">
        <w:rPr>
          <w:rFonts w:ascii="Times New Roman" w:hAnsi="Times New Roman"/>
          <w:i/>
          <w:sz w:val="24"/>
          <w:szCs w:val="24"/>
        </w:rPr>
        <w:t xml:space="preserve">subsunção real </w:t>
      </w:r>
      <w:r>
        <w:rPr>
          <w:rFonts w:ascii="Times New Roman" w:hAnsi="Times New Roman"/>
          <w:sz w:val="24"/>
          <w:szCs w:val="24"/>
        </w:rPr>
        <w:t xml:space="preserve">do trabalho ao capital. </w:t>
      </w:r>
      <w:r w:rsidR="00C77D00">
        <w:rPr>
          <w:rFonts w:ascii="Times New Roman" w:hAnsi="Times New Roman"/>
          <w:sz w:val="24"/>
          <w:szCs w:val="24"/>
        </w:rPr>
        <w:t>E</w:t>
      </w:r>
      <w:r>
        <w:rPr>
          <w:rFonts w:ascii="Times New Roman" w:hAnsi="Times New Roman"/>
          <w:sz w:val="24"/>
          <w:szCs w:val="24"/>
        </w:rPr>
        <w:t>s</w:t>
      </w:r>
      <w:r w:rsidR="00250D38">
        <w:rPr>
          <w:rFonts w:ascii="Times New Roman" w:hAnsi="Times New Roman"/>
          <w:sz w:val="24"/>
          <w:szCs w:val="24"/>
        </w:rPr>
        <w:t>s</w:t>
      </w:r>
      <w:r>
        <w:rPr>
          <w:rFonts w:ascii="Times New Roman" w:hAnsi="Times New Roman"/>
          <w:sz w:val="24"/>
          <w:szCs w:val="24"/>
        </w:rPr>
        <w:t>es mecanismo</w:t>
      </w:r>
      <w:r w:rsidR="00250D38">
        <w:rPr>
          <w:rFonts w:ascii="Times New Roman" w:hAnsi="Times New Roman"/>
          <w:sz w:val="24"/>
          <w:szCs w:val="24"/>
        </w:rPr>
        <w:t>s</w:t>
      </w:r>
      <w:r>
        <w:rPr>
          <w:rFonts w:ascii="Times New Roman" w:hAnsi="Times New Roman"/>
          <w:sz w:val="24"/>
          <w:szCs w:val="24"/>
        </w:rPr>
        <w:t xml:space="preserve"> de subsunção, balizadores de programas de disponibilização de força de trabalho, foram perenizados por meio da absorção e elevação deles à condição de políticas públicas. </w:t>
      </w:r>
    </w:p>
    <w:p w:rsidR="00837AC8" w:rsidRDefault="00C77D00"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Esses processos ocorreram </w:t>
      </w:r>
      <w:r w:rsidR="00837AC8">
        <w:rPr>
          <w:rFonts w:ascii="Times New Roman" w:hAnsi="Times New Roman"/>
          <w:sz w:val="24"/>
          <w:szCs w:val="24"/>
        </w:rPr>
        <w:t xml:space="preserve">em função dos programas de adequação, treinamento e preparação ao ingresso de postos de trabalho transitórios e precários de contingentes trabalhadores em que o CDES assumiu papel organizativo para o </w:t>
      </w:r>
      <w:r>
        <w:rPr>
          <w:rFonts w:ascii="Times New Roman" w:hAnsi="Times New Roman"/>
          <w:sz w:val="24"/>
          <w:szCs w:val="24"/>
        </w:rPr>
        <w:t xml:space="preserve">grande </w:t>
      </w:r>
      <w:r w:rsidR="00837AC8">
        <w:rPr>
          <w:rFonts w:ascii="Times New Roman" w:hAnsi="Times New Roman"/>
          <w:sz w:val="24"/>
          <w:szCs w:val="24"/>
        </w:rPr>
        <w:t xml:space="preserve">empresariado. </w:t>
      </w:r>
      <w:r>
        <w:rPr>
          <w:rFonts w:ascii="Times New Roman" w:hAnsi="Times New Roman"/>
          <w:sz w:val="24"/>
          <w:szCs w:val="24"/>
        </w:rPr>
        <w:t>Mas também ocorreram</w:t>
      </w:r>
      <w:r w:rsidR="00837AC8">
        <w:rPr>
          <w:rFonts w:ascii="Times New Roman" w:hAnsi="Times New Roman"/>
          <w:sz w:val="24"/>
          <w:szCs w:val="24"/>
        </w:rPr>
        <w:t xml:space="preserve"> em </w:t>
      </w:r>
      <w:r>
        <w:rPr>
          <w:rFonts w:ascii="Times New Roman" w:hAnsi="Times New Roman"/>
          <w:sz w:val="24"/>
          <w:szCs w:val="24"/>
        </w:rPr>
        <w:t>razão d</w:t>
      </w:r>
      <w:r w:rsidR="00837AC8">
        <w:rPr>
          <w:rFonts w:ascii="Times New Roman" w:hAnsi="Times New Roman"/>
          <w:sz w:val="24"/>
          <w:szCs w:val="24"/>
        </w:rPr>
        <w:t xml:space="preserve">as lideranças sindicais e patronais presentes no CDES trabalharem na perspectiva de fragilizar e flexibilizar a legislação do trabalho (expropriações secundárias) consubstanciada na proposta “menos legislação e mais negociação” que recuperava a apologética liberal das condições igualitárias de negociação entre capital e trabalho em tempos de acumulação flexível, retirada de direitos e de garantias, e de refluxo das organizações mais combativas do movimento sindical e de seus elos político-partidários. Ou, por fim, em função de servir como tribuna enunciativa de projetos, ainda que em elaboração, de subalternização e dependência mercantil-financeira de trabalhadores </w:t>
      </w:r>
      <w:r>
        <w:rPr>
          <w:rFonts w:ascii="Times New Roman" w:hAnsi="Times New Roman"/>
          <w:sz w:val="24"/>
          <w:szCs w:val="24"/>
        </w:rPr>
        <w:t>formalizados,</w:t>
      </w:r>
      <w:r w:rsidR="00837AC8">
        <w:rPr>
          <w:rFonts w:ascii="Times New Roman" w:hAnsi="Times New Roman"/>
          <w:sz w:val="24"/>
          <w:szCs w:val="24"/>
        </w:rPr>
        <w:t xml:space="preserve"> sindicalizados</w:t>
      </w:r>
      <w:r>
        <w:rPr>
          <w:rFonts w:ascii="Times New Roman" w:hAnsi="Times New Roman"/>
          <w:sz w:val="24"/>
          <w:szCs w:val="24"/>
        </w:rPr>
        <w:t xml:space="preserve"> ou não</w:t>
      </w:r>
      <w:r w:rsidR="00837AC8">
        <w:rPr>
          <w:rFonts w:ascii="Times New Roman" w:hAnsi="Times New Roman"/>
          <w:sz w:val="24"/>
          <w:szCs w:val="24"/>
        </w:rPr>
        <w:t>. Isto é, seja por todos es</w:t>
      </w:r>
      <w:r w:rsidR="00250D38">
        <w:rPr>
          <w:rFonts w:ascii="Times New Roman" w:hAnsi="Times New Roman"/>
          <w:sz w:val="24"/>
          <w:szCs w:val="24"/>
        </w:rPr>
        <w:t>s</w:t>
      </w:r>
      <w:r w:rsidR="00837AC8">
        <w:rPr>
          <w:rFonts w:ascii="Times New Roman" w:hAnsi="Times New Roman"/>
          <w:sz w:val="24"/>
          <w:szCs w:val="24"/>
        </w:rPr>
        <w:t xml:space="preserve">es formatos de expropriação sobre as classes subalternas que aceleraram a base social de expansão do capital e de impulsionamento da extração de mais-valor, o bloco social empresarial-sindical-burocrático instalado no Conselho foi extremamente eficiente na inovação das formas de </w:t>
      </w:r>
      <w:r w:rsidR="00837AC8" w:rsidRPr="00C77D00">
        <w:rPr>
          <w:rFonts w:ascii="Times New Roman" w:hAnsi="Times New Roman"/>
          <w:i/>
          <w:sz w:val="24"/>
          <w:szCs w:val="24"/>
        </w:rPr>
        <w:t>gestão e administração da crise econômica para o capital</w:t>
      </w:r>
      <w:r w:rsidR="00837AC8" w:rsidRPr="008412F6">
        <w:rPr>
          <w:rFonts w:ascii="Times New Roman" w:hAnsi="Times New Roman"/>
          <w:i/>
          <w:sz w:val="24"/>
          <w:szCs w:val="24"/>
        </w:rPr>
        <w:t>desde a perspectiva de atrelamento e subjugação com vistas à disponibilização das classes trabalhadoras</w:t>
      </w:r>
      <w:r w:rsidR="00837AC8">
        <w:rPr>
          <w:rFonts w:ascii="Times New Roman" w:hAnsi="Times New Roman"/>
          <w:sz w:val="24"/>
          <w:szCs w:val="24"/>
        </w:rPr>
        <w:t xml:space="preserve">. </w:t>
      </w:r>
      <w:r w:rsidR="00936D6B">
        <w:rPr>
          <w:rFonts w:ascii="Times New Roman" w:hAnsi="Times New Roman"/>
          <w:sz w:val="24"/>
          <w:szCs w:val="24"/>
        </w:rPr>
        <w:t>O foco de gestão foi triplo: liberar recursos para praticamente todos os setores do capital e assegurar mão de obra tanto pelo apassivamento quanto pelo fornecimento direto de trabalhadores.</w:t>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Os termos foram auspiciosamente escolhidos, exaltados e propagandeados nas formas de “inclusão produtiva”, “geração de oportunidades”, “combate ao desemprego”, “proteção contra o risco”, “facilitação do acesso ao mercado de consumo de bens e serviços”, “requalificação”, “negociação coletiva”, “empregos verdes”, “empreendedorismo”, dentre outros, e as estratégias idem, sem as quais se dificultam derrubadas ou transgressões de limites (ético-morais, político-ideológicos, legal-normativos etc) necessários à generalização das formas de ampliação de extração do sobretrabalho.</w:t>
      </w:r>
    </w:p>
    <w:p w:rsidR="00837AC8" w:rsidRDefault="00837AC8" w:rsidP="00837AC8">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Nes</w:t>
      </w:r>
      <w:r w:rsidR="00250D38">
        <w:rPr>
          <w:rFonts w:ascii="Times New Roman" w:hAnsi="Times New Roman"/>
          <w:sz w:val="24"/>
          <w:szCs w:val="24"/>
        </w:rPr>
        <w:t>s</w:t>
      </w:r>
      <w:r>
        <w:rPr>
          <w:rFonts w:ascii="Times New Roman" w:hAnsi="Times New Roman"/>
          <w:sz w:val="24"/>
          <w:szCs w:val="24"/>
        </w:rPr>
        <w:t xml:space="preserve">es termos, a crise segue </w:t>
      </w:r>
      <w:r w:rsidR="001B2294">
        <w:rPr>
          <w:rFonts w:ascii="Times New Roman" w:hAnsi="Times New Roman"/>
          <w:sz w:val="24"/>
          <w:szCs w:val="24"/>
        </w:rPr>
        <w:t xml:space="preserve">a sua </w:t>
      </w:r>
      <w:r w:rsidR="001B2294">
        <w:rPr>
          <w:rFonts w:ascii="Times New Roman" w:hAnsi="Times New Roman"/>
          <w:i/>
          <w:sz w:val="24"/>
          <w:szCs w:val="24"/>
        </w:rPr>
        <w:t xml:space="preserve">condição crítica: </w:t>
      </w:r>
      <w:r w:rsidR="001B2294">
        <w:rPr>
          <w:rFonts w:ascii="Times New Roman" w:hAnsi="Times New Roman"/>
          <w:sz w:val="24"/>
          <w:szCs w:val="24"/>
        </w:rPr>
        <w:t xml:space="preserve">ela é permanentemente promotora de situações críticas para o conjunto da classe trabalhadora (condições precárias de moradia, saneamento, transportes, serviços públicos de saúde, educação, etc), mesmo com ganhos salariais; ela é igualmente ambiental (desmatamentos, transgenia, </w:t>
      </w:r>
      <w:r w:rsidR="0050723B">
        <w:rPr>
          <w:rFonts w:ascii="Times New Roman" w:hAnsi="Times New Roman"/>
          <w:sz w:val="24"/>
          <w:szCs w:val="24"/>
        </w:rPr>
        <w:t xml:space="preserve">uso de agrotóxicos, </w:t>
      </w:r>
      <w:r w:rsidR="001B2294">
        <w:rPr>
          <w:rFonts w:ascii="Times New Roman" w:hAnsi="Times New Roman"/>
          <w:sz w:val="24"/>
          <w:szCs w:val="24"/>
        </w:rPr>
        <w:t>poluiç</w:t>
      </w:r>
      <w:r w:rsidR="0050723B">
        <w:rPr>
          <w:rFonts w:ascii="Times New Roman" w:hAnsi="Times New Roman"/>
          <w:sz w:val="24"/>
          <w:szCs w:val="24"/>
        </w:rPr>
        <w:t xml:space="preserve">ão atmosférica, dos </w:t>
      </w:r>
      <w:r w:rsidR="001B2294">
        <w:rPr>
          <w:rFonts w:ascii="Times New Roman" w:hAnsi="Times New Roman"/>
          <w:sz w:val="24"/>
          <w:szCs w:val="24"/>
        </w:rPr>
        <w:t>rios,</w:t>
      </w:r>
      <w:r w:rsidR="0050723B">
        <w:rPr>
          <w:rFonts w:ascii="Times New Roman" w:hAnsi="Times New Roman"/>
          <w:sz w:val="24"/>
          <w:szCs w:val="24"/>
        </w:rPr>
        <w:t xml:space="preserve"> etc).O combate à crises</w:t>
      </w:r>
      <w:r w:rsidR="00CA0999">
        <w:rPr>
          <w:rFonts w:ascii="Times New Roman" w:hAnsi="Times New Roman"/>
          <w:sz w:val="24"/>
          <w:szCs w:val="24"/>
        </w:rPr>
        <w:t>o</w:t>
      </w:r>
      <w:r w:rsidR="0050723B">
        <w:rPr>
          <w:rFonts w:ascii="Times New Roman" w:hAnsi="Times New Roman"/>
          <w:sz w:val="24"/>
          <w:szCs w:val="24"/>
        </w:rPr>
        <w:t>cioambiental não pode se efetivar com mais crescimento, ma</w:t>
      </w:r>
      <w:r w:rsidR="00DA0864">
        <w:rPr>
          <w:rFonts w:ascii="Times New Roman" w:hAnsi="Times New Roman"/>
          <w:sz w:val="24"/>
          <w:szCs w:val="24"/>
        </w:rPr>
        <w:t>i</w:t>
      </w:r>
      <w:r w:rsidR="0050723B">
        <w:rPr>
          <w:rFonts w:ascii="Times New Roman" w:hAnsi="Times New Roman"/>
          <w:sz w:val="24"/>
          <w:szCs w:val="24"/>
        </w:rPr>
        <w:t xml:space="preserve">s expropriações, mais exploração sob </w:t>
      </w:r>
      <w:r>
        <w:rPr>
          <w:rFonts w:ascii="Times New Roman" w:hAnsi="Times New Roman"/>
          <w:sz w:val="24"/>
          <w:szCs w:val="24"/>
        </w:rPr>
        <w:t>a classe trabalhadora (pois vale lembrar que ainda estamos imersos num modo de produção que se alicerça na expropriação de valor)</w:t>
      </w:r>
      <w:r w:rsidR="0050723B">
        <w:rPr>
          <w:rFonts w:ascii="Times New Roman" w:hAnsi="Times New Roman"/>
          <w:sz w:val="24"/>
          <w:szCs w:val="24"/>
        </w:rPr>
        <w:t>. S</w:t>
      </w:r>
      <w:r>
        <w:rPr>
          <w:rFonts w:ascii="Times New Roman" w:hAnsi="Times New Roman"/>
          <w:sz w:val="24"/>
          <w:szCs w:val="24"/>
        </w:rPr>
        <w:t xml:space="preserve">eu combate necessariamente requer o “espírito de </w:t>
      </w:r>
      <w:r w:rsidR="001B2294">
        <w:rPr>
          <w:rFonts w:ascii="Times New Roman" w:hAnsi="Times New Roman"/>
          <w:sz w:val="24"/>
          <w:szCs w:val="24"/>
        </w:rPr>
        <w:t>cisão”, na expressão gramsciana:</w:t>
      </w:r>
    </w:p>
    <w:p w:rsidR="00837AC8" w:rsidRDefault="00837AC8" w:rsidP="00837AC8">
      <w:pPr>
        <w:autoSpaceDE w:val="0"/>
        <w:autoSpaceDN w:val="0"/>
        <w:adjustRightInd w:val="0"/>
        <w:spacing w:after="0" w:line="240" w:lineRule="auto"/>
        <w:ind w:left="2268"/>
        <w:jc w:val="both"/>
        <w:rPr>
          <w:rFonts w:ascii="Times New Roman" w:hAnsi="Times New Roman"/>
          <w:sz w:val="24"/>
          <w:szCs w:val="24"/>
        </w:rPr>
      </w:pPr>
      <w:r w:rsidRPr="001E04D8">
        <w:rPr>
          <w:rFonts w:ascii="Times New Roman" w:hAnsi="Times New Roman"/>
          <w:sz w:val="20"/>
          <w:szCs w:val="20"/>
        </w:rPr>
        <w:t>O que se pode contrapor, por parte de uma classe inovadora, a estecomplexo formidável de trincheiras e fortificações da classe dominante?O espírito de cisão, isto é, a conquista progressiva da consciência daprópria personalidade histórica, espírito de cisão que deve tender a seampliar da classe protagonista às classes aliadas potenciais: tudo issorequer um complexo trabalho ideológico, cuja primeira condição é oexato conhecimento do campo a ser esvaziado de seu elemento demassa humana</w:t>
      </w:r>
      <w:r>
        <w:rPr>
          <w:rFonts w:ascii="Times New Roman" w:hAnsi="Times New Roman"/>
          <w:sz w:val="20"/>
          <w:szCs w:val="20"/>
        </w:rPr>
        <w:t xml:space="preserve">. </w:t>
      </w:r>
      <w:r>
        <w:rPr>
          <w:rStyle w:val="Refdenotaderodap"/>
          <w:rFonts w:ascii="Times New Roman" w:hAnsi="Times New Roman"/>
          <w:sz w:val="20"/>
          <w:szCs w:val="20"/>
        </w:rPr>
        <w:footnoteReference w:id="621"/>
      </w:r>
    </w:p>
    <w:p w:rsidR="00837AC8" w:rsidRDefault="00837AC8" w:rsidP="00837AC8">
      <w:pPr>
        <w:autoSpaceDE w:val="0"/>
        <w:autoSpaceDN w:val="0"/>
        <w:adjustRightInd w:val="0"/>
        <w:spacing w:after="0" w:line="360" w:lineRule="auto"/>
        <w:ind w:firstLine="708"/>
        <w:jc w:val="both"/>
        <w:rPr>
          <w:rFonts w:ascii="Times New Roman" w:hAnsi="Times New Roman"/>
          <w:sz w:val="24"/>
          <w:szCs w:val="24"/>
        </w:rPr>
      </w:pPr>
    </w:p>
    <w:p w:rsidR="00582426" w:rsidRDefault="0050723B" w:rsidP="0050723B">
      <w:pPr>
        <w:pStyle w:val="NormalWeb"/>
        <w:spacing w:before="0" w:beforeAutospacing="0" w:after="0" w:afterAutospacing="0" w:line="360" w:lineRule="auto"/>
        <w:ind w:firstLine="708"/>
        <w:jc w:val="both"/>
      </w:pPr>
      <w:r>
        <w:t>Essa reflexão requer</w:t>
      </w:r>
      <w:r w:rsidR="001B2294">
        <w:t xml:space="preserve"> que </w:t>
      </w:r>
      <w:r>
        <w:t xml:space="preserve">se </w:t>
      </w:r>
      <w:r w:rsidR="001B2294">
        <w:t>dispens</w:t>
      </w:r>
      <w:r>
        <w:t>e</w:t>
      </w:r>
      <w:r w:rsidR="001B2294">
        <w:t xml:space="preserve"> e ultrapass</w:t>
      </w:r>
      <w:r>
        <w:t>e</w:t>
      </w:r>
      <w:r w:rsidR="001B2294">
        <w:t>, como um dos pontos de partida para edificação da hegemonia dos subalternos, as formas político-ideológicas de adulação e de pactuação com seu antagonista social.</w:t>
      </w:r>
    </w:p>
    <w:p w:rsidR="0050723B" w:rsidRPr="00582426" w:rsidRDefault="0050723B" w:rsidP="0050723B">
      <w:pPr>
        <w:pStyle w:val="NormalWeb"/>
        <w:spacing w:before="0" w:beforeAutospacing="0" w:after="0" w:afterAutospacing="0" w:line="360" w:lineRule="auto"/>
        <w:ind w:firstLine="708"/>
        <w:jc w:val="both"/>
      </w:pPr>
    </w:p>
    <w:p w:rsidR="00582426" w:rsidRDefault="00582426" w:rsidP="00582426">
      <w:pPr>
        <w:spacing w:before="240" w:after="0" w:line="360" w:lineRule="auto"/>
        <w:jc w:val="both"/>
        <w:rPr>
          <w:rFonts w:ascii="Times New Roman" w:hAnsi="Times New Roman"/>
          <w:sz w:val="24"/>
          <w:szCs w:val="24"/>
        </w:rPr>
      </w:pPr>
    </w:p>
    <w:p w:rsidR="00CC3E9A" w:rsidRDefault="00CC3E9A">
      <w:pPr>
        <w:rPr>
          <w:rFonts w:ascii="Times New Roman" w:hAnsi="Times New Roman"/>
          <w:sz w:val="24"/>
          <w:szCs w:val="24"/>
        </w:rPr>
      </w:pPr>
    </w:p>
    <w:p w:rsidR="009B30F7" w:rsidRDefault="009B30F7">
      <w:pPr>
        <w:rPr>
          <w:rFonts w:ascii="Times New Roman" w:hAnsi="Times New Roman"/>
          <w:sz w:val="24"/>
          <w:szCs w:val="24"/>
        </w:rPr>
      </w:pPr>
    </w:p>
    <w:p w:rsidR="009B30F7" w:rsidRDefault="009B30F7">
      <w:pPr>
        <w:rPr>
          <w:rFonts w:ascii="Times New Roman" w:hAnsi="Times New Roman"/>
          <w:sz w:val="24"/>
          <w:szCs w:val="24"/>
        </w:rPr>
      </w:pPr>
    </w:p>
    <w:p w:rsidR="009B30F7" w:rsidRDefault="009B30F7">
      <w:pPr>
        <w:rPr>
          <w:rFonts w:ascii="Times New Roman" w:hAnsi="Times New Roman"/>
          <w:sz w:val="24"/>
          <w:szCs w:val="24"/>
        </w:rPr>
      </w:pPr>
    </w:p>
    <w:p w:rsidR="009B30F7" w:rsidRDefault="009B30F7">
      <w:pPr>
        <w:rPr>
          <w:rFonts w:ascii="Times New Roman" w:hAnsi="Times New Roman"/>
          <w:sz w:val="24"/>
          <w:szCs w:val="24"/>
        </w:rPr>
      </w:pPr>
    </w:p>
    <w:p w:rsidR="009B30F7" w:rsidRDefault="009B30F7">
      <w:pPr>
        <w:rPr>
          <w:rFonts w:ascii="Times New Roman" w:hAnsi="Times New Roman"/>
          <w:sz w:val="24"/>
          <w:szCs w:val="24"/>
        </w:rPr>
      </w:pPr>
    </w:p>
    <w:p w:rsidR="009B30F7" w:rsidRDefault="009B30F7">
      <w:pPr>
        <w:rPr>
          <w:rFonts w:ascii="Times New Roman" w:hAnsi="Times New Roman"/>
          <w:sz w:val="24"/>
          <w:szCs w:val="24"/>
        </w:rPr>
      </w:pPr>
    </w:p>
    <w:p w:rsidR="00B853EE" w:rsidRDefault="00B853EE" w:rsidP="00BF2FC7">
      <w:pPr>
        <w:autoSpaceDE w:val="0"/>
        <w:autoSpaceDN w:val="0"/>
        <w:adjustRightInd w:val="0"/>
        <w:spacing w:line="360" w:lineRule="auto"/>
        <w:jc w:val="both"/>
        <w:rPr>
          <w:rFonts w:ascii="Times New Roman" w:hAnsi="Times New Roman"/>
          <w:sz w:val="24"/>
          <w:szCs w:val="24"/>
        </w:rPr>
      </w:pPr>
    </w:p>
    <w:p w:rsidR="004D7366" w:rsidRPr="002176E0" w:rsidRDefault="004D7366" w:rsidP="004D7366">
      <w:p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5.0 – CONSIDERAÇÕES FINAIS</w:t>
      </w:r>
    </w:p>
    <w:p w:rsidR="004D7366" w:rsidRDefault="004D7366" w:rsidP="004D7366">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A integração dos setores empresariais (agrários, industriais, financeiros) organizados aos aparelhos estatais, por intermédio de canais de atendimento aos seus interesses, percorre a trajetória política brasileira desde pelo menos inícios do século XX.  Desde há tempos, então, o Estado no Brasil é “ampliado”, na acepção gramsciana. A ampliação deve-se ao fato de que o Estado já não pode ser mais reduzido ao conjunto de órgãos, agências e aparatos administrativos. Ele “amplia-se” à medida que aparelhos privados de hegemonia (APH’s) de cunho patronal inscrevem seus projetos de hegemonia na ossatura do Estado, universalizando-os, isto é, transformando-os em projetos “nacionais”, “de interesse de todos”, “para o bem-comum”, etc. Fundamental tornar-se-ia o papel cumprido pelos intelectuais orgânicos das classes dominantes: eram (e são) os sujeitos histórico-sociais responsáveis por conduzir, traduzir ou até mesmo implementar, eles próprios, as aspirações da fração da classe dominante a qual pertencia, formuladas nas entidades da sociedade civil (APH’s), em política de Estado. Esse processo responde, obviamente, às necessidades de renovação das elites dirigentes e dominantes, premidas por readequações e/ou pelo advento de novos interesses diante da dinâmica das relações de produção capitalistas. </w:t>
      </w:r>
    </w:p>
    <w:p w:rsidR="004D7366" w:rsidRDefault="004D7366" w:rsidP="004D7366">
      <w:pPr>
        <w:spacing w:line="360" w:lineRule="auto"/>
        <w:ind w:firstLine="708"/>
        <w:jc w:val="both"/>
        <w:rPr>
          <w:rFonts w:ascii="Times New Roman" w:hAnsi="Times New Roman"/>
          <w:sz w:val="24"/>
          <w:szCs w:val="24"/>
        </w:rPr>
      </w:pPr>
      <w:r>
        <w:rPr>
          <w:rFonts w:ascii="Times New Roman" w:hAnsi="Times New Roman"/>
          <w:sz w:val="24"/>
          <w:szCs w:val="24"/>
        </w:rPr>
        <w:t>O encaminhamento de alguns conflitos intraclasses dominantes e de suas demandas poderia também ser feito através da forma política representativa (partidos, Parlamento), “desde que as arenas fundamentais, no plano das entidades da sociedade civil e em seu espelhamento na composição dos órgãos estatais estivessem preservadas”.</w:t>
      </w:r>
      <w:r>
        <w:rPr>
          <w:rStyle w:val="Refdenotaderodap"/>
          <w:rFonts w:ascii="Times New Roman" w:hAnsi="Times New Roman"/>
          <w:sz w:val="24"/>
          <w:szCs w:val="24"/>
        </w:rPr>
        <w:footnoteReference w:id="622"/>
      </w:r>
      <w:r>
        <w:rPr>
          <w:rFonts w:ascii="Times New Roman" w:hAnsi="Times New Roman"/>
          <w:sz w:val="24"/>
          <w:szCs w:val="24"/>
        </w:rPr>
        <w:t xml:space="preserve"> Esse mecanismo permitia que as classes dominantes mantivessem a representação e a desqualificasse simultaneamente, afastando-se dela quando os setores populares ameaçavam interditar os arranjos “pelo alto”.</w:t>
      </w:r>
    </w:p>
    <w:p w:rsidR="004D7366" w:rsidRPr="00EC58D0" w:rsidRDefault="004D7366" w:rsidP="004D7366">
      <w:pPr>
        <w:spacing w:line="240" w:lineRule="auto"/>
        <w:ind w:left="2268"/>
        <w:jc w:val="both"/>
        <w:rPr>
          <w:rFonts w:ascii="Times New Roman" w:hAnsi="Times New Roman"/>
          <w:sz w:val="20"/>
          <w:szCs w:val="20"/>
        </w:rPr>
      </w:pPr>
      <w:r w:rsidRPr="00EC58D0">
        <w:rPr>
          <w:rFonts w:ascii="Times New Roman" w:hAnsi="Times New Roman"/>
          <w:sz w:val="20"/>
          <w:szCs w:val="20"/>
        </w:rPr>
        <w:t xml:space="preserve">Esse é o papel fundamental que vem cumprindo o sistema representativo – tornar nacionais (isto é, de forma a atingir uma abrangência territorial expressiva) </w:t>
      </w:r>
      <w:r w:rsidRPr="00EC58D0">
        <w:rPr>
          <w:rFonts w:ascii="Times New Roman" w:hAnsi="Times New Roman"/>
          <w:b/>
          <w:sz w:val="20"/>
          <w:szCs w:val="20"/>
        </w:rPr>
        <w:t>as opções já em curso na política brasileira</w:t>
      </w:r>
      <w:r w:rsidRPr="00EC58D0">
        <w:rPr>
          <w:rFonts w:ascii="Times New Roman" w:hAnsi="Times New Roman"/>
          <w:sz w:val="20"/>
          <w:szCs w:val="20"/>
        </w:rPr>
        <w:t xml:space="preserve">, legitimando-as nos momentos eleitorais. Isso assegura a incorporação eleitoral do conjunto da população, mantendo-a com baixa efetividade. Esse procedimento (...) responde apenas à lógica contraditória que atravessa uma expansão do sistema representativo (eleitoral) e da incorporação eleitoral </w:t>
      </w:r>
      <w:r w:rsidRPr="00EC58D0">
        <w:rPr>
          <w:rFonts w:ascii="Times New Roman" w:hAnsi="Times New Roman"/>
          <w:b/>
          <w:sz w:val="20"/>
          <w:szCs w:val="20"/>
        </w:rPr>
        <w:t>aliada a uma ampliação seletiva e unilateral do Estado</w:t>
      </w:r>
      <w:r w:rsidRPr="00EC58D0">
        <w:rPr>
          <w:rFonts w:ascii="Times New Roman" w:hAnsi="Times New Roman"/>
          <w:sz w:val="20"/>
          <w:szCs w:val="20"/>
        </w:rPr>
        <w:t>.</w:t>
      </w:r>
      <w:r>
        <w:rPr>
          <w:rStyle w:val="Refdenotaderodap"/>
          <w:rFonts w:ascii="Times New Roman" w:hAnsi="Times New Roman"/>
          <w:sz w:val="20"/>
          <w:szCs w:val="20"/>
        </w:rPr>
        <w:footnoteReference w:id="623"/>
      </w: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 xml:space="preserve">A ampliação </w:t>
      </w:r>
      <w:r>
        <w:rPr>
          <w:rFonts w:ascii="Times New Roman" w:hAnsi="Times New Roman"/>
          <w:i/>
          <w:sz w:val="24"/>
          <w:szCs w:val="24"/>
        </w:rPr>
        <w:t>seletiva</w:t>
      </w:r>
      <w:r>
        <w:rPr>
          <w:rFonts w:ascii="Times New Roman" w:hAnsi="Times New Roman"/>
          <w:sz w:val="24"/>
          <w:szCs w:val="24"/>
        </w:rPr>
        <w:t xml:space="preserve"> e </w:t>
      </w:r>
      <w:r>
        <w:rPr>
          <w:rFonts w:ascii="Times New Roman" w:hAnsi="Times New Roman"/>
          <w:i/>
          <w:sz w:val="24"/>
          <w:szCs w:val="24"/>
        </w:rPr>
        <w:t xml:space="preserve">unilateral </w:t>
      </w:r>
      <w:r>
        <w:rPr>
          <w:rFonts w:ascii="Times New Roman" w:hAnsi="Times New Roman"/>
          <w:sz w:val="24"/>
          <w:szCs w:val="24"/>
        </w:rPr>
        <w:t xml:space="preserve">do Estado de que Fontes (2005) trata é histórica, mas permanece acionada e ainda mais robusta e requintada no cenário nacional recente. A unilateralidade e seletividade ocorriam apoiadas no uso intenso e aberto da coerção privada e estatal, garroteando as formas organizativas dos setores dominados e restringindo-os à saída eleitoral. </w:t>
      </w:r>
    </w:p>
    <w:p w:rsidR="004D7366" w:rsidRDefault="004D7366" w:rsidP="004D7366">
      <w:pPr>
        <w:spacing w:line="360" w:lineRule="auto"/>
        <w:ind w:firstLine="708"/>
        <w:jc w:val="both"/>
        <w:rPr>
          <w:rFonts w:ascii="Times New Roman" w:hAnsi="Times New Roman"/>
          <w:sz w:val="24"/>
          <w:szCs w:val="24"/>
        </w:rPr>
      </w:pPr>
      <w:r>
        <w:rPr>
          <w:rFonts w:ascii="Times New Roman" w:hAnsi="Times New Roman"/>
          <w:sz w:val="24"/>
          <w:szCs w:val="24"/>
        </w:rPr>
        <w:t xml:space="preserve">A rigor, </w:t>
      </w:r>
      <w:r>
        <w:rPr>
          <w:rFonts w:ascii="Times New Roman" w:hAnsi="Times New Roman"/>
          <w:i/>
          <w:sz w:val="24"/>
          <w:szCs w:val="24"/>
        </w:rPr>
        <w:t>aparentemente,</w:t>
      </w:r>
      <w:r>
        <w:rPr>
          <w:rFonts w:ascii="Times New Roman" w:hAnsi="Times New Roman"/>
          <w:sz w:val="24"/>
          <w:szCs w:val="24"/>
        </w:rPr>
        <w:t xml:space="preserve"> observando a própria composição do CDES entre 2003 e 2010, percebemos que não se tratava de uma amostra da seletividade ampliada do Estado brasileiro </w:t>
      </w:r>
      <w:r>
        <w:rPr>
          <w:rFonts w:ascii="Times New Roman" w:hAnsi="Times New Roman"/>
          <w:i/>
          <w:sz w:val="24"/>
          <w:szCs w:val="24"/>
        </w:rPr>
        <w:t>strictu senso</w:t>
      </w:r>
      <w:r>
        <w:rPr>
          <w:rFonts w:ascii="Times New Roman" w:hAnsi="Times New Roman"/>
          <w:sz w:val="24"/>
          <w:szCs w:val="24"/>
        </w:rPr>
        <w:t xml:space="preserve">. Muitos outros grupos sociais, muito embora sempre minoritários, se faziam representar para além das classes dominantes. Um olhar mais atento, porém, pode problematizar ainda mais a questão: i) trata-se de um Conselho que preservou, durante os dois mandatos de Lula da Silva, um predomínio inconteste (52% na média geral) de conselheiros conectados </w:t>
      </w:r>
      <w:r>
        <w:rPr>
          <w:rFonts w:ascii="Times New Roman" w:hAnsi="Times New Roman"/>
          <w:i/>
          <w:sz w:val="24"/>
          <w:szCs w:val="24"/>
        </w:rPr>
        <w:t xml:space="preserve">diretamente </w:t>
      </w:r>
      <w:r>
        <w:rPr>
          <w:rFonts w:ascii="Times New Roman" w:hAnsi="Times New Roman"/>
          <w:sz w:val="24"/>
          <w:szCs w:val="24"/>
        </w:rPr>
        <w:t xml:space="preserve">ao médio, mas, sobretudo, ao grande empresariado das diversas frações do capital; ii) todos os sindicalistas nomeados como conselheiros gravaram em sua trajetória a assunção a cargos de destaque nas principais Centrais Sindicais (CUT, Força Sindical, UGT, NCST, CGTB) que se alinhavam – ou passaram a se alinhar –, por vias diversas, ao horizonte patronal através de alianças, pactos ou negociações, na imersão ao colaboracionismo e ao possibilismo acima mencionado, inclusive muitos tornar-se-iam </w:t>
      </w:r>
      <w:r>
        <w:rPr>
          <w:rFonts w:ascii="Times New Roman" w:hAnsi="Times New Roman"/>
          <w:i/>
          <w:sz w:val="24"/>
          <w:szCs w:val="24"/>
        </w:rPr>
        <w:t xml:space="preserve">doublés </w:t>
      </w:r>
      <w:r>
        <w:rPr>
          <w:rFonts w:ascii="Times New Roman" w:hAnsi="Times New Roman"/>
          <w:sz w:val="24"/>
          <w:szCs w:val="24"/>
        </w:rPr>
        <w:t>de banqueiros, no dizer de Francisco de Oliveira, à frente da gerência de vultuosos fundos de pensão. Esse setor, no CDES, girava em torno de 16% da plenária; iii) os intelectuais acadêmicos e as personalidades representavam, em média, 14% da plenária no período, sendo que 80% desses eram acadêmicos. Dentre esse pequeno, mas seleto e influente segmento do CDES, poderia se encontrar, no que tange às posições político-ideológicas, social-liberais e lampejos social-democratas, sendo que alguns claramente orbitavam em torno do PT.</w:t>
      </w:r>
      <w:r>
        <w:rPr>
          <w:rStyle w:val="Refdenotaderodap"/>
          <w:rFonts w:ascii="Times New Roman" w:hAnsi="Times New Roman"/>
          <w:sz w:val="24"/>
          <w:szCs w:val="24"/>
        </w:rPr>
        <w:footnoteReference w:id="624"/>
      </w:r>
      <w:r>
        <w:rPr>
          <w:rFonts w:ascii="Times New Roman" w:hAnsi="Times New Roman"/>
          <w:sz w:val="24"/>
          <w:szCs w:val="24"/>
        </w:rPr>
        <w:t xml:space="preserve"> O que queremos afirmar é que, decisivamente, não desafiavam o </w:t>
      </w:r>
      <w:r>
        <w:rPr>
          <w:rFonts w:ascii="Times New Roman" w:hAnsi="Times New Roman"/>
          <w:i/>
          <w:sz w:val="24"/>
          <w:szCs w:val="24"/>
        </w:rPr>
        <w:t xml:space="preserve">status quo </w:t>
      </w:r>
      <w:r>
        <w:rPr>
          <w:rFonts w:ascii="Times New Roman" w:hAnsi="Times New Roman"/>
          <w:sz w:val="24"/>
          <w:szCs w:val="24"/>
        </w:rPr>
        <w:t xml:space="preserve">e, muito ao contrário, colocavam-se a postos como refinadores intelectuais do projeto que então se desenhava; iv) dentre as lideranças daquilo que classificamos como “demais entidades da sociedade civil”, somente quatro delas provinham </w:t>
      </w:r>
      <w:r w:rsidRPr="00240607">
        <w:rPr>
          <w:rFonts w:ascii="Times New Roman" w:hAnsi="Times New Roman"/>
          <w:i/>
          <w:sz w:val="24"/>
          <w:szCs w:val="24"/>
        </w:rPr>
        <w:t>claramente</w:t>
      </w:r>
      <w:r>
        <w:rPr>
          <w:rFonts w:ascii="Times New Roman" w:hAnsi="Times New Roman"/>
          <w:sz w:val="24"/>
          <w:szCs w:val="24"/>
        </w:rPr>
        <w:t xml:space="preserve"> do setor popular.</w:t>
      </w:r>
      <w:r>
        <w:rPr>
          <w:rStyle w:val="Refdenotaderodap"/>
          <w:rFonts w:ascii="Times New Roman" w:hAnsi="Times New Roman"/>
          <w:sz w:val="24"/>
          <w:szCs w:val="24"/>
        </w:rPr>
        <w:footnoteReference w:id="625"/>
      </w:r>
      <w:r>
        <w:rPr>
          <w:rFonts w:ascii="Times New Roman" w:hAnsi="Times New Roman"/>
          <w:sz w:val="24"/>
          <w:szCs w:val="24"/>
        </w:rPr>
        <w:t xml:space="preserve"> Alguns se dedicavam à organizá-los (principalmente organizações da igreja católica), outros representavam uma miríade de entidades com interesses distintos: estudantes, cegos, pentecostais, membros do judiciário e advogados, institutos e fóruns de estudos e pesquisas, dentre outros, mas que, no geral, </w:t>
      </w:r>
      <w:r>
        <w:rPr>
          <w:rFonts w:ascii="Times New Roman" w:hAnsi="Times New Roman"/>
          <w:i/>
          <w:sz w:val="24"/>
          <w:szCs w:val="24"/>
        </w:rPr>
        <w:t>não se colocavam como organizadores para a autonomia das classes subalternas</w:t>
      </w:r>
      <w:r>
        <w:rPr>
          <w:rFonts w:ascii="Times New Roman" w:hAnsi="Times New Roman"/>
          <w:sz w:val="24"/>
          <w:szCs w:val="24"/>
        </w:rPr>
        <w:t>. Apesar de bastante minoritários, o setor autenticamente popular deixava marcas desde sua posição de classe nas plenárias, diante de uma plateia arredia à sua presença, como observa a conselheira Sonia Fleury:</w:t>
      </w:r>
    </w:p>
    <w:p w:rsidR="004D7366" w:rsidRPr="00FD69A5" w:rsidRDefault="004D7366" w:rsidP="004D7366">
      <w:pPr>
        <w:spacing w:line="240" w:lineRule="auto"/>
        <w:ind w:left="2268"/>
        <w:jc w:val="both"/>
        <w:rPr>
          <w:rFonts w:ascii="Times New Roman" w:hAnsi="Times New Roman"/>
          <w:sz w:val="20"/>
          <w:szCs w:val="20"/>
        </w:rPr>
      </w:pPr>
      <w:r w:rsidRPr="00FD69A5">
        <w:rPr>
          <w:rFonts w:ascii="Times New Roman" w:hAnsi="Times New Roman"/>
          <w:sz w:val="20"/>
          <w:szCs w:val="20"/>
        </w:rPr>
        <w:t xml:space="preserve">(...) nesta curta experiência do CDES, a barreira que pareceu ser intransponível foi aquela relativa à necessidade de reconhecimento das lideranças oriundas dos movimentos populares como parte integrante desta esfera pública ampliada. </w:t>
      </w:r>
      <w:r w:rsidRPr="00EB19CB">
        <w:rPr>
          <w:rFonts w:ascii="Times New Roman" w:hAnsi="Times New Roman"/>
          <w:b/>
          <w:sz w:val="20"/>
          <w:szCs w:val="20"/>
        </w:rPr>
        <w:t>A intolerância das elites econômicas com relação aos movimentos sociais, vistos como elementos incômodos naquele contexto, impedia a construção de uma aliança mais ampla</w:t>
      </w:r>
      <w:r w:rsidRPr="00FD69A5">
        <w:rPr>
          <w:rFonts w:ascii="Times New Roman" w:hAnsi="Times New Roman"/>
          <w:sz w:val="20"/>
          <w:szCs w:val="20"/>
        </w:rPr>
        <w:t xml:space="preserve">. Representantes dos Sem-Terra, de Mulheres Negras, etc. quando colocavam suas demandas ou questionamentos às autoridades, desde este lugar social que representavam, </w:t>
      </w:r>
      <w:r w:rsidRPr="00EB19CB">
        <w:rPr>
          <w:rFonts w:ascii="Times New Roman" w:hAnsi="Times New Roman"/>
          <w:b/>
          <w:sz w:val="20"/>
          <w:szCs w:val="20"/>
        </w:rPr>
        <w:t>eram sempre vistos como estranhos no ninho</w:t>
      </w:r>
      <w:r w:rsidRPr="00FD69A5">
        <w:rPr>
          <w:rFonts w:ascii="Times New Roman" w:hAnsi="Times New Roman"/>
          <w:sz w:val="20"/>
          <w:szCs w:val="20"/>
        </w:rPr>
        <w:t xml:space="preserve">. Da mesma forma, os representantes populares, </w:t>
      </w:r>
      <w:r w:rsidRPr="00225F68">
        <w:rPr>
          <w:rFonts w:ascii="Times New Roman" w:hAnsi="Times New Roman"/>
          <w:b/>
          <w:sz w:val="20"/>
          <w:szCs w:val="20"/>
        </w:rPr>
        <w:t>descrentes de qualquer possibilidade de aliança com os setores dominantes</w:t>
      </w:r>
      <w:r w:rsidRPr="00FD69A5">
        <w:rPr>
          <w:rFonts w:ascii="Times New Roman" w:hAnsi="Times New Roman"/>
          <w:sz w:val="20"/>
          <w:szCs w:val="20"/>
        </w:rPr>
        <w:t>, adotaram, na maioria das vezes um discurso de denúncia mais radical, entendendo que lhes c</w:t>
      </w:r>
      <w:r>
        <w:rPr>
          <w:rFonts w:ascii="Times New Roman" w:hAnsi="Times New Roman"/>
          <w:sz w:val="20"/>
          <w:szCs w:val="20"/>
        </w:rPr>
        <w:t>abia apenas marcar sua presença.</w:t>
      </w:r>
      <w:r>
        <w:rPr>
          <w:rStyle w:val="Refdenotaderodap"/>
          <w:rFonts w:ascii="Times New Roman" w:hAnsi="Times New Roman"/>
          <w:sz w:val="20"/>
          <w:szCs w:val="20"/>
        </w:rPr>
        <w:footnoteReference w:id="626"/>
      </w: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Pois bem, se foi esse o perfil s</w:t>
      </w:r>
      <w:r w:rsidR="00CA0999">
        <w:rPr>
          <w:rFonts w:ascii="Times New Roman" w:hAnsi="Times New Roman"/>
          <w:sz w:val="24"/>
          <w:szCs w:val="24"/>
        </w:rPr>
        <w:t>o</w:t>
      </w:r>
      <w:r>
        <w:rPr>
          <w:rFonts w:ascii="Times New Roman" w:hAnsi="Times New Roman"/>
          <w:sz w:val="24"/>
          <w:szCs w:val="24"/>
        </w:rPr>
        <w:t xml:space="preserve">cioclassista dos conselheiros do CDES, quais foram as reais potencialidades deste Conselho em não costurar internamente e/ou descaracterizar os projetos hegemônicos das classes dominantes brasileiras durante os governos Lula da Silva? É óbvio que, pelo estudo do Conselho, o Estado ampliou-se para além da composição de origem </w:t>
      </w:r>
      <w:r>
        <w:rPr>
          <w:rFonts w:ascii="Times New Roman" w:hAnsi="Times New Roman"/>
          <w:i/>
          <w:sz w:val="24"/>
          <w:szCs w:val="24"/>
        </w:rPr>
        <w:t>estritamente</w:t>
      </w:r>
      <w:r>
        <w:rPr>
          <w:rFonts w:ascii="Times New Roman" w:hAnsi="Times New Roman"/>
          <w:sz w:val="24"/>
          <w:szCs w:val="24"/>
        </w:rPr>
        <w:t xml:space="preserve"> empresarial. Contudo, a heterogeneidade pretendida apontava, no fundo, para uma </w:t>
      </w:r>
      <w:r>
        <w:rPr>
          <w:rFonts w:ascii="Times New Roman" w:hAnsi="Times New Roman"/>
          <w:i/>
          <w:sz w:val="24"/>
          <w:szCs w:val="24"/>
        </w:rPr>
        <w:t xml:space="preserve">forte tendência à </w:t>
      </w:r>
      <w:r w:rsidRPr="00DA385C">
        <w:rPr>
          <w:rFonts w:ascii="Times New Roman" w:hAnsi="Times New Roman"/>
          <w:i/>
          <w:sz w:val="24"/>
          <w:szCs w:val="24"/>
        </w:rPr>
        <w:t>convergência</w:t>
      </w:r>
      <w:r>
        <w:rPr>
          <w:rFonts w:ascii="Times New Roman" w:hAnsi="Times New Roman"/>
          <w:sz w:val="24"/>
          <w:szCs w:val="24"/>
        </w:rPr>
        <w:t xml:space="preserve">, embora tensa e conflituosa, de visões de mundo, de projetos de sociabilidade e, além disso, a integração das lideranças autenticamente populares era muito diminuta, facilitando acordos a partir de interesses conflitantes, mas não incompatíveis. A convergência aludida só pôde ser operada por meio de uma brusca e meteórica desorganização política dos grupos subalternos ao longo dos anos 90, cujo principal golpe foi a </w:t>
      </w:r>
      <w:r>
        <w:rPr>
          <w:rFonts w:ascii="Times New Roman" w:hAnsi="Times New Roman"/>
          <w:i/>
          <w:sz w:val="24"/>
          <w:szCs w:val="24"/>
        </w:rPr>
        <w:t>decapitação política</w:t>
      </w:r>
      <w:r>
        <w:rPr>
          <w:rFonts w:ascii="Times New Roman" w:hAnsi="Times New Roman"/>
          <w:sz w:val="24"/>
          <w:szCs w:val="24"/>
        </w:rPr>
        <w:t xml:space="preserve"> de suas direções – que não deixou de existir, mas orientou-se para o centro do projeto político dos grupos dominantes. </w:t>
      </w: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 xml:space="preserve">Na luta de classes por que atravessou a sociedade brasileira nas últimas duas décadas e meia o fenômeno do transformismo, em sua apreensão gramsciana como </w:t>
      </w:r>
      <w:r w:rsidRPr="008A00A0">
        <w:rPr>
          <w:rFonts w:ascii="Times New Roman" w:hAnsi="Times New Roman"/>
          <w:sz w:val="24"/>
          <w:szCs w:val="24"/>
        </w:rPr>
        <w:t>“absorção gradual mas contínua, e obtida com métodos de variada eficácia, dos elementos ativos surgidos dos grupos aliados e mesmo dos adversários e que pareciam irreconciliavelmente inimigos”</w:t>
      </w:r>
      <w:r>
        <w:rPr>
          <w:rFonts w:ascii="Times New Roman" w:hAnsi="Times New Roman"/>
          <w:sz w:val="24"/>
          <w:szCs w:val="24"/>
        </w:rPr>
        <w:t>,</w:t>
      </w:r>
      <w:r>
        <w:rPr>
          <w:rStyle w:val="Refdenotaderodap"/>
          <w:rFonts w:ascii="Times New Roman" w:hAnsi="Times New Roman"/>
          <w:sz w:val="24"/>
          <w:szCs w:val="24"/>
        </w:rPr>
        <w:footnoteReference w:id="627"/>
      </w:r>
      <w:r>
        <w:rPr>
          <w:rFonts w:ascii="Times New Roman" w:hAnsi="Times New Roman"/>
          <w:sz w:val="24"/>
          <w:szCs w:val="24"/>
        </w:rPr>
        <w:t xml:space="preserve"> comportou, no estudo do CDES, papel bastante visível. Ainda que não tenha figurado como foco das preocupações da tese, o Conselho é também </w:t>
      </w:r>
      <w:r w:rsidRPr="00815FF7">
        <w:rPr>
          <w:rFonts w:ascii="Times New Roman" w:hAnsi="Times New Roman"/>
          <w:i/>
          <w:sz w:val="24"/>
          <w:szCs w:val="24"/>
        </w:rPr>
        <w:t>herdeiro</w:t>
      </w:r>
      <w:r>
        <w:rPr>
          <w:rFonts w:ascii="Times New Roman" w:hAnsi="Times New Roman"/>
          <w:i/>
          <w:sz w:val="24"/>
          <w:szCs w:val="24"/>
        </w:rPr>
        <w:t xml:space="preserve"> ativo</w:t>
      </w:r>
      <w:r w:rsidRPr="00815FF7">
        <w:rPr>
          <w:rFonts w:ascii="Times New Roman" w:hAnsi="Times New Roman"/>
          <w:i/>
          <w:sz w:val="24"/>
          <w:szCs w:val="24"/>
        </w:rPr>
        <w:t xml:space="preserve"> do transformismo</w:t>
      </w:r>
      <w:r>
        <w:rPr>
          <w:rFonts w:ascii="Times New Roman" w:hAnsi="Times New Roman"/>
          <w:sz w:val="24"/>
          <w:szCs w:val="24"/>
        </w:rPr>
        <w:t xml:space="preserve">. Mediante tática que inicialmente se apresentava como colaboracionista e que, meteoricamente, se revelou como movimento de adesão radical dos expoentes da direção do Partido dos Trabalhadores e da cúpula da burocracia sindical da CUT ao programa e ao gerenciamento (esse principalmente por meio dos fundos de pensão das estatais) da dinâmica de expansão das relações sociais capitalistas no Brasil dos anos 2000, levou-se à “decapitação” e “aniquilação” do grupo inimigo. “Pactuação”, “concertação” ou “novo contrato” social foi a ideologia principal de </w:t>
      </w:r>
      <w:r w:rsidRPr="00B24BA9">
        <w:rPr>
          <w:rFonts w:ascii="Times New Roman" w:hAnsi="Times New Roman"/>
          <w:i/>
          <w:sz w:val="24"/>
          <w:szCs w:val="24"/>
        </w:rPr>
        <w:t>regulação compartilhada de conflitos</w:t>
      </w:r>
      <w:r>
        <w:rPr>
          <w:rFonts w:ascii="Times New Roman" w:hAnsi="Times New Roman"/>
          <w:sz w:val="24"/>
          <w:szCs w:val="24"/>
        </w:rPr>
        <w:t xml:space="preserve"> no CDES. Contudo, ela só foi possível mediante “poderosa atração”, no passado recente, pela classe dominante, dos grupos ou elementos político-organizativos mais ativos da classe trabalhadora, corroborando para a ampliação da “ala esquerda” dos setores dominantes e, consequentemente, para o aprofundamento da subordinação e da desorganização política autônoma dos subalternos.</w:t>
      </w:r>
      <w:r>
        <w:rPr>
          <w:rStyle w:val="Refdenotaderodap"/>
          <w:rFonts w:ascii="Times New Roman" w:hAnsi="Times New Roman"/>
          <w:sz w:val="24"/>
          <w:szCs w:val="24"/>
        </w:rPr>
        <w:footnoteReference w:id="628"/>
      </w: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 xml:space="preserve">O CDES, como expressão da experiência do transformismo, como canal de acesso à presença maciça dos dominantes, como espelhamento e síntese da intelectualidade social-liberal acadêmica brasileira, como arena receptiva às entidades fragmentadas e desconexas, do setorialismo ao cosmopolitismo e, principalmente, </w:t>
      </w:r>
      <w:r w:rsidRPr="007725DB">
        <w:rPr>
          <w:rFonts w:ascii="Times New Roman" w:hAnsi="Times New Roman"/>
          <w:i/>
          <w:sz w:val="24"/>
          <w:szCs w:val="24"/>
        </w:rPr>
        <w:t>como aquilo que ele nunca pretende</w:t>
      </w:r>
      <w:r>
        <w:rPr>
          <w:rFonts w:ascii="Times New Roman" w:hAnsi="Times New Roman"/>
          <w:i/>
          <w:sz w:val="24"/>
          <w:szCs w:val="24"/>
        </w:rPr>
        <w:t>u</w:t>
      </w:r>
      <w:r w:rsidRPr="007725DB">
        <w:rPr>
          <w:rFonts w:ascii="Times New Roman" w:hAnsi="Times New Roman"/>
          <w:i/>
          <w:sz w:val="24"/>
          <w:szCs w:val="24"/>
        </w:rPr>
        <w:t xml:space="preserve"> ser</w:t>
      </w:r>
      <w:r>
        <w:rPr>
          <w:rFonts w:ascii="Times New Roman" w:hAnsi="Times New Roman"/>
          <w:sz w:val="24"/>
          <w:szCs w:val="24"/>
        </w:rPr>
        <w:t xml:space="preserve"> – um espaço de incorporação das </w:t>
      </w:r>
      <w:r w:rsidRPr="007C018A">
        <w:rPr>
          <w:rFonts w:ascii="Times New Roman" w:hAnsi="Times New Roman"/>
          <w:i/>
          <w:sz w:val="24"/>
          <w:szCs w:val="24"/>
        </w:rPr>
        <w:t>reais</w:t>
      </w:r>
      <w:r w:rsidRPr="007725DB">
        <w:rPr>
          <w:rFonts w:ascii="Times New Roman" w:hAnsi="Times New Roman"/>
          <w:i/>
          <w:sz w:val="24"/>
          <w:szCs w:val="24"/>
        </w:rPr>
        <w:t>reivindicações</w:t>
      </w:r>
      <w:r>
        <w:rPr>
          <w:rFonts w:ascii="Times New Roman" w:hAnsi="Times New Roman"/>
          <w:sz w:val="24"/>
          <w:szCs w:val="24"/>
        </w:rPr>
        <w:t xml:space="preserve"> das classes subalternas a partir da atuação de suas mais destacadas, organizadas e combativas entidades -, significou a </w:t>
      </w:r>
      <w:r w:rsidRPr="000B6ABE">
        <w:rPr>
          <w:rFonts w:ascii="Times New Roman" w:hAnsi="Times New Roman"/>
          <w:i/>
          <w:sz w:val="24"/>
          <w:szCs w:val="24"/>
        </w:rPr>
        <w:t>reedição alterada</w:t>
      </w:r>
      <w:r>
        <w:rPr>
          <w:rFonts w:ascii="Times New Roman" w:hAnsi="Times New Roman"/>
          <w:sz w:val="24"/>
          <w:szCs w:val="24"/>
        </w:rPr>
        <w:t xml:space="preserve">da histórica tendência da ampliação </w:t>
      </w:r>
      <w:r>
        <w:rPr>
          <w:rFonts w:ascii="Times New Roman" w:hAnsi="Times New Roman"/>
          <w:i/>
          <w:sz w:val="24"/>
          <w:szCs w:val="24"/>
        </w:rPr>
        <w:t>seletiva</w:t>
      </w:r>
      <w:r>
        <w:rPr>
          <w:rFonts w:ascii="Times New Roman" w:hAnsi="Times New Roman"/>
          <w:sz w:val="24"/>
          <w:szCs w:val="24"/>
        </w:rPr>
        <w:t xml:space="preserve"> do Estado no Brasil. </w:t>
      </w: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 xml:space="preserve">Não significou uma ampliação seletiva </w:t>
      </w:r>
      <w:r w:rsidRPr="000B6ABE">
        <w:rPr>
          <w:rFonts w:ascii="Times New Roman" w:hAnsi="Times New Roman"/>
          <w:i/>
          <w:sz w:val="24"/>
          <w:szCs w:val="24"/>
        </w:rPr>
        <w:t>exatamente</w:t>
      </w:r>
      <w:r>
        <w:rPr>
          <w:rFonts w:ascii="Times New Roman" w:hAnsi="Times New Roman"/>
          <w:sz w:val="24"/>
          <w:szCs w:val="24"/>
        </w:rPr>
        <w:t xml:space="preserve"> nos termos colocados por Fontes para o período histórico precedente, isto é, da interpenetração </w:t>
      </w:r>
      <w:r>
        <w:rPr>
          <w:rFonts w:ascii="Times New Roman" w:hAnsi="Times New Roman"/>
          <w:i/>
          <w:sz w:val="24"/>
          <w:szCs w:val="24"/>
        </w:rPr>
        <w:t>unilateral</w:t>
      </w:r>
      <w:r>
        <w:rPr>
          <w:rFonts w:ascii="Times New Roman" w:hAnsi="Times New Roman"/>
          <w:sz w:val="24"/>
          <w:szCs w:val="24"/>
        </w:rPr>
        <w:t xml:space="preserve"> entre os aparelhos privados de hegemonia das classes dominantes e a sociedade política ocorrida ao longo de todo o século XX. A diferenciação residiu na presença de outros setores não (propriamente) dominantes e expressou a incorporação seletiva, precarizada e ressignificada das suas reivindicações históricas ou mais urgentes (combate à pobreza, ao desemprego, ao acesso a bens e serviços públicos, por exemplo), as condicionando às exigências de desenvolvimento do capitalismo no país e ao projeto político do bloco no poder, mas que enriqueceu e complexificou os termos em que se dava a ampliação. </w:t>
      </w: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 xml:space="preserve">Além disso, tal ampliação não deslocou, mas expandiu, </w:t>
      </w:r>
      <w:r w:rsidRPr="001D6B10">
        <w:rPr>
          <w:rFonts w:ascii="Times New Roman" w:hAnsi="Times New Roman"/>
          <w:i/>
          <w:sz w:val="24"/>
          <w:szCs w:val="24"/>
        </w:rPr>
        <w:t>para o interior do aparato estatal</w:t>
      </w:r>
      <w:r>
        <w:rPr>
          <w:rFonts w:ascii="Times New Roman" w:hAnsi="Times New Roman"/>
          <w:sz w:val="24"/>
          <w:szCs w:val="24"/>
        </w:rPr>
        <w:t xml:space="preserve"> – e aí residiu outra diferenciação –, o eixo central da hegemonia: o consentimento ativo das frações não hegemônicas e não monopolistas, dos setores social-liberais e dos minoritários grupos subalternos, constituindo mais uma frente de assimilação e conformação de organismos inteiros ao projeto do bloco no poder. A ampliação manteve-se seletiva, de evidente conteúdo burguês e empresarial, mas assumiu um </w:t>
      </w:r>
      <w:r w:rsidRPr="00F658DB">
        <w:rPr>
          <w:rFonts w:ascii="Times New Roman" w:hAnsi="Times New Roman"/>
          <w:i/>
          <w:sz w:val="24"/>
          <w:szCs w:val="24"/>
        </w:rPr>
        <w:t>novo caráter</w:t>
      </w:r>
      <w:r>
        <w:rPr>
          <w:rFonts w:ascii="Times New Roman" w:hAnsi="Times New Roman"/>
          <w:sz w:val="24"/>
          <w:szCs w:val="24"/>
        </w:rPr>
        <w:t xml:space="preserve"> na medida em que contou com adesão ativa (e isto não significou ausência de tensões, disputas e conflitos eventuais) de grupos sociais dispostos a requalificar os termos da hegemonia, posto que, na sociedade civil, já havia abandonado os da emancipação. </w:t>
      </w: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 xml:space="preserve">A resultante é que se inaugurou uma ampliação seletiva para os “de cima”, mantendo sua marca histórica, coligada à sua extensão não para os “de baixo”, de fato, mas principalmente para os que se atribuem a tarefa de tratar dos problemas históricos dos “de baixo” a partir dos projetos elaborados e conduzidos pelos “de cima”. Ora, esse processo de remodelação da ampliação </w:t>
      </w:r>
      <w:r>
        <w:rPr>
          <w:rFonts w:ascii="Times New Roman" w:hAnsi="Times New Roman"/>
          <w:i/>
          <w:sz w:val="24"/>
          <w:szCs w:val="24"/>
        </w:rPr>
        <w:t xml:space="preserve">seletivamente direcionada </w:t>
      </w:r>
      <w:r>
        <w:rPr>
          <w:rFonts w:ascii="Times New Roman" w:hAnsi="Times New Roman"/>
          <w:sz w:val="24"/>
          <w:szCs w:val="24"/>
        </w:rPr>
        <w:t xml:space="preserve">do Estado foi o próprio conteúdo da busca pela renovação do projeto de sociabilidade burguesa no Brasil nos anos 2000 e pareceu condensar, numa só instituição, o papel crucial de criar condições adequadas para aplainar, entrelaçar, formular, divulgar e pressionar para que tal projeto se tornasse exequível, ou melhor, assumisse </w:t>
      </w:r>
      <w:r w:rsidRPr="009E285A">
        <w:rPr>
          <w:rFonts w:ascii="Times New Roman" w:hAnsi="Times New Roman"/>
          <w:i/>
          <w:sz w:val="24"/>
          <w:szCs w:val="24"/>
        </w:rPr>
        <w:t>status</w:t>
      </w:r>
      <w:r>
        <w:rPr>
          <w:rFonts w:ascii="Times New Roman" w:hAnsi="Times New Roman"/>
          <w:sz w:val="24"/>
          <w:szCs w:val="24"/>
        </w:rPr>
        <w:t xml:space="preserve"> hegemônico. Essa pareceu ser, a nosso ver, a importância crucial do CDES na história recente das lutas de classes no Brasil.</w:t>
      </w:r>
    </w:p>
    <w:p w:rsidR="004D7366" w:rsidRDefault="004D7366" w:rsidP="004D7366">
      <w:pPr>
        <w:spacing w:line="360" w:lineRule="auto"/>
        <w:ind w:firstLine="708"/>
        <w:jc w:val="both"/>
        <w:rPr>
          <w:rFonts w:ascii="Times New Roman" w:hAnsi="Times New Roman"/>
          <w:sz w:val="24"/>
          <w:szCs w:val="24"/>
        </w:rPr>
      </w:pPr>
      <w:r>
        <w:rPr>
          <w:rFonts w:ascii="Times New Roman" w:hAnsi="Times New Roman"/>
          <w:sz w:val="24"/>
          <w:szCs w:val="24"/>
        </w:rPr>
        <w:t xml:space="preserve">O rearranjo seletivo de novo tipo da ampliação estatal foi operacionalizado pela </w:t>
      </w:r>
      <w:r w:rsidRPr="00105DE6">
        <w:rPr>
          <w:rFonts w:ascii="Times New Roman" w:hAnsi="Times New Roman"/>
          <w:i/>
          <w:sz w:val="24"/>
          <w:szCs w:val="24"/>
        </w:rPr>
        <w:t>inversão do controle social</w:t>
      </w:r>
      <w:r>
        <w:rPr>
          <w:rFonts w:ascii="Times New Roman" w:hAnsi="Times New Roman"/>
          <w:sz w:val="24"/>
          <w:szCs w:val="24"/>
        </w:rPr>
        <w:t>: as expectativas não exprimiam ou derivavam da vontade ou do apelo, por meio da participação popular, por garantia e ampliação de direitos sociais e de acesso participativo e democrático às decisões públicas que afetassem o conjunto dos trabalhadores da cidade e do campo. Nas palavras de Florestan:</w:t>
      </w:r>
    </w:p>
    <w:p w:rsidR="004D7366" w:rsidRPr="0022689C" w:rsidRDefault="004D7366" w:rsidP="004D7366">
      <w:pPr>
        <w:spacing w:after="0" w:line="240" w:lineRule="auto"/>
        <w:ind w:left="2410"/>
        <w:jc w:val="both"/>
        <w:rPr>
          <w:rFonts w:ascii="Times New Roman" w:hAnsi="Times New Roman"/>
          <w:sz w:val="20"/>
          <w:szCs w:val="20"/>
        </w:rPr>
      </w:pPr>
      <w:r w:rsidRPr="0022689C">
        <w:rPr>
          <w:rFonts w:ascii="Times New Roman" w:hAnsi="Times New Roman"/>
          <w:sz w:val="20"/>
          <w:szCs w:val="20"/>
        </w:rPr>
        <w:t xml:space="preserve">Ora, o conselho envolve, primariamente, a participação popular como uma </w:t>
      </w:r>
      <w:r w:rsidRPr="00611ED3">
        <w:rPr>
          <w:rFonts w:ascii="Times New Roman" w:hAnsi="Times New Roman"/>
          <w:b/>
          <w:sz w:val="20"/>
          <w:szCs w:val="20"/>
        </w:rPr>
        <w:t>forma de poder popular</w:t>
      </w:r>
      <w:r w:rsidRPr="0022689C">
        <w:rPr>
          <w:rFonts w:ascii="Times New Roman" w:hAnsi="Times New Roman"/>
          <w:sz w:val="20"/>
          <w:szCs w:val="20"/>
        </w:rPr>
        <w:t xml:space="preserve">. (...) Ele constitui uma </w:t>
      </w:r>
      <w:r w:rsidRPr="0082439B">
        <w:rPr>
          <w:rFonts w:ascii="Times New Roman" w:hAnsi="Times New Roman"/>
          <w:b/>
          <w:sz w:val="20"/>
          <w:szCs w:val="20"/>
        </w:rPr>
        <w:t>vi</w:t>
      </w:r>
      <w:r w:rsidRPr="00611ED3">
        <w:rPr>
          <w:rFonts w:ascii="Times New Roman" w:hAnsi="Times New Roman"/>
          <w:b/>
          <w:sz w:val="20"/>
          <w:szCs w:val="20"/>
        </w:rPr>
        <w:t>a de injeção do poder popular</w:t>
      </w:r>
      <w:r w:rsidRPr="0022689C">
        <w:rPr>
          <w:rFonts w:ascii="Times New Roman" w:hAnsi="Times New Roman"/>
          <w:sz w:val="20"/>
          <w:szCs w:val="20"/>
        </w:rPr>
        <w:t xml:space="preserve"> no seio do Poder Executivo Municipal (...).</w:t>
      </w:r>
    </w:p>
    <w:p w:rsidR="004D7366" w:rsidRPr="0022689C" w:rsidRDefault="004D7366" w:rsidP="004D7366">
      <w:pPr>
        <w:spacing w:after="0" w:line="240" w:lineRule="auto"/>
        <w:ind w:left="2410"/>
        <w:jc w:val="both"/>
        <w:rPr>
          <w:rFonts w:ascii="Times New Roman" w:hAnsi="Times New Roman"/>
          <w:sz w:val="20"/>
          <w:szCs w:val="20"/>
        </w:rPr>
      </w:pPr>
      <w:r w:rsidRPr="0022689C">
        <w:rPr>
          <w:rFonts w:ascii="Times New Roman" w:hAnsi="Times New Roman"/>
          <w:sz w:val="20"/>
          <w:szCs w:val="20"/>
        </w:rPr>
        <w:t xml:space="preserve">Por aí se vê que não se trata apenas de estabelecer critérios e prioridades, com aval popular, mas de </w:t>
      </w:r>
      <w:r w:rsidRPr="00611ED3">
        <w:rPr>
          <w:rFonts w:ascii="Times New Roman" w:hAnsi="Times New Roman"/>
          <w:b/>
          <w:sz w:val="20"/>
          <w:szCs w:val="20"/>
        </w:rPr>
        <w:t>organizar a participação popular como poder autônomo</w:t>
      </w:r>
      <w:r w:rsidRPr="0022689C">
        <w:rPr>
          <w:rFonts w:ascii="Times New Roman" w:hAnsi="Times New Roman"/>
          <w:sz w:val="20"/>
          <w:szCs w:val="20"/>
        </w:rPr>
        <w:t xml:space="preserve"> – isto é, não incorporado ao aparelho do Estado na esfera do município. Cabe ao conselho popular uma atividade permanente e paralela na elaboração de diretrizes, ações e decisões de legitimidade própria, consagrada pelo direito objetivo da </w:t>
      </w:r>
      <w:r w:rsidRPr="00811B23">
        <w:rPr>
          <w:rFonts w:ascii="Times New Roman" w:hAnsi="Times New Roman"/>
          <w:i/>
          <w:sz w:val="20"/>
          <w:szCs w:val="20"/>
        </w:rPr>
        <w:t xml:space="preserve">vox </w:t>
      </w:r>
      <w:r w:rsidRPr="0022689C">
        <w:rPr>
          <w:rFonts w:ascii="Times New Roman" w:hAnsi="Times New Roman"/>
          <w:i/>
          <w:sz w:val="20"/>
          <w:szCs w:val="20"/>
        </w:rPr>
        <w:t>populi</w:t>
      </w:r>
      <w:r w:rsidRPr="0022689C">
        <w:rPr>
          <w:rFonts w:ascii="Times New Roman" w:hAnsi="Times New Roman"/>
          <w:sz w:val="20"/>
          <w:szCs w:val="20"/>
        </w:rPr>
        <w:t>.</w:t>
      </w:r>
      <w:r>
        <w:rPr>
          <w:rStyle w:val="Refdenotaderodap"/>
          <w:rFonts w:ascii="Times New Roman" w:hAnsi="Times New Roman"/>
          <w:sz w:val="20"/>
          <w:szCs w:val="20"/>
        </w:rPr>
        <w:footnoteReference w:id="629"/>
      </w:r>
    </w:p>
    <w:p w:rsidR="004D7366" w:rsidRDefault="004D7366" w:rsidP="004D7366">
      <w:pPr>
        <w:spacing w:after="0" w:line="360" w:lineRule="auto"/>
        <w:jc w:val="both"/>
        <w:rPr>
          <w:rFonts w:ascii="Times New Roman" w:hAnsi="Times New Roman"/>
          <w:sz w:val="24"/>
          <w:szCs w:val="24"/>
        </w:rPr>
      </w:pP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 xml:space="preserve">Como um conselho de “escolhidos”, quase de “notáveis”, ouso dizer, o CDES </w:t>
      </w:r>
      <w:r>
        <w:rPr>
          <w:rFonts w:ascii="Times New Roman" w:hAnsi="Times New Roman"/>
          <w:i/>
          <w:sz w:val="24"/>
          <w:szCs w:val="24"/>
        </w:rPr>
        <w:t xml:space="preserve">inverteu o controle social, </w:t>
      </w:r>
      <w:r w:rsidRPr="00A131E1">
        <w:rPr>
          <w:rFonts w:ascii="Times New Roman" w:hAnsi="Times New Roman"/>
          <w:sz w:val="24"/>
          <w:szCs w:val="24"/>
        </w:rPr>
        <w:t xml:space="preserve">isto é, </w:t>
      </w:r>
      <w:r>
        <w:rPr>
          <w:rFonts w:ascii="Times New Roman" w:hAnsi="Times New Roman"/>
          <w:sz w:val="24"/>
          <w:szCs w:val="24"/>
        </w:rPr>
        <w:t>afastou ou eliminou as possibilidades de que</w:t>
      </w:r>
      <w:r w:rsidRPr="00A131E1">
        <w:rPr>
          <w:rFonts w:ascii="Times New Roman" w:hAnsi="Times New Roman"/>
          <w:sz w:val="24"/>
          <w:szCs w:val="24"/>
        </w:rPr>
        <w:t xml:space="preserve"> aspirações dos subalternos </w:t>
      </w:r>
      <w:r>
        <w:rPr>
          <w:rFonts w:ascii="Times New Roman" w:hAnsi="Times New Roman"/>
          <w:sz w:val="24"/>
          <w:szCs w:val="24"/>
        </w:rPr>
        <w:t>pudessem pressionar, se inscrever e se materializar na ossatura d</w:t>
      </w:r>
      <w:r w:rsidRPr="00A131E1">
        <w:rPr>
          <w:rFonts w:ascii="Times New Roman" w:hAnsi="Times New Roman"/>
          <w:sz w:val="24"/>
          <w:szCs w:val="24"/>
        </w:rPr>
        <w:t>o aparato estatal</w:t>
      </w:r>
      <w:r>
        <w:rPr>
          <w:rFonts w:ascii="Times New Roman" w:hAnsi="Times New Roman"/>
          <w:sz w:val="24"/>
          <w:szCs w:val="24"/>
        </w:rPr>
        <w:t>:</w:t>
      </w:r>
      <w:r w:rsidRPr="00A131E1">
        <w:rPr>
          <w:rFonts w:ascii="Times New Roman" w:hAnsi="Times New Roman"/>
          <w:sz w:val="24"/>
          <w:szCs w:val="24"/>
        </w:rPr>
        <w:t xml:space="preserve"> anima</w:t>
      </w:r>
      <w:r>
        <w:rPr>
          <w:rFonts w:ascii="Times New Roman" w:hAnsi="Times New Roman"/>
          <w:sz w:val="24"/>
          <w:szCs w:val="24"/>
        </w:rPr>
        <w:t>-se</w:t>
      </w:r>
      <w:r w:rsidRPr="00A131E1">
        <w:rPr>
          <w:rFonts w:ascii="Times New Roman" w:hAnsi="Times New Roman"/>
          <w:sz w:val="24"/>
          <w:szCs w:val="24"/>
        </w:rPr>
        <w:t xml:space="preserve"> como seu revés</w:t>
      </w:r>
      <w:r>
        <w:rPr>
          <w:rFonts w:ascii="Times New Roman" w:hAnsi="Times New Roman"/>
          <w:sz w:val="24"/>
          <w:szCs w:val="24"/>
        </w:rPr>
        <w:t xml:space="preserve">, firmando a marca histórica da dominação burguesa no Brasil, agora pela via da legitimação “participacionista” (consentimento ativo), mas descurada de qualquer conteúdo popular. </w:t>
      </w:r>
    </w:p>
    <w:p w:rsidR="004D7366" w:rsidRPr="005C0CDE"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 xml:space="preserve">Como arena que se autocredenciava como aglutinadora das mais destacadas lideranças da “sociedade civil” no Brasil, escolhidas pelo próprio Presidente da República (e não pelas próprias entidades convocadas) e ostentada como instrumento de “democratização civilizada” do Estado e da sociedade por membros do governo e de conselheiros, o CDES exprimia flagrante caso de ampliação da inserção de destacados setores do capital no aparato estatal, </w:t>
      </w:r>
      <w:r w:rsidRPr="00711E33">
        <w:rPr>
          <w:rFonts w:ascii="Times New Roman" w:hAnsi="Times New Roman"/>
          <w:i/>
          <w:sz w:val="24"/>
          <w:szCs w:val="24"/>
        </w:rPr>
        <w:t xml:space="preserve">em nada se </w:t>
      </w:r>
      <w:r>
        <w:rPr>
          <w:rFonts w:ascii="Times New Roman" w:hAnsi="Times New Roman"/>
          <w:i/>
          <w:sz w:val="24"/>
          <w:szCs w:val="24"/>
        </w:rPr>
        <w:t>identificava</w:t>
      </w:r>
      <w:r w:rsidRPr="00711E33">
        <w:rPr>
          <w:rFonts w:ascii="Times New Roman" w:hAnsi="Times New Roman"/>
          <w:i/>
          <w:sz w:val="24"/>
          <w:szCs w:val="24"/>
        </w:rPr>
        <w:t xml:space="preserve"> com qualquer alargamento das franquias democráticas</w:t>
      </w:r>
      <w:r>
        <w:rPr>
          <w:rFonts w:ascii="Times New Roman" w:hAnsi="Times New Roman"/>
          <w:sz w:val="24"/>
          <w:szCs w:val="24"/>
        </w:rPr>
        <w:t xml:space="preserve"> e </w:t>
      </w:r>
      <w:r>
        <w:rPr>
          <w:rFonts w:ascii="Times New Roman" w:hAnsi="Times New Roman"/>
          <w:i/>
          <w:sz w:val="24"/>
          <w:szCs w:val="24"/>
        </w:rPr>
        <w:t xml:space="preserve">populares, a não ser castrando-as e ressignificando-as </w:t>
      </w:r>
      <w:r>
        <w:rPr>
          <w:rFonts w:ascii="Times New Roman" w:hAnsi="Times New Roman"/>
          <w:sz w:val="24"/>
          <w:szCs w:val="24"/>
        </w:rPr>
        <w:t>não apenas como estratégia de adesão ativa ao projeto, mas como aprofundamento da subsunção formal do trabalho ao capital, pois, para sua realização, imprescindia o crescimento econômico, isto é, a expansão da acumulação capitalista.</w:t>
      </w:r>
    </w:p>
    <w:p w:rsidR="004D7366" w:rsidRPr="00D834B4"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 xml:space="preserve"> A forma “Conselho” parece bastante adequada para tal intento: o envolvimento de diversas lideranças sociais, sob as características compósitas e programáticas até aqui enunciadas, postas sob um processo de “diálogo” ou “pactuação” social sob o auspício de um governo cujo partido traz em sua trajetória a mobilização de corações e mentes para um projeto de participação popular efetivo, </w:t>
      </w:r>
      <w:r>
        <w:rPr>
          <w:rFonts w:ascii="Times New Roman" w:hAnsi="Times New Roman"/>
          <w:i/>
          <w:sz w:val="24"/>
          <w:szCs w:val="24"/>
        </w:rPr>
        <w:t xml:space="preserve">mistifica, burla e inverte </w:t>
      </w:r>
      <w:r>
        <w:rPr>
          <w:rFonts w:ascii="Times New Roman" w:hAnsi="Times New Roman"/>
          <w:sz w:val="24"/>
          <w:szCs w:val="24"/>
        </w:rPr>
        <w:t xml:space="preserve">a ideia de democracia (ainda que concebida nos marcos do capitalismo), onde os setores menos representados no Conselho são os mais decisivos eleitoralmente e os majoritariamente presentes no Conselho representam um eleitorado infinitesimal. </w:t>
      </w:r>
      <w:r w:rsidRPr="00D834B4">
        <w:rPr>
          <w:rFonts w:ascii="Times New Roman" w:hAnsi="Times New Roman"/>
          <w:sz w:val="24"/>
          <w:szCs w:val="24"/>
        </w:rPr>
        <w:t>Um punhado de empresários, seus intelectuais, entidades e empresas tornaram-se a maioria inconteste, enquanto as grandes massas populares tornavam-se uma gota no Pleno do conselho. O consenso que aparentemente expressava um acordo entre “iguais” não apenas aprofundava a desigualdade entre eles, mas a cristalizava. Um procedimento totalmente anti-democrático não apenas invalidava o princípio majoritário caro aos processos democráticos, como os institucionalizava de maneira tendencialmente permanente</w:t>
      </w:r>
      <w:r>
        <w:rPr>
          <w:rFonts w:ascii="Times New Roman" w:hAnsi="Times New Roman"/>
          <w:sz w:val="24"/>
          <w:szCs w:val="24"/>
        </w:rPr>
        <w:t>.</w:t>
      </w: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 xml:space="preserve"> Nessa inversão, a partir da experiência do CDES, o econômico se sobrep</w:t>
      </w:r>
      <w:r w:rsidR="009E7AC3">
        <w:rPr>
          <w:rFonts w:ascii="Times New Roman" w:hAnsi="Times New Roman"/>
          <w:sz w:val="24"/>
          <w:szCs w:val="24"/>
        </w:rPr>
        <w:t>õe</w:t>
      </w:r>
      <w:r>
        <w:rPr>
          <w:rFonts w:ascii="Times New Roman" w:hAnsi="Times New Roman"/>
          <w:sz w:val="24"/>
          <w:szCs w:val="24"/>
        </w:rPr>
        <w:t xml:space="preserve"> ao político e, (o que dramatiza a experiência, numa trama ardilosa), ela se efetiva </w:t>
      </w:r>
      <w:r>
        <w:rPr>
          <w:rFonts w:ascii="Times New Roman" w:hAnsi="Times New Roman"/>
          <w:i/>
          <w:sz w:val="24"/>
          <w:szCs w:val="24"/>
        </w:rPr>
        <w:t>justamente nos formatos das arenas originárias de lutas populares</w:t>
      </w:r>
      <w:r>
        <w:rPr>
          <w:rFonts w:ascii="Times New Roman" w:hAnsi="Times New Roman"/>
          <w:sz w:val="24"/>
          <w:szCs w:val="24"/>
        </w:rPr>
        <w:t xml:space="preserve"> (os conselhos de participação popular nascidos como instrumentos para contrarrestar interesses empresariais incrustrados nas administrações públicas por meio da intromissão de canais contra-hegemônicos ao impor a socialização da política e agendas prioritárias advindas das lutas sociais). </w:t>
      </w:r>
    </w:p>
    <w:p w:rsidR="004D7366" w:rsidRPr="007C4978" w:rsidRDefault="004D7366" w:rsidP="004D7366">
      <w:pPr>
        <w:spacing w:after="0" w:line="360" w:lineRule="auto"/>
        <w:ind w:firstLine="708"/>
        <w:jc w:val="both"/>
      </w:pPr>
      <w:r>
        <w:rPr>
          <w:rFonts w:ascii="Times New Roman" w:hAnsi="Times New Roman"/>
          <w:sz w:val="24"/>
          <w:szCs w:val="24"/>
        </w:rPr>
        <w:t xml:space="preserve">Por isso, o Conselho trabalhava educando o consenso a partir da montagem de uma pedagogia da hegemonia </w:t>
      </w:r>
      <w:r w:rsidR="00893BFA">
        <w:rPr>
          <w:rFonts w:ascii="Times New Roman" w:hAnsi="Times New Roman"/>
          <w:sz w:val="24"/>
          <w:szCs w:val="24"/>
        </w:rPr>
        <w:t>d</w:t>
      </w:r>
      <w:r>
        <w:rPr>
          <w:rFonts w:ascii="Times New Roman" w:hAnsi="Times New Roman"/>
          <w:sz w:val="24"/>
          <w:szCs w:val="24"/>
        </w:rPr>
        <w:t>irigida pelo grande capital</w:t>
      </w:r>
      <w:r w:rsidR="00893BFA">
        <w:rPr>
          <w:rFonts w:ascii="Times New Roman" w:hAnsi="Times New Roman"/>
          <w:sz w:val="24"/>
          <w:szCs w:val="24"/>
        </w:rPr>
        <w:t xml:space="preserve">, </w:t>
      </w:r>
      <w:r w:rsidR="00234339">
        <w:rPr>
          <w:rFonts w:ascii="Times New Roman" w:hAnsi="Times New Roman"/>
          <w:sz w:val="24"/>
          <w:szCs w:val="24"/>
        </w:rPr>
        <w:t xml:space="preserve">também </w:t>
      </w:r>
      <w:r w:rsidR="00893BFA">
        <w:rPr>
          <w:rFonts w:ascii="Times New Roman" w:hAnsi="Times New Roman"/>
          <w:sz w:val="24"/>
          <w:szCs w:val="24"/>
        </w:rPr>
        <w:t>operada politicamente pel</w:t>
      </w:r>
      <w:r w:rsidR="00A04EA8">
        <w:rPr>
          <w:rFonts w:ascii="Times New Roman" w:hAnsi="Times New Roman"/>
          <w:sz w:val="24"/>
          <w:szCs w:val="24"/>
        </w:rPr>
        <w:t>os</w:t>
      </w:r>
      <w:r w:rsidR="00A04EA8" w:rsidRPr="00791543">
        <w:rPr>
          <w:rFonts w:ascii="Times New Roman" w:hAnsi="Times New Roman"/>
          <w:sz w:val="24"/>
          <w:szCs w:val="24"/>
        </w:rPr>
        <w:t xml:space="preserve">operadores governamentais (secretários-executivos e funcionários da </w:t>
      </w:r>
      <w:r w:rsidR="00A04EA8">
        <w:rPr>
          <w:rFonts w:ascii="Times New Roman" w:hAnsi="Times New Roman"/>
          <w:sz w:val="24"/>
          <w:szCs w:val="24"/>
        </w:rPr>
        <w:t>SEDES</w:t>
      </w:r>
      <w:r w:rsidR="00A04EA8" w:rsidRPr="00791543">
        <w:rPr>
          <w:rFonts w:ascii="Times New Roman" w:hAnsi="Times New Roman"/>
          <w:sz w:val="24"/>
          <w:szCs w:val="24"/>
        </w:rPr>
        <w:t>, ministros de Estado e o próprio Presidente da República</w:t>
      </w:r>
      <w:r w:rsidR="00A04EA8">
        <w:rPr>
          <w:rFonts w:ascii="Times New Roman" w:hAnsi="Times New Roman"/>
          <w:sz w:val="24"/>
          <w:szCs w:val="24"/>
        </w:rPr>
        <w:t xml:space="preserve">), alguns pertencentes à própria direção petista. </w:t>
      </w:r>
      <w:r>
        <w:rPr>
          <w:rFonts w:ascii="Times New Roman" w:hAnsi="Times New Roman"/>
          <w:sz w:val="24"/>
          <w:szCs w:val="24"/>
        </w:rPr>
        <w:t xml:space="preserve">O exercício permanente de operacionalização da hegemonia exigiu um </w:t>
      </w:r>
      <w:r w:rsidRPr="007C4978">
        <w:rPr>
          <w:rFonts w:ascii="Times New Roman" w:hAnsi="Times New Roman"/>
          <w:i/>
          <w:sz w:val="24"/>
          <w:szCs w:val="24"/>
        </w:rPr>
        <w:t>(de</w:t>
      </w:r>
      <w:r>
        <w:rPr>
          <w:rFonts w:ascii="Times New Roman" w:hAnsi="Times New Roman"/>
          <w:i/>
          <w:sz w:val="24"/>
          <w:szCs w:val="24"/>
        </w:rPr>
        <w:t>s</w:t>
      </w:r>
      <w:r w:rsidRPr="007C4978">
        <w:rPr>
          <w:rFonts w:ascii="Times New Roman" w:hAnsi="Times New Roman"/>
          <w:i/>
          <w:sz w:val="24"/>
          <w:szCs w:val="24"/>
        </w:rPr>
        <w:t>)</w:t>
      </w:r>
      <w:r w:rsidRPr="007619F3">
        <w:rPr>
          <w:rFonts w:ascii="Times New Roman" w:hAnsi="Times New Roman"/>
          <w:i/>
          <w:sz w:val="24"/>
          <w:szCs w:val="24"/>
        </w:rPr>
        <w:t>aprendizado pedagógicomútuo</w:t>
      </w:r>
      <w:r>
        <w:rPr>
          <w:rFonts w:ascii="Times New Roman" w:hAnsi="Times New Roman"/>
          <w:sz w:val="24"/>
          <w:szCs w:val="24"/>
        </w:rPr>
        <w:t xml:space="preserve">: fornecia às burguesias os meios intelectuais e discursivos de uma liderança social aparentemente civilizada e democrática, avançando nas suas demandas corporativas, concomitante à (des)educação massiva tendo em vista que </w:t>
      </w:r>
      <w:r w:rsidRPr="007C4978">
        <w:rPr>
          <w:rFonts w:ascii="Times New Roman" w:hAnsi="Times New Roman"/>
          <w:sz w:val="24"/>
          <w:szCs w:val="24"/>
        </w:rPr>
        <w:t>as reivindicações populares convertiam-se em meras demandas</w:t>
      </w:r>
      <w:r>
        <w:rPr>
          <w:rFonts w:ascii="Times New Roman" w:hAnsi="Times New Roman"/>
          <w:sz w:val="24"/>
          <w:szCs w:val="24"/>
        </w:rPr>
        <w:t>. Aceitas e incorporadas, os segmentos ligados aos setores populares assimilavam práticas e ideários dominantes, sua linguagem perdia o mordente das lutas de classes ao aceitarem a inversão efetiva da democracia que o CDES expressava.</w:t>
      </w:r>
    </w:p>
    <w:p w:rsidR="004D7366" w:rsidRDefault="004D7366" w:rsidP="004D7366">
      <w:pPr>
        <w:spacing w:line="360" w:lineRule="auto"/>
        <w:ind w:firstLine="708"/>
        <w:jc w:val="both"/>
        <w:rPr>
          <w:rFonts w:ascii="Times New Roman" w:hAnsi="Times New Roman"/>
          <w:sz w:val="24"/>
          <w:szCs w:val="24"/>
        </w:rPr>
      </w:pPr>
      <w:r>
        <w:rPr>
          <w:rFonts w:ascii="Times New Roman" w:hAnsi="Times New Roman"/>
          <w:sz w:val="24"/>
          <w:szCs w:val="24"/>
        </w:rPr>
        <w:t xml:space="preserve"> Nas ocasiões onde as reivindicações de cunho popular provinham reiteradamente dos mesmos conselheiros, alguns não foram renomeados, revelando flagrante aspecto coercitivo. No entanto, a “concertação” para o “desenvolvimento com inclusão”, mesmo no segundo governo Lula da Silva, no qual o crescimento econômico foi acompanhado de ganhos sociais relativos, jamais contentou todos os segmentos, especialmente pouquíssimos remanescentes de chão popular, como se vê na intervenção da líder indígena Joênia Batista:</w:t>
      </w:r>
    </w:p>
    <w:p w:rsidR="004D7366" w:rsidRPr="00767242" w:rsidRDefault="004D7366" w:rsidP="004D7366">
      <w:pPr>
        <w:spacing w:after="0" w:line="240" w:lineRule="auto"/>
        <w:ind w:left="2268"/>
        <w:jc w:val="both"/>
        <w:rPr>
          <w:rFonts w:ascii="Times New Roman" w:hAnsi="Times New Roman"/>
          <w:sz w:val="20"/>
          <w:szCs w:val="20"/>
        </w:rPr>
      </w:pPr>
      <w:r w:rsidRPr="00767242">
        <w:rPr>
          <w:rFonts w:ascii="Times New Roman" w:hAnsi="Times New Roman"/>
          <w:sz w:val="20"/>
          <w:szCs w:val="20"/>
        </w:rPr>
        <w:t xml:space="preserve"> Eu sempre tenho repetido esse discurso (...), que é importante que se discuta as diretrizes políticas de desenvolvimento produtivo, e considerando, principalmente, os povos indígenas, não apenas por exemplo, nos momentos em que são afetados por obras como ditas de desenvolvimento onde a única ação do Estado e dos realizadores das obras é discutir a compensação que essas obras irão causar para o meio ambiente e para a cultura indígena.</w:t>
      </w:r>
    </w:p>
    <w:p w:rsidR="004D7366" w:rsidRDefault="004D7366" w:rsidP="004D7366">
      <w:pPr>
        <w:spacing w:after="0" w:line="240" w:lineRule="auto"/>
        <w:ind w:left="2268"/>
        <w:jc w:val="both"/>
        <w:rPr>
          <w:rFonts w:ascii="Times New Roman" w:hAnsi="Times New Roman"/>
          <w:sz w:val="24"/>
          <w:szCs w:val="24"/>
        </w:rPr>
      </w:pPr>
      <w:r w:rsidRPr="00767242">
        <w:rPr>
          <w:rFonts w:ascii="Times New Roman" w:hAnsi="Times New Roman"/>
          <w:sz w:val="20"/>
          <w:szCs w:val="20"/>
        </w:rPr>
        <w:t>Eu quero frisar que é necessário sim inverter essa lógica. Ela deve discutir juntamente com os povos indígenas que tipo de desenvolvimento os povos indígenas querem para sua região para fazer parte disso e também discutir que tipo de desenvolvimento querem ver acontecer dentro de suas terras indígenas. Os povos indígenas têm que sentar na mesa, tal como nós estamos fazendo aqui, e discutir claramente que forma e como vão participar dessa discussão. Nós estamos vendo muitas discussões de obra de infraestrutura que vão afetar os povos indígenas, ditas inclusive que são obras de desenvolvimento limpo, que nós estamos apenas sentados para discutir quais são as medidas medicatórias, mas nós queremos fazer parte desse planejamento, nós queremos sentar antes mesmo de aprovarem, de decidirem as obras. (...)</w:t>
      </w:r>
      <w:r>
        <w:rPr>
          <w:rFonts w:ascii="Times New Roman" w:hAnsi="Times New Roman"/>
          <w:sz w:val="20"/>
          <w:szCs w:val="20"/>
        </w:rPr>
        <w:t xml:space="preserve"> (ATA da 26ª Reunião Plenária, 05/06/2008, p. 22-23).</w:t>
      </w:r>
    </w:p>
    <w:p w:rsidR="004D7366" w:rsidRDefault="004D7366" w:rsidP="004D7366">
      <w:pPr>
        <w:spacing w:after="0" w:line="360" w:lineRule="auto"/>
        <w:jc w:val="both"/>
        <w:rPr>
          <w:rFonts w:ascii="Times New Roman" w:hAnsi="Times New Roman"/>
          <w:sz w:val="24"/>
          <w:szCs w:val="24"/>
        </w:rPr>
      </w:pPr>
    </w:p>
    <w:p w:rsidR="004D7366" w:rsidRPr="00632D8C" w:rsidRDefault="004D7366" w:rsidP="004D7366">
      <w:pPr>
        <w:spacing w:after="0" w:line="360" w:lineRule="auto"/>
        <w:jc w:val="both"/>
        <w:rPr>
          <w:rFonts w:ascii="Times New Roman" w:hAnsi="Times New Roman"/>
          <w:sz w:val="24"/>
          <w:szCs w:val="24"/>
        </w:rPr>
      </w:pPr>
      <w:r>
        <w:rPr>
          <w:rFonts w:ascii="Times New Roman" w:hAnsi="Times New Roman"/>
          <w:sz w:val="24"/>
          <w:szCs w:val="24"/>
        </w:rPr>
        <w:tab/>
        <w:t xml:space="preserve">As contradições da expansão do desenvolvimento do capitalismo no Brasil se exasperavam nas intervenções de conselheiros ligados às lutas populares. Contudo, por apresentar forte composição empresarial, coligado aos agentes da “ala esquerda” do capital, o CDES não foi e nem se propunha </w:t>
      </w:r>
      <w:r w:rsidR="00893BFA">
        <w:rPr>
          <w:rFonts w:ascii="Times New Roman" w:hAnsi="Times New Roman"/>
          <w:sz w:val="24"/>
          <w:szCs w:val="24"/>
        </w:rPr>
        <w:t xml:space="preserve">a </w:t>
      </w:r>
      <w:r>
        <w:rPr>
          <w:rFonts w:ascii="Times New Roman" w:hAnsi="Times New Roman"/>
          <w:sz w:val="24"/>
          <w:szCs w:val="24"/>
        </w:rPr>
        <w:t xml:space="preserve">ser uma arena de democratização das decisões de políticas públicas a partir e sob a direção dos “de baixo”, apesar de precisar se remeter ao atendimento de suas aflições a todo momento, nos moldes requeridos para expansão do grande capital. </w:t>
      </w:r>
      <w:r w:rsidRPr="00632D8C">
        <w:rPr>
          <w:rFonts w:ascii="Times New Roman" w:hAnsi="Times New Roman"/>
          <w:sz w:val="24"/>
          <w:szCs w:val="24"/>
        </w:rPr>
        <w:t xml:space="preserve">Nas condições da dominação burguesa sob hegemonia – convencimento e coerção, com direção e apassivamento popular – era </w:t>
      </w:r>
      <w:r w:rsidRPr="00632D8C">
        <w:rPr>
          <w:rFonts w:ascii="Times New Roman" w:hAnsi="Times New Roman"/>
          <w:i/>
          <w:sz w:val="24"/>
          <w:szCs w:val="24"/>
        </w:rPr>
        <w:t xml:space="preserve">necessário </w:t>
      </w:r>
      <w:r>
        <w:rPr>
          <w:rFonts w:ascii="Times New Roman" w:hAnsi="Times New Roman"/>
          <w:i/>
          <w:sz w:val="24"/>
          <w:szCs w:val="24"/>
        </w:rPr>
        <w:t>o</w:t>
      </w:r>
      <w:r w:rsidRPr="00632D8C">
        <w:rPr>
          <w:rFonts w:ascii="Times New Roman" w:hAnsi="Times New Roman"/>
          <w:i/>
          <w:sz w:val="24"/>
          <w:szCs w:val="24"/>
        </w:rPr>
        <w:t xml:space="preserve"> aval de cunho popular para a castração </w:t>
      </w:r>
      <w:r>
        <w:rPr>
          <w:rFonts w:ascii="Times New Roman" w:hAnsi="Times New Roman"/>
          <w:i/>
          <w:sz w:val="24"/>
          <w:szCs w:val="24"/>
        </w:rPr>
        <w:t>das suas partes mais incômodas e a ressignificação social-liberal dos elementos “pactuadores”</w:t>
      </w:r>
      <w:r>
        <w:rPr>
          <w:rFonts w:ascii="Times New Roman" w:hAnsi="Times New Roman"/>
          <w:sz w:val="24"/>
          <w:szCs w:val="24"/>
        </w:rPr>
        <w:t xml:space="preserve">. </w:t>
      </w: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 xml:space="preserve">A dominação burguesa no Brasil permanece necessitando de um Estado que, em sua seletividade, não comporta a participação de setores populares nas decisões cruciais da vida social. Esta seletividade, contudo, é reelaborada pois sua aderência não se direciona apenas aos setores burgueses, mas precisa do consentimento ativo e absorção subalternizada dos grupos subalternos. O exercício da dominação de classe se reveste em hegemonia e a forma “Conselho”, tal qual inaugurada pelo CDES, cumpre o papel de apaziguador e escamoteador da luta de classes. </w:t>
      </w: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 xml:space="preserve">Esta tese seguiu os caminhos julgados necessários para mostrar ao leitor a edificação de mais uma das muitas maneiras e formatos (casamatas, trincheiras e fortificações) inaugurados pela burguesia brasileira, desta vez no aparato estatal, em lograr o consentimento ativo dos grupos subalternos e assim plasmar a sociabilidade do capital para o conjunto da vida social. Para tanto, ela lançou mão do estudo de uma arena portadora de conteúdo programático predominantemente empresarial, destinada ao desenvolvimento das forças produtivas capitalistas no Brasil e que inaugurou uma experiência de </w:t>
      </w:r>
      <w:r>
        <w:rPr>
          <w:rFonts w:ascii="Times New Roman" w:hAnsi="Times New Roman"/>
          <w:i/>
          <w:sz w:val="24"/>
          <w:szCs w:val="24"/>
        </w:rPr>
        <w:t xml:space="preserve">captura dos espaços e formas de luta democrática dos subalternos </w:t>
      </w:r>
      <w:r>
        <w:rPr>
          <w:rFonts w:ascii="Times New Roman" w:hAnsi="Times New Roman"/>
          <w:sz w:val="24"/>
          <w:szCs w:val="24"/>
        </w:rPr>
        <w:t>pelos setores do capital.</w:t>
      </w: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 xml:space="preserve">No que concerne às disputas entre as frações dominantes no seio do bloco no poder, o CDES decisivamente </w:t>
      </w:r>
      <w:r w:rsidRPr="00EA58FE">
        <w:rPr>
          <w:rFonts w:ascii="Times New Roman" w:hAnsi="Times New Roman"/>
          <w:sz w:val="24"/>
          <w:szCs w:val="24"/>
        </w:rPr>
        <w:t xml:space="preserve">não se conformava como </w:t>
      </w:r>
      <w:r>
        <w:rPr>
          <w:rFonts w:ascii="Times New Roman" w:hAnsi="Times New Roman"/>
          <w:sz w:val="24"/>
          <w:szCs w:val="24"/>
        </w:rPr>
        <w:t>um aparelho d</w:t>
      </w:r>
      <w:r w:rsidRPr="00EA58FE">
        <w:rPr>
          <w:rFonts w:ascii="Times New Roman" w:hAnsi="Times New Roman"/>
          <w:sz w:val="24"/>
          <w:szCs w:val="24"/>
        </w:rPr>
        <w:t>o “núcleo do poder”, na acepção poulantziana, durante os governos Lula</w:t>
      </w:r>
      <w:r>
        <w:rPr>
          <w:rFonts w:ascii="Times New Roman" w:hAnsi="Times New Roman"/>
          <w:sz w:val="24"/>
          <w:szCs w:val="24"/>
        </w:rPr>
        <w:t xml:space="preserve"> da Silva</w:t>
      </w:r>
      <w:r w:rsidRPr="00EA58FE">
        <w:rPr>
          <w:rFonts w:ascii="Times New Roman" w:hAnsi="Times New Roman"/>
          <w:sz w:val="24"/>
          <w:szCs w:val="24"/>
        </w:rPr>
        <w:t xml:space="preserve">. </w:t>
      </w:r>
      <w:r>
        <w:rPr>
          <w:rFonts w:ascii="Times New Roman" w:hAnsi="Times New Roman"/>
          <w:sz w:val="24"/>
          <w:szCs w:val="24"/>
        </w:rPr>
        <w:t xml:space="preserve">A nosso ver, subsistiram, durante o primeiro governo Lula da Silva, vários episódios e debates que nos levam a concluir que houve a montagem gradual e laboratorial da direção hegemônica </w:t>
      </w:r>
      <w:r w:rsidR="00893BFA">
        <w:rPr>
          <w:rFonts w:ascii="Times New Roman" w:hAnsi="Times New Roman"/>
          <w:sz w:val="24"/>
          <w:szCs w:val="24"/>
        </w:rPr>
        <w:t>do</w:t>
      </w:r>
      <w:r>
        <w:rPr>
          <w:rFonts w:ascii="Times New Roman" w:hAnsi="Times New Roman"/>
          <w:sz w:val="24"/>
          <w:szCs w:val="24"/>
        </w:rPr>
        <w:t xml:space="preserve"> grande capital produtor de valor. A arquitetura da hegemonia dos setores representativos do capital funcionante no CDES revelou-se em sua fase experimental diante dos vários segmentos sociais ali presentes (não apenas da cúpula da burocracia sindical, muitos dos quais costuravam acordos e mobilizações com o patronato desde os anos 90, enquanto outros surgiram como a própria expressão da representação empresarial no mundo sindical, como a Força Sindical), aderindo como suas as demandas dos porta-vozes desse capital. </w:t>
      </w: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 xml:space="preserve">Tal montagem hegemônica vinha no rastro das alianças de forças sociais díspares em alguns episódios de mobilizações e costura programática de posições contra algumas políticas emanadas do segundo mandato de FHC e das que resultaram na eleição de Lula da Silva para a Presidência, em 2003. No primeiro governo Lula, os intelectuais orgânicos do capital produtor de valor valeram-se desse processo e, sob o erguimento de uma institucionalidade “concertacionista” (o CDES) promovida pelo novo núcleo governamental e apoiada pela cúpula da burocracia sindical cutista, puderam, e sob o terreno nas condições propícias, lograr êxito em conseguir sustentação, sob o nome de “desenvolvimento com inclusão social”, de suas principais demandas, </w:t>
      </w:r>
      <w:r>
        <w:rPr>
          <w:rFonts w:ascii="Times New Roman" w:hAnsi="Times New Roman"/>
          <w:i/>
          <w:sz w:val="24"/>
          <w:szCs w:val="24"/>
        </w:rPr>
        <w:t>no âmbito do CDES e não sob o conjunto dos aparatos e no âmbito da política estatal</w:t>
      </w:r>
      <w:r>
        <w:rPr>
          <w:rFonts w:ascii="Times New Roman" w:hAnsi="Times New Roman"/>
          <w:sz w:val="24"/>
          <w:szCs w:val="24"/>
        </w:rPr>
        <w:t xml:space="preserve">, apesar de muitas delas serem total ou parcialmente integradas nas políticas públicas, mas não necessariamente o foi </w:t>
      </w:r>
      <w:r>
        <w:rPr>
          <w:rFonts w:ascii="Times New Roman" w:hAnsi="Times New Roman"/>
          <w:i/>
          <w:sz w:val="24"/>
          <w:szCs w:val="24"/>
        </w:rPr>
        <w:t>pela via do CDES</w:t>
      </w:r>
      <w:r>
        <w:rPr>
          <w:rFonts w:ascii="Times New Roman" w:hAnsi="Times New Roman"/>
          <w:sz w:val="24"/>
          <w:szCs w:val="24"/>
        </w:rPr>
        <w:t>.</w:t>
      </w: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 xml:space="preserve">A partir de 2008, a crise econômica tornou-se pauta predominante no Conselho. Como </w:t>
      </w:r>
      <w:r>
        <w:rPr>
          <w:rFonts w:ascii="Times New Roman" w:hAnsi="Times New Roman"/>
          <w:i/>
          <w:sz w:val="24"/>
          <w:szCs w:val="24"/>
        </w:rPr>
        <w:t xml:space="preserve">uma das câmaras ou células de gestão da crise </w:t>
      </w:r>
      <w:r>
        <w:rPr>
          <w:rFonts w:ascii="Times New Roman" w:hAnsi="Times New Roman"/>
          <w:sz w:val="24"/>
          <w:szCs w:val="24"/>
        </w:rPr>
        <w:t xml:space="preserve">os conselheiros representantes de empresas e grupos que atuavam principalmente em atividades econômicas de produção de valor </w:t>
      </w:r>
      <w:r>
        <w:rPr>
          <w:rFonts w:ascii="Times New Roman" w:hAnsi="Times New Roman"/>
          <w:i/>
          <w:sz w:val="24"/>
          <w:szCs w:val="24"/>
        </w:rPr>
        <w:t xml:space="preserve">se aproximaram </w:t>
      </w:r>
      <w:r>
        <w:rPr>
          <w:rFonts w:ascii="Times New Roman" w:hAnsi="Times New Roman"/>
          <w:sz w:val="24"/>
          <w:szCs w:val="24"/>
        </w:rPr>
        <w:t>dos arranjos e definições do núcleo do poder estatal (Ministério da Fazenda, Banco Central e BNDES) para produção de medidas de inibição dos efeitos da crise econômica, principalmente através do GAC (MF). Todas as medidas proferidas pelos ministros nas plenárias do Conselho atenderam a todo conjunto do grande capital monopolista (produtor de valor e portador de juros). Aliás, dentre as principais políticas de emanadas pelos conselheiros-empresários (e não eram banqueiros porque quase todos não foram renomeados para o CDES em 2007) foi a exigência de crédito bancário para seus setores (realizado principalmente pelos bancos públicos) e a liberação de compulsórios. Outras medidas para alavancagem do setor bancário-financeiro foram aplaudidas por esses empresários: destinação de recursos a bancos no exterior (BNDES EXIM); permissão para que bancos privados emitam letras financeiras (debêntures) para captar recursos no longo prazo; financiamento, por meio de instituições financeiras credenciadas, para aquisição de máquinas e equipamentos novos, de fabricação nacional (BNDES FINAME); aprovação da MP 443 autorizando o BB e a CEF adquirirem participação acionária nos bancos privados; o BACEN disponibilizou parte a mais do compulsório dos grandes bancos privados para ser direcionado à irrigação dos bancos do setor automotivo.</w:t>
      </w: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As políticas emanadas do Executivo par</w:t>
      </w:r>
      <w:r w:rsidR="00D40F30">
        <w:rPr>
          <w:rFonts w:ascii="Times New Roman" w:hAnsi="Times New Roman"/>
          <w:sz w:val="24"/>
          <w:szCs w:val="24"/>
        </w:rPr>
        <w:t>a o combate à crise não preteriram</w:t>
      </w:r>
      <w:r>
        <w:rPr>
          <w:rFonts w:ascii="Times New Roman" w:hAnsi="Times New Roman"/>
          <w:sz w:val="24"/>
          <w:szCs w:val="24"/>
        </w:rPr>
        <w:t xml:space="preserve"> nenhuma fração do capital, especialmente o bancário-financeiro, ainda que tais políticas se destinassem à blindagem de setores econômicos produtores de valor. De certa maneira, na situação de crise para o capital, os debates e algumas demandas trazidas pelos empresários no Conselho revelaram com nitidez a </w:t>
      </w:r>
      <w:r>
        <w:rPr>
          <w:rFonts w:ascii="Times New Roman" w:hAnsi="Times New Roman"/>
          <w:i/>
          <w:sz w:val="24"/>
          <w:szCs w:val="24"/>
        </w:rPr>
        <w:t xml:space="preserve">interpenetração entre </w:t>
      </w:r>
      <w:r w:rsidRPr="002E2BED">
        <w:rPr>
          <w:rFonts w:ascii="Times New Roman" w:hAnsi="Times New Roman"/>
          <w:i/>
          <w:sz w:val="24"/>
          <w:szCs w:val="24"/>
        </w:rPr>
        <w:t>os capitais</w:t>
      </w:r>
      <w:r>
        <w:rPr>
          <w:rFonts w:ascii="Times New Roman" w:hAnsi="Times New Roman"/>
          <w:sz w:val="24"/>
          <w:szCs w:val="24"/>
        </w:rPr>
        <w:t>.</w:t>
      </w: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 xml:space="preserve">Mesmo assim, no Conselho, permaneceram demandas empresariais, expressas principalmente pela documentação dos eventos promovidos para o debate da crise econômica, de fricção com o setor bancário, tais como a ampliação do CMN, os altos </w:t>
      </w:r>
      <w:r>
        <w:rPr>
          <w:rFonts w:ascii="Times New Roman" w:hAnsi="Times New Roman"/>
          <w:i/>
          <w:sz w:val="24"/>
          <w:szCs w:val="24"/>
        </w:rPr>
        <w:t xml:space="preserve">spreads </w:t>
      </w:r>
      <w:r>
        <w:rPr>
          <w:rFonts w:ascii="Times New Roman" w:hAnsi="Times New Roman"/>
          <w:sz w:val="24"/>
          <w:szCs w:val="24"/>
        </w:rPr>
        <w:t xml:space="preserve">e a política de altos juros praticada. Essas demandas empresariais que marcaram as pautas do período palocciano não foram resgatadas (porque de fato nunca se apagaram das pautas). O que houve foi um certo abrandamento das dessas exigências quando Mantega assumiu a pasta da Fazenda, índices maiores de crescimento econômico, de gastos em programas sociais etc, mas retornaram ao </w:t>
      </w:r>
      <w:r>
        <w:rPr>
          <w:rFonts w:ascii="Times New Roman" w:hAnsi="Times New Roman"/>
          <w:i/>
          <w:sz w:val="24"/>
          <w:szCs w:val="24"/>
        </w:rPr>
        <w:t xml:space="preserve">status </w:t>
      </w:r>
      <w:r>
        <w:rPr>
          <w:rFonts w:ascii="Times New Roman" w:hAnsi="Times New Roman"/>
          <w:sz w:val="24"/>
          <w:szCs w:val="24"/>
        </w:rPr>
        <w:t xml:space="preserve">de cobrança do períodoanterior se observarmos a documentação dos eventos. Nas reuniões plenárias, contudo, houve esporádicas ou esvaziadas (sem produzir efeitos no debate) intervenções sobre estas temáticas. </w:t>
      </w:r>
    </w:p>
    <w:p w:rsidR="004D7366"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Isto significa, a nosso ver, uma contradição: i) que, mesmo em tempos de crises, a disputa intercapitalista pela apropriação de recurso</w:t>
      </w:r>
      <w:r w:rsidR="004E1438">
        <w:rPr>
          <w:rFonts w:ascii="Times New Roman" w:hAnsi="Times New Roman"/>
          <w:sz w:val="24"/>
          <w:szCs w:val="24"/>
        </w:rPr>
        <w:t>’</w:t>
      </w:r>
      <w:r>
        <w:rPr>
          <w:rFonts w:ascii="Times New Roman" w:hAnsi="Times New Roman"/>
          <w:sz w:val="24"/>
          <w:szCs w:val="24"/>
        </w:rPr>
        <w:t>s do fundo público não cessa; ii) para dirimir a crise, os setores da economia ligados ao capital funcionante exigem recursos do e para o capital monetário, ampliando a interpenetração entre eles.</w:t>
      </w:r>
    </w:p>
    <w:p w:rsidR="004D7366" w:rsidRPr="00A34374" w:rsidRDefault="004D7366" w:rsidP="004D7366">
      <w:pPr>
        <w:spacing w:after="0" w:line="360" w:lineRule="auto"/>
        <w:ind w:firstLine="708"/>
        <w:jc w:val="both"/>
        <w:rPr>
          <w:rFonts w:ascii="Times New Roman" w:hAnsi="Times New Roman"/>
          <w:sz w:val="24"/>
          <w:szCs w:val="24"/>
        </w:rPr>
      </w:pPr>
      <w:r>
        <w:rPr>
          <w:rFonts w:ascii="Times New Roman" w:hAnsi="Times New Roman"/>
          <w:sz w:val="24"/>
          <w:szCs w:val="24"/>
        </w:rPr>
        <w:t>De todo modo, o exame das principais pautas “consensualizadas” expressas nos documentos expedidos no CDES reverber</w:t>
      </w:r>
      <w:r w:rsidR="00D40F30">
        <w:rPr>
          <w:rFonts w:ascii="Times New Roman" w:hAnsi="Times New Roman"/>
          <w:sz w:val="24"/>
          <w:szCs w:val="24"/>
        </w:rPr>
        <w:t>a a</w:t>
      </w:r>
      <w:r>
        <w:rPr>
          <w:rFonts w:ascii="Times New Roman" w:hAnsi="Times New Roman"/>
          <w:i/>
          <w:sz w:val="24"/>
          <w:szCs w:val="24"/>
        </w:rPr>
        <w:t xml:space="preserve">direção política, intelectual e moral </w:t>
      </w:r>
      <w:r>
        <w:rPr>
          <w:rFonts w:ascii="Times New Roman" w:hAnsi="Times New Roman"/>
          <w:sz w:val="24"/>
          <w:szCs w:val="24"/>
        </w:rPr>
        <w:t xml:space="preserve">do </w:t>
      </w:r>
      <w:r w:rsidRPr="00D97864">
        <w:rPr>
          <w:rFonts w:ascii="Times New Roman" w:hAnsi="Times New Roman"/>
          <w:i/>
          <w:sz w:val="24"/>
          <w:szCs w:val="24"/>
        </w:rPr>
        <w:t>grande capital monopolista</w:t>
      </w:r>
      <w:r>
        <w:rPr>
          <w:rFonts w:ascii="Times New Roman" w:hAnsi="Times New Roman"/>
          <w:sz w:val="24"/>
          <w:szCs w:val="24"/>
        </w:rPr>
        <w:t xml:space="preserve"> presente ao conjunto das demais forças sociais representadas. Dali nasceram, reforçaram,  legitimaram, ampliaram, diversas demandas empresariais, sob o signo da “democracia participativa”.</w:t>
      </w:r>
    </w:p>
    <w:p w:rsidR="004D7366" w:rsidRDefault="004D7366" w:rsidP="00752C15">
      <w:pPr>
        <w:rPr>
          <w:rFonts w:ascii="Times New Roman" w:hAnsi="Times New Roman"/>
          <w:b/>
          <w:sz w:val="24"/>
          <w:szCs w:val="24"/>
        </w:rPr>
      </w:pPr>
    </w:p>
    <w:p w:rsidR="004D7366" w:rsidRDefault="004D7366" w:rsidP="00752C15">
      <w:pPr>
        <w:rPr>
          <w:rFonts w:ascii="Times New Roman" w:hAnsi="Times New Roman"/>
          <w:b/>
          <w:sz w:val="24"/>
          <w:szCs w:val="24"/>
        </w:rPr>
      </w:pPr>
    </w:p>
    <w:p w:rsidR="004D7366" w:rsidRDefault="004D7366" w:rsidP="00752C15">
      <w:pPr>
        <w:rPr>
          <w:rFonts w:ascii="Times New Roman" w:hAnsi="Times New Roman"/>
          <w:b/>
          <w:sz w:val="24"/>
          <w:szCs w:val="24"/>
        </w:rPr>
      </w:pPr>
    </w:p>
    <w:p w:rsidR="004D7366" w:rsidRDefault="004D7366" w:rsidP="00752C15">
      <w:pPr>
        <w:rPr>
          <w:rFonts w:ascii="Times New Roman" w:hAnsi="Times New Roman"/>
          <w:b/>
          <w:sz w:val="24"/>
          <w:szCs w:val="24"/>
        </w:rPr>
      </w:pPr>
    </w:p>
    <w:p w:rsidR="004D7366" w:rsidRDefault="004D7366" w:rsidP="00752C15">
      <w:pPr>
        <w:rPr>
          <w:rFonts w:ascii="Times New Roman" w:hAnsi="Times New Roman"/>
          <w:b/>
          <w:sz w:val="24"/>
          <w:szCs w:val="24"/>
        </w:rPr>
      </w:pPr>
    </w:p>
    <w:p w:rsidR="004D7366" w:rsidRDefault="004D7366" w:rsidP="00752C15">
      <w:pPr>
        <w:rPr>
          <w:rFonts w:ascii="Times New Roman" w:hAnsi="Times New Roman"/>
          <w:b/>
          <w:sz w:val="24"/>
          <w:szCs w:val="24"/>
        </w:rPr>
      </w:pPr>
    </w:p>
    <w:p w:rsidR="004D7366" w:rsidRDefault="004D7366" w:rsidP="00752C15">
      <w:pPr>
        <w:rPr>
          <w:rFonts w:ascii="Times New Roman" w:hAnsi="Times New Roman"/>
          <w:b/>
          <w:sz w:val="24"/>
          <w:szCs w:val="24"/>
        </w:rPr>
      </w:pPr>
    </w:p>
    <w:p w:rsidR="004D7366" w:rsidRDefault="004D7366" w:rsidP="00752C15">
      <w:pPr>
        <w:rPr>
          <w:rFonts w:ascii="Times New Roman" w:hAnsi="Times New Roman"/>
          <w:b/>
          <w:sz w:val="24"/>
          <w:szCs w:val="24"/>
        </w:rPr>
      </w:pPr>
    </w:p>
    <w:p w:rsidR="004D7366" w:rsidRDefault="004D7366" w:rsidP="00752C15">
      <w:pPr>
        <w:rPr>
          <w:rFonts w:ascii="Times New Roman" w:hAnsi="Times New Roman"/>
          <w:b/>
          <w:sz w:val="24"/>
          <w:szCs w:val="24"/>
        </w:rPr>
      </w:pPr>
    </w:p>
    <w:p w:rsidR="004D7366" w:rsidRDefault="004D7366" w:rsidP="00752C15">
      <w:pPr>
        <w:rPr>
          <w:rFonts w:ascii="Times New Roman" w:hAnsi="Times New Roman"/>
          <w:b/>
          <w:sz w:val="24"/>
          <w:szCs w:val="24"/>
        </w:rPr>
      </w:pPr>
    </w:p>
    <w:p w:rsidR="004D7366" w:rsidRDefault="004D7366" w:rsidP="00752C15">
      <w:pPr>
        <w:rPr>
          <w:rFonts w:ascii="Times New Roman" w:hAnsi="Times New Roman"/>
          <w:b/>
          <w:sz w:val="24"/>
          <w:szCs w:val="24"/>
        </w:rPr>
      </w:pPr>
    </w:p>
    <w:p w:rsidR="004D7366" w:rsidRDefault="004D7366" w:rsidP="00752C15">
      <w:pPr>
        <w:rPr>
          <w:rFonts w:ascii="Times New Roman" w:hAnsi="Times New Roman"/>
          <w:b/>
          <w:sz w:val="24"/>
          <w:szCs w:val="24"/>
        </w:rPr>
      </w:pPr>
    </w:p>
    <w:p w:rsidR="004D7366" w:rsidRDefault="004D7366" w:rsidP="00752C15">
      <w:pPr>
        <w:rPr>
          <w:rFonts w:ascii="Times New Roman" w:hAnsi="Times New Roman"/>
          <w:b/>
          <w:sz w:val="24"/>
          <w:szCs w:val="24"/>
        </w:rPr>
      </w:pPr>
    </w:p>
    <w:p w:rsidR="00094845" w:rsidRDefault="00094845" w:rsidP="00752C15">
      <w:pPr>
        <w:rPr>
          <w:rFonts w:ascii="Times New Roman" w:hAnsi="Times New Roman"/>
          <w:b/>
          <w:sz w:val="24"/>
          <w:szCs w:val="24"/>
        </w:rPr>
      </w:pPr>
    </w:p>
    <w:p w:rsidR="002A3A41" w:rsidRDefault="00752C15" w:rsidP="00752C15">
      <w:pPr>
        <w:rPr>
          <w:rFonts w:ascii="Times New Roman" w:hAnsi="Times New Roman"/>
          <w:b/>
          <w:sz w:val="24"/>
          <w:szCs w:val="24"/>
        </w:rPr>
      </w:pPr>
      <w:r>
        <w:rPr>
          <w:rFonts w:ascii="Times New Roman" w:hAnsi="Times New Roman"/>
          <w:b/>
          <w:sz w:val="24"/>
          <w:szCs w:val="24"/>
        </w:rPr>
        <w:t xml:space="preserve">6.0 </w:t>
      </w:r>
      <w:r w:rsidR="00AD7F63">
        <w:rPr>
          <w:rFonts w:ascii="Times New Roman" w:hAnsi="Times New Roman"/>
          <w:b/>
          <w:sz w:val="24"/>
          <w:szCs w:val="24"/>
        </w:rPr>
        <w:t>–REFERÊNCIAS BIBLIOGRÁFICAS E FONTES</w:t>
      </w:r>
    </w:p>
    <w:p w:rsidR="00752C15" w:rsidRDefault="00752C15" w:rsidP="002A3A41">
      <w:pPr>
        <w:spacing w:after="0" w:line="240" w:lineRule="auto"/>
        <w:rPr>
          <w:rFonts w:ascii="Times New Roman" w:hAnsi="Times New Roman"/>
          <w:sz w:val="24"/>
          <w:szCs w:val="24"/>
        </w:rPr>
      </w:pPr>
    </w:p>
    <w:p w:rsidR="002A3A41" w:rsidRPr="002A3A41" w:rsidRDefault="002A3A41" w:rsidP="002A3A41">
      <w:pPr>
        <w:spacing w:after="0" w:line="240" w:lineRule="auto"/>
        <w:rPr>
          <w:rFonts w:ascii="Times New Roman" w:hAnsi="Times New Roman"/>
          <w:sz w:val="24"/>
          <w:szCs w:val="24"/>
        </w:rPr>
      </w:pPr>
      <w:r w:rsidRPr="002A3A41">
        <w:rPr>
          <w:rFonts w:ascii="Times New Roman" w:hAnsi="Times New Roman"/>
          <w:sz w:val="24"/>
          <w:szCs w:val="24"/>
        </w:rPr>
        <w:t xml:space="preserve">ALMEIDA, Mansueto. </w:t>
      </w:r>
      <w:r w:rsidRPr="002A3A41">
        <w:rPr>
          <w:rFonts w:ascii="Times New Roman" w:hAnsi="Times New Roman"/>
          <w:i/>
          <w:sz w:val="24"/>
          <w:szCs w:val="24"/>
        </w:rPr>
        <w:t xml:space="preserve">Desafios da real política industrial brasileira do século XXI. </w:t>
      </w:r>
      <w:r w:rsidRPr="002A3A41">
        <w:rPr>
          <w:rFonts w:ascii="Times New Roman" w:hAnsi="Times New Roman"/>
          <w:sz w:val="24"/>
          <w:szCs w:val="24"/>
        </w:rPr>
        <w:t>Texto para discussão nº 1452, IPEA, Brasília: 2009.</w:t>
      </w:r>
    </w:p>
    <w:p w:rsidR="002A3A41" w:rsidRDefault="002A3A41" w:rsidP="002A3A41">
      <w:pPr>
        <w:spacing w:after="0" w:line="240" w:lineRule="auto"/>
        <w:rPr>
          <w:rFonts w:ascii="Times New Roman" w:hAnsi="Times New Roman"/>
          <w:sz w:val="24"/>
          <w:szCs w:val="24"/>
        </w:rPr>
      </w:pPr>
    </w:p>
    <w:p w:rsidR="00797D0A" w:rsidRPr="00797D0A" w:rsidRDefault="00797D0A" w:rsidP="00797D0A">
      <w:pPr>
        <w:autoSpaceDE w:val="0"/>
        <w:autoSpaceDN w:val="0"/>
        <w:adjustRightInd w:val="0"/>
        <w:spacing w:after="0" w:line="240" w:lineRule="auto"/>
        <w:rPr>
          <w:rFonts w:ascii="Times New Roman" w:hAnsi="Times New Roman"/>
          <w:sz w:val="24"/>
          <w:szCs w:val="24"/>
        </w:rPr>
      </w:pPr>
      <w:r w:rsidRPr="00797D0A">
        <w:rPr>
          <w:rFonts w:ascii="Times New Roman" w:hAnsi="Times New Roman"/>
          <w:sz w:val="24"/>
          <w:szCs w:val="24"/>
        </w:rPr>
        <w:t xml:space="preserve">ALMEIDA, Gelsom Rozentino de e LOURENÇO NETO, Sydenham. </w:t>
      </w:r>
      <w:r w:rsidRPr="00797D0A">
        <w:rPr>
          <w:rFonts w:ascii="Times New Roman" w:hAnsi="Times New Roman"/>
          <w:i/>
          <w:sz w:val="24"/>
          <w:szCs w:val="24"/>
        </w:rPr>
        <w:t>Estado, Hegemonia e Luta de Classes</w:t>
      </w:r>
      <w:r w:rsidRPr="00797D0A">
        <w:rPr>
          <w:rFonts w:ascii="Times New Roman" w:hAnsi="Times New Roman"/>
          <w:sz w:val="24"/>
          <w:szCs w:val="24"/>
        </w:rPr>
        <w:t>: interesses organizados no Brasil recente. Bauru, SP: Canal 6, 2012</w:t>
      </w:r>
      <w:r>
        <w:rPr>
          <w:rFonts w:ascii="Times New Roman" w:hAnsi="Times New Roman"/>
          <w:sz w:val="24"/>
          <w:szCs w:val="24"/>
        </w:rPr>
        <w:t>.</w:t>
      </w:r>
    </w:p>
    <w:p w:rsidR="00797D0A" w:rsidRPr="00797D0A" w:rsidRDefault="00797D0A" w:rsidP="002A3A41">
      <w:pPr>
        <w:spacing w:after="0" w:line="240" w:lineRule="auto"/>
        <w:rPr>
          <w:rFonts w:ascii="Times New Roman" w:hAnsi="Times New Roman"/>
          <w:sz w:val="24"/>
          <w:szCs w:val="24"/>
        </w:rPr>
      </w:pPr>
    </w:p>
    <w:p w:rsidR="002A3A41" w:rsidRPr="002A3A41" w:rsidRDefault="002A3A41" w:rsidP="002A3A41">
      <w:pPr>
        <w:spacing w:after="0" w:line="240" w:lineRule="auto"/>
        <w:rPr>
          <w:rFonts w:ascii="Times New Roman" w:hAnsi="Times New Roman"/>
          <w:sz w:val="24"/>
          <w:szCs w:val="24"/>
        </w:rPr>
      </w:pPr>
      <w:r w:rsidRPr="002A3A41">
        <w:rPr>
          <w:rFonts w:ascii="Times New Roman" w:hAnsi="Times New Roman"/>
          <w:sz w:val="24"/>
          <w:szCs w:val="24"/>
        </w:rPr>
        <w:t xml:space="preserve">BARBOSA, Nelson e SOUZA, José Antonio Pereira de. A inflexão do governo Lula: política econômica, crescimento e distribuição de renda. In:SADER, Emir e GARCIA, Marco Aurélio (orgs.). </w:t>
      </w:r>
      <w:r w:rsidRPr="002A3A41">
        <w:rPr>
          <w:rFonts w:ascii="Times New Roman" w:hAnsi="Times New Roman"/>
          <w:i/>
          <w:sz w:val="24"/>
          <w:szCs w:val="24"/>
        </w:rPr>
        <w:t>Brasil, entre o passado e o futuro</w:t>
      </w:r>
      <w:r w:rsidRPr="002A3A41">
        <w:rPr>
          <w:rFonts w:ascii="Times New Roman" w:hAnsi="Times New Roman"/>
          <w:sz w:val="24"/>
          <w:szCs w:val="24"/>
        </w:rPr>
        <w:t>. São Paulo: Editora Fundação Perseu Abramo: Boitempo, 2010.</w:t>
      </w:r>
    </w:p>
    <w:p w:rsidR="002A3A41" w:rsidRPr="002A3A41" w:rsidRDefault="002A3A41" w:rsidP="002A3A41">
      <w:pPr>
        <w:spacing w:after="0" w:line="240" w:lineRule="auto"/>
        <w:rPr>
          <w:rFonts w:ascii="Times New Roman" w:hAnsi="Times New Roman"/>
          <w:sz w:val="24"/>
          <w:szCs w:val="24"/>
        </w:rPr>
      </w:pP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 xml:space="preserve">BANCO MUNDIAL. </w:t>
      </w:r>
      <w:r w:rsidRPr="002A3A41">
        <w:rPr>
          <w:rFonts w:ascii="Times New Roman" w:hAnsi="Times New Roman"/>
          <w:i/>
          <w:sz w:val="24"/>
          <w:szCs w:val="24"/>
        </w:rPr>
        <w:t>Equidade e Desenvolvimento</w:t>
      </w:r>
      <w:r w:rsidRPr="002A3A41">
        <w:rPr>
          <w:rFonts w:ascii="Times New Roman" w:hAnsi="Times New Roman"/>
          <w:sz w:val="24"/>
          <w:szCs w:val="24"/>
        </w:rPr>
        <w:t>. Relatório sobre o Desenvolvimento Mundial 2006. Washington D.C., 2006.</w:t>
      </w: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 xml:space="preserve">BERRINGER, Tatiana. A tese do imperialismo brasileiro em questão.  </w:t>
      </w:r>
      <w:r w:rsidRPr="002A3A41">
        <w:rPr>
          <w:rFonts w:ascii="Times New Roman" w:hAnsi="Times New Roman"/>
          <w:i/>
          <w:sz w:val="24"/>
          <w:szCs w:val="24"/>
        </w:rPr>
        <w:t>Revista Crítica Marxista</w:t>
      </w:r>
      <w:r w:rsidRPr="002A3A41">
        <w:rPr>
          <w:rFonts w:ascii="Times New Roman" w:hAnsi="Times New Roman"/>
          <w:sz w:val="24"/>
          <w:szCs w:val="24"/>
        </w:rPr>
        <w:t>, São Paulo, Fundação Editora Unicamp, nº 36, 2013, p.115-127.</w:t>
      </w: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BIANCHI, Álvaro. </w:t>
      </w:r>
      <w:r w:rsidRPr="002A3A41">
        <w:rPr>
          <w:rFonts w:ascii="Times New Roman" w:hAnsi="Times New Roman"/>
          <w:i/>
          <w:sz w:val="24"/>
          <w:szCs w:val="24"/>
        </w:rPr>
        <w:t>Um Ministério dos Industriais</w:t>
      </w:r>
      <w:r w:rsidRPr="002A3A41">
        <w:rPr>
          <w:rFonts w:ascii="Times New Roman" w:hAnsi="Times New Roman"/>
          <w:sz w:val="24"/>
          <w:szCs w:val="24"/>
        </w:rPr>
        <w:t>: a Federação das Indústrias do Estado de São Paulo na crise das décadas de 1980 e 1990. Campinas, SP: Ed. da Unicamp, 2010.</w:t>
      </w:r>
    </w:p>
    <w:p w:rsidR="00650589" w:rsidRPr="00650589" w:rsidRDefault="002A3A41" w:rsidP="002A3A41">
      <w:pPr>
        <w:spacing w:line="240" w:lineRule="auto"/>
        <w:rPr>
          <w:rFonts w:ascii="Times New Roman" w:hAnsi="Times New Roman"/>
          <w:sz w:val="24"/>
          <w:szCs w:val="24"/>
        </w:rPr>
      </w:pPr>
      <w:r w:rsidRPr="002A3A41">
        <w:rPr>
          <w:rFonts w:ascii="Times New Roman" w:hAnsi="Times New Roman"/>
          <w:sz w:val="24"/>
          <w:szCs w:val="24"/>
        </w:rPr>
        <w:t>BOITO Jr. Armando.</w:t>
      </w:r>
      <w:r w:rsidR="00650589" w:rsidRPr="00650589">
        <w:rPr>
          <w:rFonts w:ascii="Times New Roman" w:hAnsi="Times New Roman"/>
          <w:sz w:val="24"/>
          <w:szCs w:val="24"/>
        </w:rPr>
        <w:t xml:space="preserve"> Governos Lula: a nova burguesia nacional no poder. In: BOITO Jr. e GALVÃO (orgs.). </w:t>
      </w:r>
      <w:r w:rsidR="00650589" w:rsidRPr="00650589">
        <w:rPr>
          <w:rFonts w:ascii="Times New Roman" w:hAnsi="Times New Roman"/>
          <w:i/>
          <w:sz w:val="24"/>
          <w:szCs w:val="24"/>
        </w:rPr>
        <w:t xml:space="preserve">Políticas e classes sociais no Brasil dos anos 2000. </w:t>
      </w:r>
      <w:r w:rsidR="00650589" w:rsidRPr="00650589">
        <w:rPr>
          <w:rFonts w:ascii="Times New Roman" w:hAnsi="Times New Roman"/>
          <w:sz w:val="24"/>
          <w:szCs w:val="24"/>
        </w:rPr>
        <w:t>São Paulo: Palameda, 2012.</w:t>
      </w:r>
    </w:p>
    <w:p w:rsidR="002A3A41" w:rsidRPr="002A3A41" w:rsidRDefault="002A3A41" w:rsidP="002A3A41">
      <w:pPr>
        <w:autoSpaceDE w:val="0"/>
        <w:autoSpaceDN w:val="0"/>
        <w:adjustRightInd w:val="0"/>
        <w:spacing w:line="240" w:lineRule="auto"/>
        <w:jc w:val="both"/>
        <w:rPr>
          <w:rFonts w:ascii="Times New Roman" w:hAnsi="Times New Roman"/>
          <w:sz w:val="24"/>
          <w:szCs w:val="24"/>
        </w:rPr>
      </w:pPr>
      <w:r w:rsidRPr="002A3A41">
        <w:rPr>
          <w:rFonts w:ascii="Times New Roman" w:hAnsi="Times New Roman"/>
          <w:sz w:val="24"/>
          <w:szCs w:val="24"/>
        </w:rPr>
        <w:t xml:space="preserve">BOURDIEU, Pierre. O capital social – notas provisórias. In: CATANI, A. &amp; NOGUEIRA, M. A. (orgs.) </w:t>
      </w:r>
      <w:r w:rsidRPr="002A3A41">
        <w:rPr>
          <w:rFonts w:ascii="Times New Roman" w:hAnsi="Times New Roman"/>
          <w:i/>
          <w:sz w:val="24"/>
          <w:szCs w:val="24"/>
        </w:rPr>
        <w:t>Escritos de educação</w:t>
      </w:r>
      <w:r w:rsidRPr="002A3A41">
        <w:rPr>
          <w:rFonts w:ascii="Times New Roman" w:hAnsi="Times New Roman"/>
          <w:sz w:val="24"/>
          <w:szCs w:val="24"/>
        </w:rPr>
        <w:t xml:space="preserve">. Petrópolis: Vozes, 1998. </w:t>
      </w:r>
      <w:r w:rsidRPr="002A3A41">
        <w:rPr>
          <w:rFonts w:ascii="Times New Roman" w:hAnsi="Times New Roman"/>
          <w:i/>
          <w:sz w:val="24"/>
          <w:szCs w:val="24"/>
        </w:rPr>
        <w:t xml:space="preserve">Apud </w:t>
      </w:r>
      <w:r w:rsidRPr="002A3A41">
        <w:rPr>
          <w:rFonts w:ascii="Times New Roman" w:hAnsi="Times New Roman"/>
          <w:sz w:val="24"/>
          <w:szCs w:val="24"/>
        </w:rPr>
        <w:t xml:space="preserve">NEVES, L. Mª. W.; PRONKO, M. &amp; MENDONÇA, S. R. Capital Social. In: PEREIRA, Isabel Brasil. </w:t>
      </w:r>
      <w:r w:rsidRPr="002A3A41">
        <w:rPr>
          <w:rFonts w:ascii="Times New Roman" w:hAnsi="Times New Roman"/>
          <w:i/>
          <w:sz w:val="24"/>
          <w:szCs w:val="24"/>
        </w:rPr>
        <w:t>Dicionário d</w:t>
      </w:r>
      <w:r w:rsidR="00D260EA">
        <w:rPr>
          <w:rFonts w:ascii="Times New Roman" w:hAnsi="Times New Roman"/>
          <w:i/>
          <w:sz w:val="24"/>
          <w:szCs w:val="24"/>
        </w:rPr>
        <w:t>e</w:t>
      </w:r>
      <w:r w:rsidRPr="002A3A41">
        <w:rPr>
          <w:rFonts w:ascii="Times New Roman" w:hAnsi="Times New Roman"/>
          <w:i/>
          <w:sz w:val="24"/>
          <w:szCs w:val="24"/>
        </w:rPr>
        <w:t xml:space="preserve"> educação profissional em saúde</w:t>
      </w:r>
      <w:r w:rsidRPr="002A3A41">
        <w:rPr>
          <w:rFonts w:ascii="Times New Roman" w:hAnsi="Times New Roman"/>
          <w:sz w:val="24"/>
          <w:szCs w:val="24"/>
        </w:rPr>
        <w:t>. RJ: EPSJV, 2009.</w:t>
      </w:r>
    </w:p>
    <w:p w:rsidR="002A3A41" w:rsidRPr="002A3A41" w:rsidRDefault="002A3A41" w:rsidP="002A3A41">
      <w:pPr>
        <w:spacing w:before="240" w:line="240" w:lineRule="auto"/>
        <w:rPr>
          <w:rFonts w:ascii="Times New Roman" w:hAnsi="Times New Roman"/>
          <w:sz w:val="24"/>
          <w:szCs w:val="24"/>
        </w:rPr>
      </w:pPr>
      <w:r w:rsidRPr="002A3A41">
        <w:rPr>
          <w:rFonts w:ascii="Times New Roman" w:hAnsi="Times New Roman"/>
          <w:sz w:val="24"/>
          <w:szCs w:val="24"/>
        </w:rPr>
        <w:t xml:space="preserve">___________. </w:t>
      </w:r>
      <w:r w:rsidRPr="002A3A41">
        <w:rPr>
          <w:rFonts w:ascii="Times New Roman" w:hAnsi="Times New Roman"/>
          <w:i/>
          <w:sz w:val="24"/>
          <w:szCs w:val="24"/>
        </w:rPr>
        <w:t>Contrafogos</w:t>
      </w:r>
      <w:r w:rsidRPr="002A3A41">
        <w:rPr>
          <w:rFonts w:ascii="Times New Roman" w:hAnsi="Times New Roman"/>
          <w:sz w:val="24"/>
          <w:szCs w:val="24"/>
        </w:rPr>
        <w:t>: táticas para enfrentar a invasão neoliberal. RJ: Zahar, 1998.</w:t>
      </w: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BRUNO, Regina (et al.). </w:t>
      </w:r>
      <w:r w:rsidRPr="002A3A41">
        <w:rPr>
          <w:rFonts w:ascii="Times New Roman" w:hAnsi="Times New Roman"/>
          <w:i/>
          <w:sz w:val="24"/>
          <w:szCs w:val="24"/>
        </w:rPr>
        <w:t>Um Brasil ambivalente</w:t>
      </w:r>
      <w:r w:rsidRPr="002A3A41">
        <w:rPr>
          <w:rFonts w:ascii="Times New Roman" w:hAnsi="Times New Roman"/>
          <w:sz w:val="24"/>
          <w:szCs w:val="24"/>
        </w:rPr>
        <w:t>: agronegócio, ruralismo e relações de poder. RJ: mauad X; Seropédica, RJ: EDUAR, 2009.</w:t>
      </w: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CAMPOS, Pedro Henrique Pedreira. </w:t>
      </w:r>
      <w:r w:rsidRPr="002A3A41">
        <w:rPr>
          <w:rFonts w:ascii="Times New Roman" w:hAnsi="Times New Roman"/>
          <w:i/>
          <w:sz w:val="24"/>
          <w:szCs w:val="24"/>
        </w:rPr>
        <w:t>A ditadura dos empreiteiros</w:t>
      </w:r>
      <w:r w:rsidRPr="002A3A41">
        <w:rPr>
          <w:rFonts w:ascii="Times New Roman" w:hAnsi="Times New Roman"/>
          <w:sz w:val="24"/>
          <w:szCs w:val="24"/>
        </w:rPr>
        <w:t>: as empresas nacionais de construção pesada, suas formas associativas e o Estado ditatorial brasileiro, 1964-1985. Tese de Doutorado, Niterói: Universidade Federal Fluminense, 2012.</w:t>
      </w: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CANO, Wilson e SILVA, Ana Lucia Gonçalves da. Política Industrial do Governo Lula. In: </w:t>
      </w:r>
      <w:r w:rsidRPr="002A3A41">
        <w:rPr>
          <w:rFonts w:ascii="Times New Roman" w:hAnsi="Times New Roman"/>
          <w:i/>
          <w:sz w:val="24"/>
          <w:szCs w:val="24"/>
        </w:rPr>
        <w:t>Os anos Lula</w:t>
      </w:r>
      <w:r w:rsidRPr="002A3A41">
        <w:rPr>
          <w:rFonts w:ascii="Times New Roman" w:hAnsi="Times New Roman"/>
          <w:sz w:val="24"/>
          <w:szCs w:val="24"/>
        </w:rPr>
        <w:t>: contribuições para um balanço crítico 2003-2010. RJ: Garamond, 2010.</w:t>
      </w: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CARCANHOLO, Marcelo Dias. Inserção externa e vulnerabilidade da economia brasileira no governo Lula. In: </w:t>
      </w:r>
      <w:r w:rsidRPr="002A3A41">
        <w:rPr>
          <w:rFonts w:ascii="Times New Roman" w:hAnsi="Times New Roman"/>
          <w:i/>
          <w:sz w:val="24"/>
          <w:szCs w:val="24"/>
        </w:rPr>
        <w:t>Os anos Lula</w:t>
      </w:r>
      <w:r w:rsidRPr="002A3A41">
        <w:rPr>
          <w:rFonts w:ascii="Times New Roman" w:hAnsi="Times New Roman"/>
          <w:sz w:val="24"/>
          <w:szCs w:val="24"/>
        </w:rPr>
        <w:t>: contribuições para um balanço crítico 2003-2010. RJ: Garamond, 2010.</w:t>
      </w:r>
    </w:p>
    <w:p w:rsidR="002A3A41" w:rsidRPr="002A3A41" w:rsidRDefault="002A3A41" w:rsidP="002A3A41">
      <w:pPr>
        <w:autoSpaceDE w:val="0"/>
        <w:autoSpaceDN w:val="0"/>
        <w:adjustRightInd w:val="0"/>
        <w:spacing w:line="240" w:lineRule="auto"/>
        <w:rPr>
          <w:rFonts w:ascii="Times New Roman" w:hAnsi="Times New Roman"/>
          <w:sz w:val="24"/>
          <w:szCs w:val="24"/>
        </w:rPr>
      </w:pPr>
      <w:r w:rsidRPr="002A3A41">
        <w:rPr>
          <w:rFonts w:ascii="Times New Roman" w:hAnsi="Times New Roman"/>
          <w:sz w:val="24"/>
          <w:szCs w:val="24"/>
        </w:rPr>
        <w:t xml:space="preserve">CASTELO, Rodrigo. O social-liberalismo brasileiro e a miséria ideológica da economia do bem-estar. In: MOTA, Ana Elizabete (org.). </w:t>
      </w:r>
      <w:r w:rsidRPr="002A3A41">
        <w:rPr>
          <w:rFonts w:ascii="Times New Roman" w:hAnsi="Times New Roman"/>
          <w:i/>
          <w:sz w:val="24"/>
          <w:szCs w:val="24"/>
        </w:rPr>
        <w:t>Desenvolvimento e construção de hegemonia</w:t>
      </w:r>
      <w:r w:rsidRPr="002A3A41">
        <w:rPr>
          <w:rFonts w:ascii="Times New Roman" w:hAnsi="Times New Roman"/>
          <w:sz w:val="24"/>
          <w:szCs w:val="24"/>
        </w:rPr>
        <w:t>: crescimento econômico e reprodução da desigualdade. São Paulo: Cortez, 2012.</w:t>
      </w:r>
    </w:p>
    <w:p w:rsidR="002A3A41" w:rsidRPr="002A3A41" w:rsidRDefault="002A3A41" w:rsidP="002A3A41">
      <w:pPr>
        <w:autoSpaceDE w:val="0"/>
        <w:autoSpaceDN w:val="0"/>
        <w:adjustRightInd w:val="0"/>
        <w:spacing w:after="0" w:line="240" w:lineRule="auto"/>
        <w:rPr>
          <w:rFonts w:ascii="Times New Roman" w:hAnsi="Times New Roman"/>
          <w:sz w:val="24"/>
          <w:szCs w:val="24"/>
        </w:rPr>
      </w:pPr>
      <w:r w:rsidRPr="002A3A41">
        <w:rPr>
          <w:rFonts w:ascii="Times New Roman" w:hAnsi="Times New Roman"/>
          <w:sz w:val="24"/>
          <w:szCs w:val="24"/>
        </w:rPr>
        <w:t xml:space="preserve">_________.  </w:t>
      </w:r>
      <w:r w:rsidRPr="002A3A41">
        <w:rPr>
          <w:rFonts w:ascii="Times New Roman" w:hAnsi="Times New Roman"/>
          <w:i/>
          <w:sz w:val="24"/>
          <w:szCs w:val="24"/>
        </w:rPr>
        <w:t xml:space="preserve">O social-liberalismo: </w:t>
      </w:r>
      <w:r w:rsidRPr="002A3A41">
        <w:rPr>
          <w:rFonts w:ascii="Times New Roman" w:hAnsi="Times New Roman"/>
          <w:sz w:val="24"/>
          <w:szCs w:val="24"/>
        </w:rPr>
        <w:t>auge e crise da supremacia burguesa na era neoliberal. SP: Expressão Popular, 2013.</w:t>
      </w:r>
    </w:p>
    <w:p w:rsidR="002A3A41" w:rsidRPr="002A3A41" w:rsidRDefault="002A3A41" w:rsidP="002A3A41">
      <w:pPr>
        <w:autoSpaceDE w:val="0"/>
        <w:autoSpaceDN w:val="0"/>
        <w:adjustRightInd w:val="0"/>
        <w:spacing w:after="0" w:line="240" w:lineRule="auto"/>
        <w:rPr>
          <w:rFonts w:ascii="Times New Roman" w:hAnsi="Times New Roman"/>
          <w:sz w:val="24"/>
          <w:szCs w:val="24"/>
        </w:rPr>
      </w:pPr>
    </w:p>
    <w:p w:rsidR="002A3A41" w:rsidRPr="002A3A41" w:rsidRDefault="002A3A41" w:rsidP="002A3A41">
      <w:pPr>
        <w:spacing w:line="240" w:lineRule="auto"/>
        <w:jc w:val="both"/>
        <w:rPr>
          <w:rFonts w:ascii="Times New Roman" w:hAnsi="Times New Roman"/>
          <w:sz w:val="24"/>
          <w:szCs w:val="24"/>
        </w:rPr>
      </w:pPr>
      <w:r w:rsidRPr="002A3A41">
        <w:rPr>
          <w:rFonts w:ascii="Times New Roman" w:hAnsi="Times New Roman"/>
          <w:sz w:val="24"/>
          <w:szCs w:val="24"/>
        </w:rPr>
        <w:t xml:space="preserve">COELHO, Eurelino. </w:t>
      </w:r>
      <w:r w:rsidRPr="002A3A41">
        <w:rPr>
          <w:rFonts w:ascii="Times New Roman" w:hAnsi="Times New Roman"/>
          <w:i/>
          <w:sz w:val="24"/>
          <w:szCs w:val="24"/>
        </w:rPr>
        <w:t>Uma esquerda para o capital</w:t>
      </w:r>
      <w:r w:rsidRPr="002A3A41">
        <w:rPr>
          <w:rFonts w:ascii="Times New Roman" w:hAnsi="Times New Roman"/>
          <w:sz w:val="24"/>
          <w:szCs w:val="24"/>
        </w:rPr>
        <w:t>. Crise do Marxismo e Mudanças nos Projetos Políticos dos Grupos Dirigentes do PT (1979-1998). Tese de Doutorado em História, Niterói: Universidade Federal Fluminense, 2005.</w:t>
      </w:r>
    </w:p>
    <w:p w:rsidR="002A3A41" w:rsidRPr="002A3A41" w:rsidRDefault="002A3A41" w:rsidP="002A3A41">
      <w:pPr>
        <w:autoSpaceDE w:val="0"/>
        <w:autoSpaceDN w:val="0"/>
        <w:adjustRightInd w:val="0"/>
        <w:spacing w:before="240" w:after="0" w:line="240" w:lineRule="auto"/>
        <w:rPr>
          <w:rFonts w:ascii="Times New Roman" w:hAnsi="Times New Roman"/>
          <w:sz w:val="24"/>
          <w:szCs w:val="24"/>
        </w:rPr>
      </w:pPr>
      <w:r w:rsidRPr="002A3A41">
        <w:rPr>
          <w:rFonts w:ascii="Times New Roman" w:hAnsi="Times New Roman"/>
          <w:sz w:val="24"/>
          <w:szCs w:val="24"/>
        </w:rPr>
        <w:t xml:space="preserve">CÔRTES, Soraya M. V. </w:t>
      </w:r>
      <w:r w:rsidRPr="002A3A41">
        <w:rPr>
          <w:rFonts w:ascii="Times New Roman" w:hAnsi="Times New Roman"/>
          <w:i/>
          <w:sz w:val="24"/>
          <w:szCs w:val="24"/>
        </w:rPr>
        <w:t>Arcabouço histórico-institucional e a conformação de conselhos municipais de políticas públicas</w:t>
      </w:r>
      <w:r w:rsidRPr="002A3A41">
        <w:rPr>
          <w:rFonts w:ascii="Times New Roman" w:hAnsi="Times New Roman"/>
          <w:sz w:val="24"/>
          <w:szCs w:val="24"/>
        </w:rPr>
        <w:t>. Revista Educar, Curitiba, n. 25, p. 143-174, Editora UFPR, 2005.</w:t>
      </w:r>
    </w:p>
    <w:p w:rsidR="002A3A41" w:rsidRPr="002A3A41" w:rsidRDefault="002A3A41" w:rsidP="002A3A41">
      <w:pPr>
        <w:autoSpaceDE w:val="0"/>
        <w:autoSpaceDN w:val="0"/>
        <w:adjustRightInd w:val="0"/>
        <w:spacing w:before="240" w:after="0" w:line="240" w:lineRule="auto"/>
        <w:rPr>
          <w:rFonts w:ascii="Times New Roman" w:hAnsi="Times New Roman"/>
          <w:sz w:val="24"/>
          <w:szCs w:val="24"/>
        </w:rPr>
      </w:pPr>
      <w:r w:rsidRPr="002A3A41">
        <w:rPr>
          <w:rFonts w:ascii="Times New Roman" w:hAnsi="Times New Roman"/>
          <w:sz w:val="24"/>
          <w:szCs w:val="24"/>
        </w:rPr>
        <w:t xml:space="preserve">COSTA, Paulo Maurício Teixeira da. </w:t>
      </w:r>
      <w:r w:rsidRPr="002A3A41">
        <w:rPr>
          <w:rFonts w:ascii="Times New Roman" w:hAnsi="Times New Roman"/>
          <w:i/>
          <w:sz w:val="24"/>
          <w:szCs w:val="24"/>
        </w:rPr>
        <w:t xml:space="preserve">Coordenação política, governança e governabilidade: </w:t>
      </w:r>
      <w:r w:rsidRPr="002A3A41">
        <w:rPr>
          <w:rFonts w:ascii="Times New Roman" w:hAnsi="Times New Roman"/>
          <w:sz w:val="24"/>
          <w:szCs w:val="24"/>
        </w:rPr>
        <w:t>o papel da Secretaria de Relações Institucionais da Presidência da República. XI Congresso Internacional del CLAD sobre la Reforma Del Estado y de la Administración Pública, Ciudad de Guatemala, 2006a.</w:t>
      </w:r>
    </w:p>
    <w:p w:rsidR="002A3A41" w:rsidRPr="002A3A41" w:rsidRDefault="002A3A41" w:rsidP="002A3A41">
      <w:pPr>
        <w:autoSpaceDE w:val="0"/>
        <w:autoSpaceDN w:val="0"/>
        <w:adjustRightInd w:val="0"/>
        <w:spacing w:after="0" w:line="240" w:lineRule="auto"/>
        <w:rPr>
          <w:rFonts w:ascii="Times New Roman" w:hAnsi="Times New Roman"/>
          <w:sz w:val="24"/>
          <w:szCs w:val="24"/>
        </w:rPr>
      </w:pPr>
    </w:p>
    <w:p w:rsidR="002A3A41" w:rsidRPr="002A3A41" w:rsidRDefault="002A3A41" w:rsidP="002A3A41">
      <w:pPr>
        <w:autoSpaceDE w:val="0"/>
        <w:autoSpaceDN w:val="0"/>
        <w:adjustRightInd w:val="0"/>
        <w:spacing w:after="0" w:line="240" w:lineRule="auto"/>
        <w:rPr>
          <w:rFonts w:ascii="Times New Roman" w:hAnsi="Times New Roman"/>
          <w:sz w:val="24"/>
          <w:szCs w:val="24"/>
        </w:rPr>
      </w:pPr>
      <w:r w:rsidRPr="002A3A41">
        <w:rPr>
          <w:rFonts w:ascii="Times New Roman" w:hAnsi="Times New Roman"/>
          <w:sz w:val="24"/>
          <w:szCs w:val="24"/>
        </w:rPr>
        <w:t xml:space="preserve">COSTA, Vanda Maria Ribeiro (2006b). </w:t>
      </w:r>
      <w:r w:rsidRPr="002A3A41">
        <w:rPr>
          <w:rFonts w:ascii="Times New Roman" w:hAnsi="Times New Roman"/>
          <w:i/>
          <w:sz w:val="24"/>
          <w:szCs w:val="24"/>
        </w:rPr>
        <w:t>O Conselho de Desenvolvimento Econômico e Social</w:t>
      </w:r>
      <w:r w:rsidRPr="002A3A41">
        <w:rPr>
          <w:rFonts w:ascii="Times New Roman" w:hAnsi="Times New Roman"/>
          <w:sz w:val="24"/>
          <w:szCs w:val="24"/>
        </w:rPr>
        <w:t xml:space="preserve">: um experimento democrático. Disponível em: &lt;www.cdes.gov.br&gt;. </w:t>
      </w:r>
    </w:p>
    <w:p w:rsidR="002A3A41" w:rsidRPr="002A3A41" w:rsidRDefault="002A3A41" w:rsidP="002A3A41">
      <w:pPr>
        <w:autoSpaceDE w:val="0"/>
        <w:autoSpaceDN w:val="0"/>
        <w:adjustRightInd w:val="0"/>
        <w:spacing w:after="0" w:line="240" w:lineRule="auto"/>
        <w:rPr>
          <w:rFonts w:ascii="Times New Roman" w:hAnsi="Times New Roman"/>
          <w:sz w:val="24"/>
          <w:szCs w:val="24"/>
        </w:rPr>
      </w:pP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_______. </w:t>
      </w:r>
      <w:r w:rsidRPr="002A3A41">
        <w:rPr>
          <w:rFonts w:ascii="Times New Roman" w:hAnsi="Times New Roman"/>
          <w:i/>
          <w:sz w:val="24"/>
          <w:szCs w:val="24"/>
        </w:rPr>
        <w:t xml:space="preserve">Os conselhos do CDES: </w:t>
      </w:r>
      <w:r w:rsidRPr="002A3A41">
        <w:rPr>
          <w:rFonts w:ascii="Times New Roman" w:hAnsi="Times New Roman"/>
          <w:sz w:val="24"/>
          <w:szCs w:val="24"/>
        </w:rPr>
        <w:t>experimento sem conclusão. Revista Insight Inteligência, 2006c.</w:t>
      </w: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________. </w:t>
      </w:r>
      <w:r w:rsidRPr="002A3A41">
        <w:rPr>
          <w:rFonts w:ascii="Times New Roman" w:hAnsi="Times New Roman"/>
          <w:i/>
          <w:sz w:val="24"/>
          <w:szCs w:val="24"/>
        </w:rPr>
        <w:t>Democratização de estruturas de governo no Brasil</w:t>
      </w:r>
      <w:r w:rsidRPr="002A3A41">
        <w:rPr>
          <w:rFonts w:ascii="Times New Roman" w:hAnsi="Times New Roman"/>
          <w:sz w:val="24"/>
          <w:szCs w:val="24"/>
        </w:rPr>
        <w:t xml:space="preserve">. Trabalho apresentado no XXII Congresso de la FIELC, em março de 2005. </w:t>
      </w:r>
    </w:p>
    <w:p w:rsid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________. </w:t>
      </w:r>
      <w:r w:rsidRPr="002A3A41">
        <w:rPr>
          <w:rFonts w:ascii="Times New Roman" w:hAnsi="Times New Roman"/>
          <w:i/>
          <w:sz w:val="24"/>
          <w:szCs w:val="24"/>
        </w:rPr>
        <w:t>O CDES</w:t>
      </w:r>
      <w:r w:rsidRPr="002A3A41">
        <w:rPr>
          <w:rFonts w:ascii="Times New Roman" w:hAnsi="Times New Roman"/>
          <w:sz w:val="24"/>
          <w:szCs w:val="24"/>
        </w:rPr>
        <w:t>: a aprendizagem do pacto. Revista Insight Inteligência, 2008. Disponível em &lt;http://www.insightinteligencia.com.br/41/PDFs/11%20-%20CDES.pdf&gt;.</w:t>
      </w:r>
    </w:p>
    <w:p w:rsidR="00DA32BB" w:rsidRPr="002A3A41" w:rsidRDefault="00DA32BB" w:rsidP="00DA32BB">
      <w:pPr>
        <w:spacing w:line="240" w:lineRule="auto"/>
        <w:rPr>
          <w:rFonts w:ascii="Times New Roman" w:hAnsi="Times New Roman"/>
          <w:sz w:val="24"/>
          <w:szCs w:val="24"/>
        </w:rPr>
      </w:pPr>
      <w:r w:rsidRPr="002A3A41">
        <w:rPr>
          <w:rFonts w:ascii="Times New Roman" w:hAnsi="Times New Roman"/>
          <w:sz w:val="24"/>
          <w:szCs w:val="24"/>
        </w:rPr>
        <w:t xml:space="preserve">CUT e DIEESE. </w:t>
      </w:r>
      <w:r w:rsidRPr="002A3A41">
        <w:rPr>
          <w:rFonts w:ascii="Times New Roman" w:hAnsi="Times New Roman"/>
          <w:i/>
          <w:sz w:val="24"/>
          <w:szCs w:val="24"/>
        </w:rPr>
        <w:t xml:space="preserve">Conselho Monetário Nacional </w:t>
      </w:r>
      <w:r w:rsidRPr="002A3A41">
        <w:rPr>
          <w:rFonts w:ascii="Times New Roman" w:hAnsi="Times New Roman"/>
          <w:sz w:val="24"/>
          <w:szCs w:val="24"/>
        </w:rPr>
        <w:t xml:space="preserve">– proposta para ampliação e democratização do CMN. Estudos e Pesquisas, </w:t>
      </w:r>
      <w:r w:rsidRPr="002A3A41">
        <w:rPr>
          <w:rFonts w:ascii="Times New Roman" w:hAnsi="Times New Roman"/>
          <w:bCs/>
          <w:sz w:val="24"/>
          <w:szCs w:val="24"/>
        </w:rPr>
        <w:t>Número 7 – Ano I – Março de 2005.</w:t>
      </w: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DE TONI, Jackson. </w:t>
      </w:r>
      <w:r w:rsidRPr="002A3A41">
        <w:rPr>
          <w:rFonts w:ascii="Times New Roman" w:hAnsi="Times New Roman"/>
          <w:i/>
          <w:sz w:val="24"/>
          <w:szCs w:val="24"/>
        </w:rPr>
        <w:t>Novos arranjos institucionais na política industrial do governo LULA</w:t>
      </w:r>
      <w:r w:rsidRPr="002A3A41">
        <w:rPr>
          <w:rFonts w:ascii="Times New Roman" w:hAnsi="Times New Roman"/>
          <w:sz w:val="24"/>
          <w:szCs w:val="24"/>
        </w:rPr>
        <w:t>: a força das novas ideias e dos empreendedores políticos. Tese de doutorado em Ciência Política, Brasília: UnB, 2013.</w:t>
      </w:r>
    </w:p>
    <w:p w:rsid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FERNANDES, Florestan. </w:t>
      </w:r>
      <w:r w:rsidRPr="002A3A41">
        <w:rPr>
          <w:rFonts w:ascii="Times New Roman" w:hAnsi="Times New Roman"/>
          <w:i/>
          <w:sz w:val="24"/>
          <w:szCs w:val="24"/>
        </w:rPr>
        <w:t>A Revolução Burguesa no Brasil</w:t>
      </w:r>
      <w:r w:rsidRPr="002A3A41">
        <w:rPr>
          <w:rFonts w:ascii="Times New Roman" w:hAnsi="Times New Roman"/>
          <w:sz w:val="24"/>
          <w:szCs w:val="24"/>
        </w:rPr>
        <w:t xml:space="preserve">: ensaio de interpretação sociológica. 5ª ed. - São Paulo: Globo, 2005. </w:t>
      </w:r>
    </w:p>
    <w:p w:rsidR="008751C8" w:rsidRDefault="008751C8" w:rsidP="002A3A41">
      <w:pPr>
        <w:spacing w:line="240" w:lineRule="auto"/>
        <w:rPr>
          <w:rFonts w:ascii="Times New Roman" w:hAnsi="Times New Roman"/>
          <w:sz w:val="24"/>
          <w:szCs w:val="24"/>
        </w:rPr>
      </w:pPr>
      <w:r w:rsidRPr="008751C8">
        <w:rPr>
          <w:rFonts w:ascii="Times New Roman" w:hAnsi="Times New Roman"/>
          <w:sz w:val="24"/>
          <w:szCs w:val="24"/>
        </w:rPr>
        <w:t xml:space="preserve">____________. </w:t>
      </w:r>
      <w:r w:rsidRPr="008751C8">
        <w:rPr>
          <w:rFonts w:ascii="Times New Roman" w:hAnsi="Times New Roman"/>
          <w:i/>
          <w:sz w:val="24"/>
          <w:szCs w:val="24"/>
        </w:rPr>
        <w:t>Nova República?</w:t>
      </w:r>
      <w:r w:rsidRPr="008751C8">
        <w:rPr>
          <w:rFonts w:ascii="Times New Roman" w:hAnsi="Times New Roman"/>
          <w:sz w:val="24"/>
          <w:szCs w:val="24"/>
        </w:rPr>
        <w:t xml:space="preserve"> Rio d</w:t>
      </w:r>
      <w:r>
        <w:rPr>
          <w:rFonts w:ascii="Times New Roman" w:hAnsi="Times New Roman"/>
          <w:sz w:val="24"/>
          <w:szCs w:val="24"/>
        </w:rPr>
        <w:t>e Janeiro: Jorge Zahar Ed. 1986.</w:t>
      </w: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FILGUEIRAS, Luiz Antonio Mattos e GONÇALVES, Reinaldo. </w:t>
      </w:r>
      <w:r w:rsidRPr="002A3A41">
        <w:rPr>
          <w:rFonts w:ascii="Times New Roman" w:hAnsi="Times New Roman"/>
          <w:i/>
          <w:sz w:val="24"/>
          <w:szCs w:val="24"/>
        </w:rPr>
        <w:t>A economia política do governo Lula</w:t>
      </w:r>
      <w:r w:rsidRPr="002A3A41">
        <w:rPr>
          <w:rFonts w:ascii="Times New Roman" w:hAnsi="Times New Roman"/>
          <w:sz w:val="24"/>
          <w:szCs w:val="24"/>
        </w:rPr>
        <w:t>. Rio de Janeiro: Contraponto, 2007.</w:t>
      </w: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__________. PINHEIRO, Bruno. PHILIGRET, Celeste. e BALANCO, Paulo. Modelo Liberal-Periférico e bloco de poder: política e dinâmica macroeconômica nos governos Lula. In: </w:t>
      </w:r>
      <w:r w:rsidRPr="002A3A41">
        <w:rPr>
          <w:rFonts w:ascii="Times New Roman" w:hAnsi="Times New Roman"/>
          <w:i/>
          <w:sz w:val="24"/>
          <w:szCs w:val="24"/>
        </w:rPr>
        <w:t>Os anos Lula</w:t>
      </w:r>
      <w:r w:rsidRPr="002A3A41">
        <w:rPr>
          <w:rFonts w:ascii="Times New Roman" w:hAnsi="Times New Roman"/>
          <w:sz w:val="24"/>
          <w:szCs w:val="24"/>
        </w:rPr>
        <w:t>: contribuições para um balanço crítico 2003-2010. RJ: Garamond, 2010.</w:t>
      </w: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FLEURY, Sonia (2006). O Conselho de Desenvolvimento Econômico e Social do Governo Lula – Texto entregue aos conselheiros em agosto de 2005. In: BRASIL, Secretaria de Relações Institucionais. </w:t>
      </w:r>
      <w:r w:rsidRPr="002A3A41">
        <w:rPr>
          <w:rFonts w:ascii="Times New Roman" w:hAnsi="Times New Roman"/>
          <w:i/>
          <w:sz w:val="24"/>
          <w:szCs w:val="24"/>
        </w:rPr>
        <w:t>Reflexões sobre o CDES.</w:t>
      </w:r>
    </w:p>
    <w:p w:rsidR="002A3A41" w:rsidRDefault="002A3A41" w:rsidP="00650589">
      <w:pPr>
        <w:spacing w:line="240" w:lineRule="auto"/>
        <w:rPr>
          <w:rFonts w:ascii="Times New Roman" w:hAnsi="Times New Roman"/>
          <w:sz w:val="24"/>
          <w:szCs w:val="24"/>
        </w:rPr>
      </w:pPr>
      <w:r w:rsidRPr="002A3A41">
        <w:rPr>
          <w:rFonts w:ascii="Times New Roman" w:hAnsi="Times New Roman"/>
          <w:sz w:val="24"/>
          <w:szCs w:val="24"/>
        </w:rPr>
        <w:t xml:space="preserve">FONTES, Virgínia. </w:t>
      </w:r>
      <w:r w:rsidRPr="002A3A41">
        <w:rPr>
          <w:rFonts w:ascii="Times New Roman" w:hAnsi="Times New Roman"/>
          <w:i/>
          <w:sz w:val="24"/>
          <w:szCs w:val="24"/>
        </w:rPr>
        <w:t>Reflexões im-pertinentes:</w:t>
      </w:r>
      <w:r w:rsidRPr="002A3A41">
        <w:rPr>
          <w:rFonts w:ascii="Times New Roman" w:hAnsi="Times New Roman"/>
          <w:sz w:val="24"/>
          <w:szCs w:val="24"/>
        </w:rPr>
        <w:t xml:space="preserve"> História e capitalismo contemporâneo. Rio de Janeiro: Bom Texto, 2005.</w:t>
      </w:r>
    </w:p>
    <w:p w:rsidR="00711451" w:rsidRPr="00711451" w:rsidRDefault="00711451" w:rsidP="002A3A41">
      <w:pPr>
        <w:rPr>
          <w:rFonts w:ascii="Times New Roman" w:hAnsi="Times New Roman"/>
          <w:sz w:val="24"/>
          <w:szCs w:val="24"/>
        </w:rPr>
      </w:pPr>
      <w:r w:rsidRPr="00711451">
        <w:rPr>
          <w:rFonts w:ascii="Times New Roman" w:hAnsi="Times New Roman"/>
          <w:sz w:val="24"/>
          <w:szCs w:val="24"/>
        </w:rPr>
        <w:t>_________. A sociedade civil n o Brasil contemporâneo: lutas sociais e luta teórica na década de 1980</w:t>
      </w:r>
      <w:r w:rsidRPr="00711451">
        <w:rPr>
          <w:rFonts w:ascii="Times New Roman" w:hAnsi="Times New Roman"/>
          <w:i/>
          <w:sz w:val="24"/>
          <w:szCs w:val="24"/>
        </w:rPr>
        <w:t>.</w:t>
      </w:r>
      <w:r w:rsidRPr="00711451">
        <w:rPr>
          <w:rFonts w:ascii="Times New Roman" w:hAnsi="Times New Roman"/>
          <w:sz w:val="24"/>
          <w:szCs w:val="24"/>
        </w:rPr>
        <w:t xml:space="preserve"> In: LIMA, Júlio César França (org). </w:t>
      </w:r>
      <w:r w:rsidRPr="00711451">
        <w:rPr>
          <w:rFonts w:ascii="Times New Roman" w:hAnsi="Times New Roman"/>
          <w:i/>
          <w:sz w:val="24"/>
          <w:szCs w:val="24"/>
        </w:rPr>
        <w:t>Fundamentos da educação escolar do Brasil contemporâneo</w:t>
      </w:r>
      <w:r w:rsidRPr="00711451">
        <w:rPr>
          <w:rFonts w:ascii="Times New Roman" w:hAnsi="Times New Roman"/>
          <w:sz w:val="24"/>
          <w:szCs w:val="24"/>
        </w:rPr>
        <w:t>. Rio de Janeiro: Editora FIOCRUZ, 2006.</w:t>
      </w:r>
    </w:p>
    <w:p w:rsidR="002A3A41" w:rsidRPr="002A3A41" w:rsidRDefault="002A3A41" w:rsidP="002A3A41">
      <w:pPr>
        <w:tabs>
          <w:tab w:val="left" w:pos="2418"/>
        </w:tabs>
        <w:jc w:val="both"/>
        <w:rPr>
          <w:rFonts w:ascii="Times New Roman" w:hAnsi="Times New Roman"/>
          <w:sz w:val="24"/>
          <w:szCs w:val="24"/>
        </w:rPr>
      </w:pPr>
      <w:r w:rsidRPr="002A3A41">
        <w:rPr>
          <w:rFonts w:ascii="Times New Roman" w:hAnsi="Times New Roman"/>
          <w:sz w:val="24"/>
          <w:szCs w:val="24"/>
        </w:rPr>
        <w:t xml:space="preserve">_________. Pela abertura do diálogo. In: IRLS-INSTITUTO ROSA LUXEMBURG SITFTUNG. (org.). </w:t>
      </w:r>
      <w:r w:rsidRPr="002A3A41">
        <w:rPr>
          <w:rFonts w:ascii="Times New Roman" w:hAnsi="Times New Roman"/>
          <w:i/>
          <w:sz w:val="24"/>
          <w:szCs w:val="24"/>
        </w:rPr>
        <w:t>Empresas transnacionais brasileiras na América Latina</w:t>
      </w:r>
      <w:r w:rsidRPr="002A3A41">
        <w:rPr>
          <w:rFonts w:ascii="Times New Roman" w:hAnsi="Times New Roman"/>
          <w:sz w:val="24"/>
          <w:szCs w:val="24"/>
        </w:rPr>
        <w:t>: um debate necessário. SP: Expressão Popular, 2009.</w:t>
      </w:r>
    </w:p>
    <w:p w:rsidR="002A3A41" w:rsidRDefault="002A3A41" w:rsidP="002A3A41">
      <w:pPr>
        <w:pStyle w:val="Textodenotaderodap"/>
        <w:rPr>
          <w:rFonts w:ascii="Times New Roman" w:hAnsi="Times New Roman"/>
          <w:sz w:val="24"/>
          <w:szCs w:val="24"/>
        </w:rPr>
      </w:pPr>
      <w:r w:rsidRPr="002A3A41">
        <w:rPr>
          <w:rFonts w:ascii="Times New Roman" w:hAnsi="Times New Roman"/>
          <w:sz w:val="24"/>
          <w:szCs w:val="24"/>
        </w:rPr>
        <w:t xml:space="preserve">__________. Imperialismo e crise. In: ARRUDA SAMPAIO JR. Plinio de (org.). </w:t>
      </w:r>
      <w:r w:rsidRPr="002A3A41">
        <w:rPr>
          <w:rFonts w:ascii="Times New Roman" w:hAnsi="Times New Roman"/>
          <w:i/>
          <w:sz w:val="24"/>
          <w:szCs w:val="24"/>
        </w:rPr>
        <w:t>Capitalismo em crise: a natureza e dinâmica da crise econômica mundial</w:t>
      </w:r>
      <w:r w:rsidRPr="002A3A41">
        <w:rPr>
          <w:rFonts w:ascii="Times New Roman" w:hAnsi="Times New Roman"/>
          <w:sz w:val="24"/>
          <w:szCs w:val="24"/>
        </w:rPr>
        <w:t>. São Paulo: Editora Instituto José Luís e Rosa Sundermann, 2009b.</w:t>
      </w:r>
    </w:p>
    <w:p w:rsidR="00650589" w:rsidRPr="002A3A41" w:rsidRDefault="00650589" w:rsidP="002A3A41">
      <w:pPr>
        <w:pStyle w:val="Textodenotaderodap"/>
        <w:rPr>
          <w:rFonts w:ascii="Times New Roman" w:hAnsi="Times New Roman"/>
          <w:sz w:val="24"/>
          <w:szCs w:val="24"/>
        </w:rPr>
      </w:pPr>
    </w:p>
    <w:p w:rsidR="00650589" w:rsidRPr="002A3A41" w:rsidRDefault="00650589" w:rsidP="00650589">
      <w:pPr>
        <w:spacing w:line="240" w:lineRule="auto"/>
        <w:rPr>
          <w:rFonts w:ascii="Times New Roman" w:hAnsi="Times New Roman"/>
          <w:sz w:val="24"/>
          <w:szCs w:val="24"/>
        </w:rPr>
      </w:pPr>
      <w:r>
        <w:rPr>
          <w:rFonts w:ascii="Times New Roman" w:hAnsi="Times New Roman"/>
          <w:i/>
          <w:sz w:val="24"/>
          <w:szCs w:val="24"/>
        </w:rPr>
        <w:t xml:space="preserve">_________. </w:t>
      </w:r>
      <w:r w:rsidRPr="002A3A41">
        <w:rPr>
          <w:rFonts w:ascii="Times New Roman" w:hAnsi="Times New Roman"/>
          <w:i/>
          <w:sz w:val="24"/>
          <w:szCs w:val="24"/>
        </w:rPr>
        <w:t>O Brasil e o capital-imperialismo</w:t>
      </w:r>
      <w:r w:rsidRPr="002A3A41">
        <w:rPr>
          <w:rFonts w:ascii="Times New Roman" w:hAnsi="Times New Roman"/>
          <w:sz w:val="24"/>
          <w:szCs w:val="24"/>
        </w:rPr>
        <w:t>: teoria e história. RJ: SPSJV, UFRJ, 2010.</w:t>
      </w: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 xml:space="preserve">_________. Capitalismo, luta de classes e democracia no Brasil contemporâneo. In: SILVA, Carla Luciana; CALIL, Gilberto Grassi &amp; SILVA, Marcio Antonio Both. </w:t>
      </w:r>
      <w:r w:rsidRPr="002A3A41">
        <w:rPr>
          <w:rFonts w:ascii="Times New Roman" w:hAnsi="Times New Roman"/>
          <w:i/>
          <w:sz w:val="24"/>
          <w:szCs w:val="24"/>
        </w:rPr>
        <w:t>Ditaduras e democracias</w:t>
      </w:r>
      <w:r w:rsidRPr="002A3A41">
        <w:rPr>
          <w:rFonts w:ascii="Times New Roman" w:hAnsi="Times New Roman"/>
          <w:sz w:val="24"/>
          <w:szCs w:val="24"/>
        </w:rPr>
        <w:t>: estudos sobre poder, hegemonia e regimes políticos no Brasil (1945-2014). Porto Alegre: FCM Editora, 2014.</w:t>
      </w:r>
    </w:p>
    <w:p w:rsidR="00F86EA0" w:rsidRPr="002A3A41" w:rsidRDefault="00F86EA0" w:rsidP="00F86EA0">
      <w:pPr>
        <w:autoSpaceDE w:val="0"/>
        <w:autoSpaceDN w:val="0"/>
        <w:adjustRightInd w:val="0"/>
        <w:spacing w:after="0" w:line="240" w:lineRule="auto"/>
        <w:rPr>
          <w:rFonts w:ascii="Times New Roman" w:hAnsi="Times New Roman"/>
          <w:sz w:val="24"/>
          <w:szCs w:val="24"/>
        </w:rPr>
      </w:pPr>
      <w:r w:rsidRPr="002A3A41">
        <w:rPr>
          <w:rFonts w:ascii="Times New Roman" w:hAnsi="Times New Roman"/>
          <w:sz w:val="24"/>
          <w:szCs w:val="24"/>
        </w:rPr>
        <w:t xml:space="preserve">Fundação Getúlio Vargas (2006). </w:t>
      </w:r>
      <w:r w:rsidRPr="002A3A41">
        <w:rPr>
          <w:rFonts w:ascii="Times New Roman" w:hAnsi="Times New Roman"/>
          <w:i/>
          <w:sz w:val="24"/>
          <w:szCs w:val="24"/>
        </w:rPr>
        <w:t>Temas para o desenvolvimento com equidade</w:t>
      </w:r>
      <w:r w:rsidRPr="002A3A41">
        <w:rPr>
          <w:rFonts w:ascii="Times New Roman" w:hAnsi="Times New Roman"/>
          <w:sz w:val="24"/>
          <w:szCs w:val="24"/>
        </w:rPr>
        <w:t xml:space="preserve">. Disponível em </w:t>
      </w:r>
      <w:r w:rsidRPr="00841D58">
        <w:rPr>
          <w:rFonts w:ascii="Times New Roman" w:hAnsi="Times New Roman"/>
          <w:sz w:val="24"/>
          <w:szCs w:val="24"/>
        </w:rPr>
        <w:t>&lt;</w:t>
      </w:r>
      <w:hyperlink r:id="rId44" w:history="1">
        <w:r w:rsidRPr="00841D58">
          <w:rPr>
            <w:rStyle w:val="Hyperlink"/>
            <w:rFonts w:ascii="Times New Roman" w:hAnsi="Times New Roman"/>
            <w:color w:val="auto"/>
            <w:sz w:val="24"/>
            <w:szCs w:val="24"/>
            <w:u w:val="none"/>
          </w:rPr>
          <w:t>http://www.cdes.gov.br/documento/282190/fgv-temas-para-o-desenvolvimento-com-equidade.html</w:t>
        </w:r>
      </w:hyperlink>
      <w:r w:rsidRPr="002A3A41">
        <w:rPr>
          <w:rFonts w:ascii="Times New Roman" w:hAnsi="Times New Roman"/>
          <w:sz w:val="24"/>
          <w:szCs w:val="24"/>
        </w:rPr>
        <w:t>&gt;. Acesso em 17/07/2004.</w:t>
      </w:r>
    </w:p>
    <w:p w:rsidR="00F86EA0" w:rsidRDefault="00F86EA0" w:rsidP="00F86EA0">
      <w:pPr>
        <w:spacing w:after="0"/>
        <w:rPr>
          <w:rFonts w:ascii="Times New Roman" w:hAnsi="Times New Roman"/>
          <w:sz w:val="24"/>
          <w:szCs w:val="24"/>
        </w:rPr>
      </w:pP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 xml:space="preserve">GALVÃO, Andréia. </w:t>
      </w:r>
      <w:r w:rsidRPr="00D260EA">
        <w:rPr>
          <w:rFonts w:ascii="Times New Roman" w:hAnsi="Times New Roman"/>
          <w:sz w:val="24"/>
          <w:szCs w:val="24"/>
        </w:rPr>
        <w:t>A contribuição do debate sobre a revitalização sindical para a análise do sindicalismo brasileiro</w:t>
      </w:r>
      <w:r w:rsidRPr="002A3A41">
        <w:rPr>
          <w:rFonts w:ascii="Times New Roman" w:hAnsi="Times New Roman"/>
          <w:sz w:val="24"/>
          <w:szCs w:val="24"/>
        </w:rPr>
        <w:t xml:space="preserve">. </w:t>
      </w:r>
      <w:r w:rsidRPr="00D260EA">
        <w:rPr>
          <w:rFonts w:ascii="Times New Roman" w:hAnsi="Times New Roman"/>
          <w:i/>
          <w:sz w:val="24"/>
          <w:szCs w:val="24"/>
        </w:rPr>
        <w:t>Revista Crítica Marxista</w:t>
      </w:r>
      <w:r w:rsidRPr="002A3A41">
        <w:rPr>
          <w:rFonts w:ascii="Times New Roman" w:hAnsi="Times New Roman"/>
          <w:sz w:val="24"/>
          <w:szCs w:val="24"/>
        </w:rPr>
        <w:t>, São Paulo, Fundação Editora Unicamp, nº 38, 2014, p. 103-117.</w:t>
      </w: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 xml:space="preserve">________. A reconfiguração do movimento sindical nos governos Lula. In: GALVÃO, Andréia. e BOITO Jr. Armando (orgs.). </w:t>
      </w:r>
      <w:r w:rsidRPr="002A3A41">
        <w:rPr>
          <w:rFonts w:ascii="Times New Roman" w:hAnsi="Times New Roman"/>
          <w:i/>
          <w:sz w:val="24"/>
          <w:szCs w:val="24"/>
        </w:rPr>
        <w:t>Política e Classes Sociais no Brasil dos anos 2000</w:t>
      </w:r>
      <w:r w:rsidRPr="002A3A41">
        <w:rPr>
          <w:rFonts w:ascii="Times New Roman" w:hAnsi="Times New Roman"/>
          <w:sz w:val="24"/>
          <w:szCs w:val="24"/>
        </w:rPr>
        <w:t>. São Paulo: Alameda, 2012.</w:t>
      </w:r>
    </w:p>
    <w:p w:rsidR="002A3A41" w:rsidRPr="002A3A41" w:rsidRDefault="002A3A41" w:rsidP="002A3A41">
      <w:pPr>
        <w:spacing w:before="240" w:line="240" w:lineRule="auto"/>
        <w:rPr>
          <w:rFonts w:ascii="Times New Roman" w:hAnsi="Times New Roman"/>
          <w:sz w:val="24"/>
          <w:szCs w:val="24"/>
        </w:rPr>
      </w:pPr>
      <w:r w:rsidRPr="002A3A41">
        <w:rPr>
          <w:rFonts w:ascii="Times New Roman" w:hAnsi="Times New Roman"/>
          <w:sz w:val="24"/>
          <w:szCs w:val="24"/>
        </w:rPr>
        <w:t>GARCIA, Ronaldo Coutinho. O CDES e a construção da Agenda Nacional de Desenvolvimento: um relato particular. In</w:t>
      </w:r>
      <w:r w:rsidR="001A3AE2">
        <w:rPr>
          <w:rFonts w:ascii="Times New Roman" w:hAnsi="Times New Roman"/>
          <w:sz w:val="24"/>
          <w:szCs w:val="24"/>
        </w:rPr>
        <w:t>:</w:t>
      </w:r>
      <w:r w:rsidRPr="002A3A41">
        <w:rPr>
          <w:rFonts w:ascii="Times New Roman" w:hAnsi="Times New Roman"/>
          <w:sz w:val="24"/>
          <w:szCs w:val="24"/>
        </w:rPr>
        <w:t xml:space="preserve"> CARDOSO JR., José Celso, SANTOS, José Celso e ALENCAR, Joana. </w:t>
      </w:r>
      <w:r w:rsidRPr="002A3A41">
        <w:rPr>
          <w:rFonts w:ascii="Times New Roman" w:hAnsi="Times New Roman"/>
          <w:i/>
          <w:sz w:val="24"/>
          <w:szCs w:val="24"/>
        </w:rPr>
        <w:t xml:space="preserve">Diálogos para o desenvolvimento: </w:t>
      </w:r>
      <w:r w:rsidRPr="002A3A41">
        <w:rPr>
          <w:rFonts w:ascii="Times New Roman" w:hAnsi="Times New Roman"/>
          <w:sz w:val="24"/>
          <w:szCs w:val="24"/>
        </w:rPr>
        <w:t>a experiência do Conselho de Desenvolvimento Econômico e Social sob o governo Lula. Brasília: IPEA, vol. 2, 2010.</w:t>
      </w:r>
    </w:p>
    <w:p w:rsidR="002A3A41" w:rsidRPr="002A3A41" w:rsidRDefault="002A3A41" w:rsidP="002A3A41">
      <w:pPr>
        <w:spacing w:before="240" w:line="240" w:lineRule="auto"/>
        <w:rPr>
          <w:rFonts w:ascii="Times New Roman" w:hAnsi="Times New Roman"/>
          <w:sz w:val="24"/>
          <w:szCs w:val="24"/>
        </w:rPr>
      </w:pPr>
      <w:r w:rsidRPr="002A3A41">
        <w:rPr>
          <w:rFonts w:ascii="Times New Roman" w:hAnsi="Times New Roman"/>
          <w:sz w:val="24"/>
          <w:szCs w:val="24"/>
        </w:rPr>
        <w:t xml:space="preserve">GARCIA, Ana E. Saggioro. </w:t>
      </w:r>
      <w:r w:rsidRPr="002A3A41">
        <w:rPr>
          <w:rFonts w:ascii="Times New Roman" w:hAnsi="Times New Roman"/>
          <w:i/>
          <w:sz w:val="24"/>
          <w:szCs w:val="24"/>
        </w:rPr>
        <w:t>A internacionalização de empresas brasileiras durante o governo Lula</w:t>
      </w:r>
      <w:r w:rsidRPr="002A3A41">
        <w:rPr>
          <w:rFonts w:ascii="Times New Roman" w:hAnsi="Times New Roman"/>
          <w:sz w:val="24"/>
          <w:szCs w:val="24"/>
        </w:rPr>
        <w:t>: uma análise crítica da relação entre capital e Estado no Brasil contemporâneo. Tese de Doutoramento, Instituto de Relações Internacionais, PUC/RJ, 2012, p. 205.</w:t>
      </w:r>
    </w:p>
    <w:p w:rsidR="002A3A41" w:rsidRPr="002A3A41" w:rsidRDefault="002A3A41" w:rsidP="002A3A41">
      <w:pPr>
        <w:autoSpaceDE w:val="0"/>
        <w:autoSpaceDN w:val="0"/>
        <w:adjustRightInd w:val="0"/>
        <w:jc w:val="both"/>
        <w:rPr>
          <w:rFonts w:ascii="Times New Roman" w:hAnsi="Times New Roman"/>
          <w:sz w:val="24"/>
          <w:szCs w:val="24"/>
        </w:rPr>
      </w:pPr>
      <w:r w:rsidRPr="002A3A41">
        <w:rPr>
          <w:rFonts w:ascii="Times New Roman" w:hAnsi="Times New Roman"/>
          <w:sz w:val="24"/>
          <w:szCs w:val="24"/>
        </w:rPr>
        <w:t xml:space="preserve">GENRO, Tarso. Democratizar as relações entre governo e sociedade. In: CORREA, Jaime Montalvo (et al). </w:t>
      </w:r>
      <w:r w:rsidRPr="002A3A41">
        <w:rPr>
          <w:rFonts w:ascii="Times New Roman" w:hAnsi="Times New Roman"/>
          <w:i/>
          <w:sz w:val="24"/>
          <w:szCs w:val="24"/>
        </w:rPr>
        <w:t>Novos espaços democráticos</w:t>
      </w:r>
      <w:r w:rsidRPr="002A3A41">
        <w:rPr>
          <w:rFonts w:ascii="Times New Roman" w:hAnsi="Times New Roman"/>
          <w:sz w:val="24"/>
          <w:szCs w:val="24"/>
        </w:rPr>
        <w:t>: diálogo social no Brasil e a experiência da Espanha. São Paulo: Perseu Abramo, 2003a.</w:t>
      </w:r>
    </w:p>
    <w:p w:rsidR="002A3A41" w:rsidRPr="002A3A41" w:rsidRDefault="002A3A41" w:rsidP="002A3A41">
      <w:pPr>
        <w:autoSpaceDE w:val="0"/>
        <w:autoSpaceDN w:val="0"/>
        <w:adjustRightInd w:val="0"/>
        <w:spacing w:after="0" w:line="240" w:lineRule="auto"/>
        <w:jc w:val="both"/>
        <w:rPr>
          <w:rFonts w:ascii="Times New Roman" w:hAnsi="Times New Roman"/>
          <w:sz w:val="24"/>
          <w:szCs w:val="24"/>
        </w:rPr>
      </w:pPr>
      <w:r w:rsidRPr="002A3A41">
        <w:rPr>
          <w:rFonts w:ascii="Times New Roman" w:hAnsi="Times New Roman"/>
          <w:sz w:val="24"/>
          <w:szCs w:val="24"/>
        </w:rPr>
        <w:t xml:space="preserve">_______. (2003b), </w:t>
      </w:r>
      <w:r w:rsidRPr="002A3A41">
        <w:rPr>
          <w:rFonts w:ascii="Times New Roman" w:hAnsi="Times New Roman"/>
          <w:i/>
          <w:sz w:val="24"/>
          <w:szCs w:val="24"/>
        </w:rPr>
        <w:t>As Premissas da Concertação</w:t>
      </w:r>
      <w:r w:rsidRPr="002A3A41">
        <w:rPr>
          <w:rFonts w:ascii="Times New Roman" w:hAnsi="Times New Roman"/>
          <w:sz w:val="24"/>
          <w:szCs w:val="24"/>
        </w:rPr>
        <w:t>. Disponível em &lt;http http://tarsogenro.com.br/as-premissas-da-concertacao/&gt;. Acesso em 06.07.2014.</w:t>
      </w:r>
    </w:p>
    <w:p w:rsidR="002A3A41" w:rsidRPr="002A3A41" w:rsidRDefault="002A3A41" w:rsidP="002A3A41">
      <w:pPr>
        <w:autoSpaceDE w:val="0"/>
        <w:autoSpaceDN w:val="0"/>
        <w:adjustRightInd w:val="0"/>
        <w:spacing w:before="240" w:line="240" w:lineRule="auto"/>
        <w:rPr>
          <w:rFonts w:ascii="Times New Roman" w:hAnsi="Times New Roman"/>
          <w:sz w:val="24"/>
          <w:szCs w:val="24"/>
        </w:rPr>
      </w:pPr>
      <w:r w:rsidRPr="002A3A41">
        <w:rPr>
          <w:rFonts w:ascii="Times New Roman" w:hAnsi="Times New Roman"/>
          <w:sz w:val="24"/>
          <w:szCs w:val="24"/>
        </w:rPr>
        <w:t xml:space="preserve">GIFFONI PINTO, Raphaela. </w:t>
      </w:r>
      <w:r w:rsidRPr="002A3A41">
        <w:rPr>
          <w:rFonts w:ascii="Times New Roman" w:hAnsi="Times New Roman"/>
          <w:i/>
          <w:sz w:val="24"/>
          <w:szCs w:val="24"/>
        </w:rPr>
        <w:t>O novo empresariado rural brasileiro</w:t>
      </w:r>
      <w:r w:rsidRPr="002A3A41">
        <w:rPr>
          <w:rFonts w:ascii="Times New Roman" w:hAnsi="Times New Roman"/>
          <w:sz w:val="24"/>
          <w:szCs w:val="24"/>
        </w:rPr>
        <w:t xml:space="preserve"> – uma análise das origens, projetos e atuação da Associação Brasileira de Agribusiness (1990-2002). Dissertação de Mestrado em História, Niterói: UFF, 2010.</w:t>
      </w:r>
    </w:p>
    <w:p w:rsidR="002A3A41" w:rsidRPr="002A3A41" w:rsidRDefault="002A3A41" w:rsidP="002A3A41">
      <w:pPr>
        <w:autoSpaceDE w:val="0"/>
        <w:autoSpaceDN w:val="0"/>
        <w:adjustRightInd w:val="0"/>
        <w:jc w:val="both"/>
        <w:rPr>
          <w:rFonts w:ascii="Times New Roman" w:hAnsi="Times New Roman"/>
          <w:sz w:val="24"/>
          <w:szCs w:val="24"/>
        </w:rPr>
      </w:pPr>
      <w:r w:rsidRPr="002A3A41">
        <w:rPr>
          <w:rFonts w:ascii="Times New Roman" w:hAnsi="Times New Roman"/>
          <w:sz w:val="24"/>
          <w:szCs w:val="24"/>
        </w:rPr>
        <w:t xml:space="preserve">INSTITUTO ETHOS. </w:t>
      </w:r>
      <w:r w:rsidRPr="002A3A41">
        <w:rPr>
          <w:rFonts w:ascii="Times New Roman" w:hAnsi="Times New Roman"/>
          <w:i/>
          <w:sz w:val="24"/>
          <w:szCs w:val="24"/>
        </w:rPr>
        <w:t>Fórum Empresarial de Apoio ao Município</w:t>
      </w:r>
      <w:r w:rsidRPr="002A3A41">
        <w:rPr>
          <w:rFonts w:ascii="Times New Roman" w:hAnsi="Times New Roman"/>
          <w:sz w:val="24"/>
          <w:szCs w:val="24"/>
        </w:rPr>
        <w:t>. SP: Ethos, 2005.</w:t>
      </w:r>
    </w:p>
    <w:p w:rsidR="002A3A41" w:rsidRPr="002A3A41" w:rsidRDefault="002A3A41" w:rsidP="002A3A41">
      <w:pPr>
        <w:autoSpaceDE w:val="0"/>
        <w:autoSpaceDN w:val="0"/>
        <w:adjustRightInd w:val="0"/>
        <w:spacing w:line="240" w:lineRule="auto"/>
        <w:rPr>
          <w:rFonts w:ascii="Times New Roman" w:hAnsi="Times New Roman"/>
          <w:sz w:val="24"/>
          <w:szCs w:val="24"/>
        </w:rPr>
      </w:pPr>
      <w:r w:rsidRPr="002A3A41">
        <w:rPr>
          <w:rFonts w:ascii="Times New Roman" w:hAnsi="Times New Roman"/>
          <w:sz w:val="24"/>
          <w:szCs w:val="24"/>
        </w:rPr>
        <w:t xml:space="preserve">GONÇALVES, Reinaldo. </w:t>
      </w:r>
      <w:r w:rsidRPr="002A3A41">
        <w:rPr>
          <w:rFonts w:ascii="Times New Roman" w:hAnsi="Times New Roman"/>
          <w:i/>
          <w:sz w:val="24"/>
          <w:szCs w:val="24"/>
        </w:rPr>
        <w:t>Grupos econômicos</w:t>
      </w:r>
      <w:r w:rsidRPr="002A3A41">
        <w:rPr>
          <w:rFonts w:ascii="Times New Roman" w:hAnsi="Times New Roman"/>
          <w:sz w:val="24"/>
          <w:szCs w:val="24"/>
        </w:rPr>
        <w:t>: uma análise conceitual e teórica. RJ, Revista Brasileira de Economia, out/dez. 1991.</w:t>
      </w:r>
    </w:p>
    <w:p w:rsidR="002A3A41" w:rsidRPr="002A3A41" w:rsidRDefault="002A3A41" w:rsidP="002A3A41">
      <w:pPr>
        <w:autoSpaceDE w:val="0"/>
        <w:autoSpaceDN w:val="0"/>
        <w:adjustRightInd w:val="0"/>
        <w:spacing w:line="240" w:lineRule="auto"/>
        <w:rPr>
          <w:rFonts w:ascii="Times New Roman" w:hAnsi="Times New Roman"/>
          <w:sz w:val="24"/>
          <w:szCs w:val="24"/>
        </w:rPr>
      </w:pPr>
      <w:r w:rsidRPr="002A3A41">
        <w:rPr>
          <w:rFonts w:ascii="Times New Roman" w:hAnsi="Times New Roman"/>
          <w:sz w:val="24"/>
          <w:szCs w:val="24"/>
        </w:rPr>
        <w:t xml:space="preserve">_____________. </w:t>
      </w:r>
      <w:r w:rsidRPr="002A3A41">
        <w:rPr>
          <w:rFonts w:ascii="Times New Roman" w:hAnsi="Times New Roman"/>
          <w:i/>
          <w:sz w:val="24"/>
          <w:szCs w:val="24"/>
        </w:rPr>
        <w:t>Desenvolvimento às avessas</w:t>
      </w:r>
      <w:r w:rsidRPr="002A3A41">
        <w:rPr>
          <w:rFonts w:ascii="Times New Roman" w:hAnsi="Times New Roman"/>
          <w:sz w:val="24"/>
          <w:szCs w:val="24"/>
        </w:rPr>
        <w:t>: verdade, má-fé e ilusão no atual modelo brasileiro de desenvolvimento: RJ: LTC, 2013.</w:t>
      </w: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 xml:space="preserve">GRAMSCI, Antonio. </w:t>
      </w:r>
      <w:r w:rsidRPr="002A3A41">
        <w:rPr>
          <w:rFonts w:ascii="Times New Roman" w:hAnsi="Times New Roman"/>
          <w:i/>
          <w:sz w:val="24"/>
          <w:szCs w:val="24"/>
        </w:rPr>
        <w:t>Cadernos do Cárcere</w:t>
      </w:r>
      <w:r w:rsidRPr="002A3A41">
        <w:rPr>
          <w:rFonts w:ascii="Times New Roman" w:hAnsi="Times New Roman"/>
          <w:b/>
          <w:sz w:val="24"/>
          <w:szCs w:val="24"/>
        </w:rPr>
        <w:t xml:space="preserve">. </w:t>
      </w:r>
      <w:r w:rsidRPr="002A3A41">
        <w:rPr>
          <w:rFonts w:ascii="Times New Roman" w:hAnsi="Times New Roman"/>
          <w:sz w:val="24"/>
          <w:szCs w:val="24"/>
        </w:rPr>
        <w:t>v. 3. Maquiavel. Notas sobre o Estado e a política. 2ª ed. Rio de Janeiro: Civilização Brasileira, 2002.</w:t>
      </w:r>
    </w:p>
    <w:p w:rsidR="002A3A41" w:rsidRDefault="002A3A41" w:rsidP="002A3A41">
      <w:pPr>
        <w:autoSpaceDE w:val="0"/>
        <w:autoSpaceDN w:val="0"/>
        <w:adjustRightInd w:val="0"/>
        <w:jc w:val="both"/>
        <w:rPr>
          <w:rFonts w:ascii="Times New Roman" w:hAnsi="Times New Roman"/>
          <w:sz w:val="24"/>
          <w:szCs w:val="24"/>
        </w:rPr>
      </w:pPr>
      <w:r w:rsidRPr="002A3A41">
        <w:rPr>
          <w:rFonts w:ascii="Times New Roman" w:hAnsi="Times New Roman"/>
          <w:sz w:val="24"/>
          <w:szCs w:val="24"/>
        </w:rPr>
        <w:t xml:space="preserve">_________. </w:t>
      </w:r>
      <w:r w:rsidRPr="002A3A41">
        <w:rPr>
          <w:rFonts w:ascii="Times New Roman" w:hAnsi="Times New Roman"/>
          <w:i/>
          <w:sz w:val="24"/>
          <w:szCs w:val="24"/>
        </w:rPr>
        <w:t>Cadernos do Cárcere</w:t>
      </w:r>
      <w:r w:rsidRPr="002A3A41">
        <w:rPr>
          <w:rFonts w:ascii="Times New Roman" w:hAnsi="Times New Roman"/>
          <w:sz w:val="24"/>
          <w:szCs w:val="24"/>
        </w:rPr>
        <w:t>. v.2. Os intelectuais. O princípio educativo. O jornalismo. 3ª edição, Rio de Janeiro: Civilização Brasileira, 2004.</w:t>
      </w:r>
    </w:p>
    <w:p w:rsidR="00E976B6" w:rsidRPr="00E976B6" w:rsidRDefault="00E976B6" w:rsidP="002A3A41">
      <w:pPr>
        <w:autoSpaceDE w:val="0"/>
        <w:autoSpaceDN w:val="0"/>
        <w:adjustRightInd w:val="0"/>
        <w:jc w:val="both"/>
        <w:rPr>
          <w:rFonts w:ascii="Times New Roman" w:hAnsi="Times New Roman"/>
          <w:sz w:val="24"/>
          <w:szCs w:val="24"/>
        </w:rPr>
      </w:pPr>
      <w:r>
        <w:rPr>
          <w:rFonts w:ascii="Times New Roman" w:hAnsi="Times New Roman"/>
          <w:sz w:val="24"/>
          <w:szCs w:val="24"/>
        </w:rPr>
        <w:t>_________</w:t>
      </w:r>
      <w:r w:rsidRPr="00E976B6">
        <w:rPr>
          <w:rFonts w:ascii="Times New Roman" w:hAnsi="Times New Roman"/>
          <w:sz w:val="24"/>
          <w:szCs w:val="24"/>
        </w:rPr>
        <w:t xml:space="preserve">. </w:t>
      </w:r>
      <w:r w:rsidRPr="00E976B6">
        <w:rPr>
          <w:rFonts w:ascii="Times New Roman" w:hAnsi="Times New Roman"/>
          <w:i/>
          <w:sz w:val="24"/>
          <w:szCs w:val="24"/>
        </w:rPr>
        <w:t>Cadernos do Cárcere</w:t>
      </w:r>
      <w:r w:rsidRPr="00E976B6">
        <w:rPr>
          <w:rFonts w:ascii="Times New Roman" w:hAnsi="Times New Roman"/>
          <w:sz w:val="24"/>
          <w:szCs w:val="24"/>
        </w:rPr>
        <w:t xml:space="preserve">. v.5. O </w:t>
      </w:r>
      <w:r w:rsidRPr="00E976B6">
        <w:rPr>
          <w:rFonts w:ascii="Times New Roman" w:hAnsi="Times New Roman"/>
          <w:i/>
          <w:sz w:val="24"/>
          <w:szCs w:val="24"/>
        </w:rPr>
        <w:t>Risorgimento</w:t>
      </w:r>
      <w:r w:rsidRPr="00E976B6">
        <w:rPr>
          <w:rFonts w:ascii="Times New Roman" w:hAnsi="Times New Roman"/>
          <w:sz w:val="24"/>
          <w:szCs w:val="24"/>
        </w:rPr>
        <w:t>. Notas sobre a história da Itália. 2ªed. Rio de Janeiro: Civilização Brasileira, 2011.</w:t>
      </w:r>
    </w:p>
    <w:p w:rsidR="002A3A41" w:rsidRPr="002A3A41" w:rsidRDefault="002A3A41" w:rsidP="002A3A41">
      <w:pPr>
        <w:autoSpaceDE w:val="0"/>
        <w:autoSpaceDN w:val="0"/>
        <w:adjustRightInd w:val="0"/>
        <w:spacing w:before="240" w:line="240" w:lineRule="auto"/>
        <w:rPr>
          <w:rFonts w:ascii="Times New Roman" w:hAnsi="Times New Roman"/>
          <w:sz w:val="24"/>
          <w:szCs w:val="24"/>
        </w:rPr>
      </w:pPr>
      <w:r w:rsidRPr="002A3A41">
        <w:rPr>
          <w:rFonts w:ascii="Times New Roman" w:hAnsi="Times New Roman"/>
          <w:sz w:val="24"/>
          <w:szCs w:val="24"/>
        </w:rPr>
        <w:t xml:space="preserve">GUIOT, André Pereira. </w:t>
      </w:r>
      <w:r w:rsidRPr="002A3A41">
        <w:rPr>
          <w:rFonts w:ascii="Times New Roman" w:hAnsi="Times New Roman"/>
          <w:i/>
          <w:sz w:val="24"/>
          <w:szCs w:val="24"/>
        </w:rPr>
        <w:t>Um “moderno Príncipe”</w:t>
      </w:r>
      <w:r w:rsidRPr="002A3A41">
        <w:rPr>
          <w:rFonts w:ascii="Times New Roman" w:hAnsi="Times New Roman"/>
          <w:sz w:val="24"/>
          <w:szCs w:val="24"/>
        </w:rPr>
        <w:t xml:space="preserve"> para a burguesia brasileira: o PSDB (1988-2002). Dissertação de Mestrado, UFF, Niterói, 2006.</w:t>
      </w:r>
    </w:p>
    <w:p w:rsid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______. </w:t>
      </w:r>
      <w:r w:rsidRPr="002A3A41">
        <w:rPr>
          <w:rFonts w:ascii="Times New Roman" w:hAnsi="Times New Roman"/>
          <w:i/>
          <w:sz w:val="24"/>
          <w:szCs w:val="24"/>
        </w:rPr>
        <w:t>O empresariado na formação do Conselho de Desenvolvimento Econômico e Social (ano de 2003)</w:t>
      </w:r>
      <w:r w:rsidRPr="002A3A41">
        <w:rPr>
          <w:rFonts w:ascii="Times New Roman" w:hAnsi="Times New Roman"/>
          <w:sz w:val="24"/>
          <w:szCs w:val="24"/>
        </w:rPr>
        <w:t>: grupos econômicos e entidades da sociedade civil. VII Simpósio Nacional Estado e Poder: sociedade civil, Uberlândia, 2012.</w:t>
      </w:r>
    </w:p>
    <w:p w:rsidR="00840D69" w:rsidRPr="00840D69" w:rsidRDefault="00840D69" w:rsidP="002A3A41">
      <w:pPr>
        <w:spacing w:line="240" w:lineRule="auto"/>
        <w:rPr>
          <w:rFonts w:ascii="Times New Roman" w:hAnsi="Times New Roman"/>
          <w:sz w:val="24"/>
          <w:szCs w:val="24"/>
        </w:rPr>
      </w:pPr>
      <w:r w:rsidRPr="00840D69">
        <w:rPr>
          <w:rFonts w:ascii="Times New Roman" w:hAnsi="Times New Roman"/>
          <w:sz w:val="24"/>
          <w:szCs w:val="24"/>
        </w:rPr>
        <w:t xml:space="preserve">HADLER, João Paulo de Toledo Camargo. </w:t>
      </w:r>
      <w:r w:rsidRPr="00840D69">
        <w:rPr>
          <w:rFonts w:ascii="Times New Roman" w:hAnsi="Times New Roman"/>
          <w:i/>
          <w:sz w:val="24"/>
          <w:szCs w:val="24"/>
        </w:rPr>
        <w:t>Dependência e subdesenvolvimento</w:t>
      </w:r>
      <w:r w:rsidRPr="00840D69">
        <w:rPr>
          <w:rFonts w:ascii="Times New Roman" w:hAnsi="Times New Roman"/>
          <w:sz w:val="24"/>
          <w:szCs w:val="24"/>
        </w:rPr>
        <w:t>: a transnacionalização do capital e a crise do desenvolvimento nacional em Celso Furtado. Dissertação (mestrado) – Universidade Estadual de Campinas, Instituto de Economia, 2009</w:t>
      </w:r>
      <w:r>
        <w:rPr>
          <w:rFonts w:ascii="Times New Roman" w:hAnsi="Times New Roman"/>
          <w:sz w:val="24"/>
          <w:szCs w:val="24"/>
        </w:rPr>
        <w:t>.</w:t>
      </w:r>
    </w:p>
    <w:p w:rsidR="002A3A41" w:rsidRPr="002A3A41" w:rsidRDefault="002A3A41" w:rsidP="002A3A41">
      <w:pPr>
        <w:autoSpaceDE w:val="0"/>
        <w:autoSpaceDN w:val="0"/>
        <w:adjustRightInd w:val="0"/>
        <w:spacing w:before="240" w:after="0" w:line="240" w:lineRule="auto"/>
        <w:rPr>
          <w:rFonts w:ascii="Times New Roman" w:hAnsi="Times New Roman"/>
          <w:sz w:val="24"/>
          <w:szCs w:val="24"/>
        </w:rPr>
      </w:pPr>
      <w:r w:rsidRPr="002A3A41">
        <w:rPr>
          <w:rFonts w:ascii="Times New Roman" w:hAnsi="Times New Roman"/>
          <w:sz w:val="24"/>
          <w:szCs w:val="24"/>
        </w:rPr>
        <w:t xml:space="preserve">HUNGARATO, Arildo. </w:t>
      </w:r>
      <w:r w:rsidRPr="002A3A41">
        <w:rPr>
          <w:rFonts w:ascii="Times New Roman" w:hAnsi="Times New Roman"/>
          <w:i/>
          <w:sz w:val="24"/>
          <w:szCs w:val="24"/>
        </w:rPr>
        <w:t>Value-Relevance dos gastos em P&amp;D para os preços das ações das empresas da Bovespa</w:t>
      </w:r>
      <w:r w:rsidRPr="002A3A41">
        <w:rPr>
          <w:rFonts w:ascii="Times New Roman" w:hAnsi="Times New Roman"/>
          <w:sz w:val="24"/>
          <w:szCs w:val="24"/>
        </w:rPr>
        <w:t>. Dissertação de Mestrado, Fucape, Vitória, 2008.</w:t>
      </w:r>
    </w:p>
    <w:p w:rsidR="002A3A41" w:rsidRPr="002A3A41" w:rsidRDefault="002A3A41" w:rsidP="002A3A41">
      <w:pPr>
        <w:spacing w:before="240" w:line="240" w:lineRule="auto"/>
        <w:rPr>
          <w:rFonts w:ascii="Times New Roman" w:hAnsi="Times New Roman"/>
          <w:sz w:val="24"/>
          <w:szCs w:val="24"/>
        </w:rPr>
      </w:pPr>
      <w:r w:rsidRPr="002A3A41">
        <w:rPr>
          <w:rFonts w:ascii="Times New Roman" w:hAnsi="Times New Roman"/>
          <w:sz w:val="24"/>
          <w:szCs w:val="24"/>
        </w:rPr>
        <w:t xml:space="preserve">JARDIM, Maria A. Chaves. </w:t>
      </w:r>
      <w:r w:rsidRPr="002A3A41">
        <w:rPr>
          <w:rFonts w:ascii="Times New Roman" w:hAnsi="Times New Roman"/>
          <w:i/>
          <w:sz w:val="24"/>
          <w:szCs w:val="24"/>
        </w:rPr>
        <w:t>Entre a solidariedade e o risco</w:t>
      </w:r>
      <w:r w:rsidRPr="002A3A41">
        <w:rPr>
          <w:rFonts w:ascii="Times New Roman" w:hAnsi="Times New Roman"/>
          <w:sz w:val="24"/>
          <w:szCs w:val="24"/>
        </w:rPr>
        <w:t>: sindicatos e fundos de pensão em tempos de governo Lula. São Paulo: Annablume; Fapesp, 2009.</w:t>
      </w:r>
    </w:p>
    <w:p w:rsidR="002A3A41" w:rsidRPr="002A3A41" w:rsidRDefault="002A3A41" w:rsidP="002A3A41">
      <w:pPr>
        <w:spacing w:before="240" w:line="240" w:lineRule="auto"/>
        <w:rPr>
          <w:rFonts w:ascii="Times New Roman" w:hAnsi="Times New Roman"/>
          <w:sz w:val="24"/>
          <w:szCs w:val="24"/>
        </w:rPr>
      </w:pPr>
      <w:r w:rsidRPr="002A3A41">
        <w:rPr>
          <w:rFonts w:ascii="Times New Roman" w:hAnsi="Times New Roman"/>
          <w:sz w:val="24"/>
          <w:szCs w:val="24"/>
        </w:rPr>
        <w:t xml:space="preserve">KOWARICK, Lúcio (2003). </w:t>
      </w:r>
      <w:r w:rsidRPr="002A3A41">
        <w:rPr>
          <w:rFonts w:ascii="Times New Roman" w:hAnsi="Times New Roman"/>
          <w:i/>
          <w:sz w:val="24"/>
          <w:szCs w:val="24"/>
        </w:rPr>
        <w:t>O Conselho de Desenvolvimento Econômico e Social</w:t>
      </w:r>
      <w:r w:rsidRPr="002A3A41">
        <w:rPr>
          <w:rFonts w:ascii="Times New Roman" w:hAnsi="Times New Roman"/>
          <w:sz w:val="24"/>
          <w:szCs w:val="24"/>
        </w:rPr>
        <w:t>: um processo em construção.</w:t>
      </w: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KUNRATH, Romerio Jair. </w:t>
      </w:r>
      <w:r w:rsidRPr="002A3A41">
        <w:rPr>
          <w:rFonts w:ascii="Times New Roman" w:hAnsi="Times New Roman"/>
          <w:i/>
          <w:sz w:val="24"/>
          <w:szCs w:val="24"/>
        </w:rPr>
        <w:t>Os Conselhos Econômicos e Sociais em perspectiva comparada</w:t>
      </w:r>
      <w:r w:rsidRPr="002A3A41">
        <w:rPr>
          <w:rFonts w:ascii="Times New Roman" w:hAnsi="Times New Roman"/>
          <w:sz w:val="24"/>
          <w:szCs w:val="24"/>
        </w:rPr>
        <w:t>: os casos da Espanha e do Brasil. Tese de doutorado, Porto Alegre: UFRGS, 2012.</w:t>
      </w:r>
    </w:p>
    <w:p w:rsidR="002A3A41" w:rsidRPr="002A3A41" w:rsidRDefault="002A3A41" w:rsidP="002A3A41">
      <w:pPr>
        <w:autoSpaceDE w:val="0"/>
        <w:autoSpaceDN w:val="0"/>
        <w:adjustRightInd w:val="0"/>
        <w:spacing w:after="0" w:line="240" w:lineRule="auto"/>
        <w:rPr>
          <w:rFonts w:ascii="Times New Roman" w:hAnsi="Times New Roman"/>
          <w:bCs/>
          <w:sz w:val="24"/>
          <w:szCs w:val="24"/>
        </w:rPr>
      </w:pPr>
      <w:r w:rsidRPr="002A3A41">
        <w:rPr>
          <w:rFonts w:ascii="Times New Roman" w:hAnsi="Times New Roman"/>
          <w:bCs/>
          <w:sz w:val="24"/>
          <w:szCs w:val="24"/>
        </w:rPr>
        <w:t xml:space="preserve">KUPFER, David. </w:t>
      </w:r>
      <w:r w:rsidRPr="002A3A41">
        <w:rPr>
          <w:rFonts w:ascii="Times New Roman" w:hAnsi="Times New Roman"/>
          <w:bCs/>
          <w:i/>
          <w:sz w:val="24"/>
          <w:szCs w:val="24"/>
        </w:rPr>
        <w:t>Mudança estrutural nas empresas e grupos líderes da economia brasileira na década de 90.</w:t>
      </w:r>
      <w:r w:rsidRPr="002A3A41">
        <w:rPr>
          <w:rFonts w:ascii="Times New Roman" w:hAnsi="Times New Roman"/>
          <w:bCs/>
          <w:sz w:val="24"/>
          <w:szCs w:val="24"/>
        </w:rPr>
        <w:t xml:space="preserve"> Instituto de Economia da UFRJ, RJ: 2001.</w:t>
      </w:r>
    </w:p>
    <w:p w:rsidR="002A3A41" w:rsidRPr="002A3A41" w:rsidRDefault="002A3A41" w:rsidP="002A3A41">
      <w:pPr>
        <w:autoSpaceDE w:val="0"/>
        <w:autoSpaceDN w:val="0"/>
        <w:adjustRightInd w:val="0"/>
        <w:spacing w:after="0" w:line="240" w:lineRule="auto"/>
        <w:rPr>
          <w:rFonts w:ascii="Times New Roman" w:hAnsi="Times New Roman"/>
          <w:sz w:val="24"/>
          <w:szCs w:val="24"/>
        </w:rPr>
      </w:pP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LAMOSA, Rodrigo de Azevedo Cruz. </w:t>
      </w:r>
      <w:r w:rsidRPr="002A3A41">
        <w:rPr>
          <w:rFonts w:ascii="Times New Roman" w:hAnsi="Times New Roman"/>
          <w:i/>
          <w:sz w:val="24"/>
          <w:szCs w:val="24"/>
        </w:rPr>
        <w:t>O programa do agronegócio na escola:</w:t>
      </w:r>
      <w:r w:rsidRPr="002A3A41">
        <w:rPr>
          <w:rFonts w:ascii="Times New Roman" w:hAnsi="Times New Roman"/>
          <w:sz w:val="24"/>
          <w:szCs w:val="24"/>
        </w:rPr>
        <w:t>um estudo de caso sobre a entrada do empresariado brasileiro na escola pública. XVI Encontro Nacional de Didática e Práticas de Ensino, Unicamp, Campinas: 2012.</w:t>
      </w:r>
    </w:p>
    <w:p w:rsid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LAZZARINI, Sérgio. </w:t>
      </w:r>
      <w:r w:rsidRPr="002A3A41">
        <w:rPr>
          <w:rFonts w:ascii="Times New Roman" w:hAnsi="Times New Roman"/>
          <w:i/>
          <w:sz w:val="24"/>
          <w:szCs w:val="24"/>
        </w:rPr>
        <w:t>Capitalismo de laços</w:t>
      </w:r>
      <w:r w:rsidRPr="002A3A41">
        <w:rPr>
          <w:rFonts w:ascii="Times New Roman" w:hAnsi="Times New Roman"/>
          <w:sz w:val="24"/>
          <w:szCs w:val="24"/>
        </w:rPr>
        <w:t>: Os donos do Brasil e suas conexões. RJ Elsevier, 2011.</w:t>
      </w:r>
    </w:p>
    <w:p w:rsidR="00ED6F07" w:rsidRPr="00F862ED" w:rsidRDefault="00ED6F07" w:rsidP="00ED6F07">
      <w:pPr>
        <w:pStyle w:val="Textodenotaderodap"/>
        <w:rPr>
          <w:rFonts w:ascii="Times New Roman" w:hAnsi="Times New Roman"/>
          <w:sz w:val="24"/>
          <w:szCs w:val="24"/>
        </w:rPr>
      </w:pPr>
      <w:r w:rsidRPr="00F862ED">
        <w:rPr>
          <w:rFonts w:ascii="Times New Roman" w:hAnsi="Times New Roman"/>
          <w:sz w:val="24"/>
          <w:szCs w:val="24"/>
        </w:rPr>
        <w:t>LEHER, Roberto.Educação no governo de Lula da Silva: a ruptura que não aconteceu. In:</w:t>
      </w:r>
      <w:r w:rsidR="00F862ED" w:rsidRPr="00F862ED">
        <w:rPr>
          <w:rFonts w:ascii="Times New Roman" w:hAnsi="Times New Roman"/>
          <w:i/>
          <w:sz w:val="24"/>
          <w:szCs w:val="24"/>
        </w:rPr>
        <w:t>Os anos Lula</w:t>
      </w:r>
      <w:r w:rsidR="00F862ED" w:rsidRPr="00F862ED">
        <w:rPr>
          <w:rFonts w:ascii="Times New Roman" w:hAnsi="Times New Roman"/>
          <w:sz w:val="24"/>
          <w:szCs w:val="24"/>
        </w:rPr>
        <w:t>: contribuições para um balanço crítico 2003-2010. RJ: Garamond, 2010.</w:t>
      </w:r>
    </w:p>
    <w:p w:rsidR="00F862ED" w:rsidRDefault="00F862ED" w:rsidP="00DA32BB">
      <w:pPr>
        <w:spacing w:after="0"/>
        <w:rPr>
          <w:rFonts w:ascii="Times New Roman" w:hAnsi="Times New Roman"/>
          <w:sz w:val="24"/>
          <w:szCs w:val="24"/>
        </w:rPr>
      </w:pP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 xml:space="preserve">LICHA, Isabel. </w:t>
      </w:r>
      <w:r w:rsidRPr="002A3A41">
        <w:rPr>
          <w:rFonts w:ascii="Times New Roman" w:hAnsi="Times New Roman"/>
          <w:i/>
          <w:sz w:val="24"/>
          <w:szCs w:val="24"/>
        </w:rPr>
        <w:t>Concertación  y gerencia social:</w:t>
      </w:r>
      <w:r w:rsidRPr="002A3A41">
        <w:rPr>
          <w:rFonts w:ascii="Times New Roman" w:hAnsi="Times New Roman"/>
          <w:sz w:val="24"/>
          <w:szCs w:val="24"/>
        </w:rPr>
        <w:t xml:space="preserve"> conceptos, enfoques y experiências. In: VII Congresso Internacional del CLAD sobre la reforma del Estado y de la administración pública. Panamá, 2003.</w:t>
      </w:r>
    </w:p>
    <w:p w:rsidR="002A3A41" w:rsidRPr="002A3A41" w:rsidRDefault="002A3A41" w:rsidP="002A3A41">
      <w:pPr>
        <w:autoSpaceDE w:val="0"/>
        <w:autoSpaceDN w:val="0"/>
        <w:adjustRightInd w:val="0"/>
        <w:jc w:val="both"/>
        <w:rPr>
          <w:rFonts w:ascii="Times New Roman" w:hAnsi="Times New Roman"/>
          <w:sz w:val="24"/>
          <w:szCs w:val="24"/>
        </w:rPr>
      </w:pPr>
      <w:r w:rsidRPr="002A3A41">
        <w:rPr>
          <w:rFonts w:ascii="Times New Roman" w:hAnsi="Times New Roman"/>
          <w:sz w:val="24"/>
          <w:szCs w:val="24"/>
        </w:rPr>
        <w:t xml:space="preserve">MARTINS, André Silva. </w:t>
      </w:r>
      <w:r w:rsidRPr="002A3A41">
        <w:rPr>
          <w:rFonts w:ascii="Times New Roman" w:hAnsi="Times New Roman"/>
          <w:i/>
          <w:sz w:val="24"/>
          <w:szCs w:val="24"/>
        </w:rPr>
        <w:t>A direita para o social:</w:t>
      </w:r>
      <w:r w:rsidRPr="002A3A41">
        <w:rPr>
          <w:rFonts w:ascii="Times New Roman" w:hAnsi="Times New Roman"/>
          <w:sz w:val="24"/>
          <w:szCs w:val="24"/>
        </w:rPr>
        <w:t xml:space="preserve"> a educação da sociabilidade no Brasil contemporâneo. Juiz de Fora: UFJF, 2009.</w:t>
      </w: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MARX, Karl. </w:t>
      </w:r>
      <w:r w:rsidRPr="002A3A41">
        <w:rPr>
          <w:rFonts w:ascii="Times New Roman" w:hAnsi="Times New Roman"/>
          <w:i/>
          <w:sz w:val="24"/>
          <w:szCs w:val="24"/>
        </w:rPr>
        <w:t>Miséria da filosofia</w:t>
      </w:r>
      <w:r w:rsidRPr="002A3A41">
        <w:rPr>
          <w:rFonts w:ascii="Times New Roman" w:hAnsi="Times New Roman"/>
          <w:sz w:val="24"/>
          <w:szCs w:val="24"/>
        </w:rPr>
        <w:t>: resposta à Filosofia da miséria, do Sr. Proudhon. SP: Expressão Popular, 2009.</w:t>
      </w:r>
    </w:p>
    <w:p w:rsidR="002A3A41" w:rsidRPr="000306A5" w:rsidRDefault="002A3A41" w:rsidP="002A3A41">
      <w:pPr>
        <w:spacing w:line="240" w:lineRule="auto"/>
        <w:rPr>
          <w:rFonts w:ascii="Times New Roman" w:hAnsi="Times New Roman"/>
          <w:sz w:val="24"/>
          <w:szCs w:val="24"/>
        </w:rPr>
      </w:pPr>
      <w:r w:rsidRPr="002A3A41">
        <w:rPr>
          <w:rFonts w:ascii="Times New Roman" w:hAnsi="Times New Roman"/>
          <w:sz w:val="24"/>
          <w:szCs w:val="24"/>
        </w:rPr>
        <w:t>__</w:t>
      </w:r>
      <w:r w:rsidR="00F86EA0">
        <w:rPr>
          <w:rFonts w:ascii="Times New Roman" w:hAnsi="Times New Roman"/>
          <w:sz w:val="24"/>
          <w:szCs w:val="24"/>
        </w:rPr>
        <w:t>_</w:t>
      </w:r>
      <w:r w:rsidRPr="002A3A41">
        <w:rPr>
          <w:rFonts w:ascii="Times New Roman" w:hAnsi="Times New Roman"/>
          <w:sz w:val="24"/>
          <w:szCs w:val="24"/>
        </w:rPr>
        <w:t xml:space="preserve">____. </w:t>
      </w:r>
      <w:r w:rsidR="000306A5" w:rsidRPr="000306A5">
        <w:rPr>
          <w:rFonts w:ascii="Times New Roman" w:hAnsi="Times New Roman"/>
          <w:i/>
          <w:sz w:val="24"/>
          <w:szCs w:val="24"/>
        </w:rPr>
        <w:t>O Capital</w:t>
      </w:r>
      <w:r w:rsidR="000306A5" w:rsidRPr="000306A5">
        <w:rPr>
          <w:rFonts w:ascii="Times New Roman" w:hAnsi="Times New Roman"/>
          <w:sz w:val="24"/>
          <w:szCs w:val="24"/>
        </w:rPr>
        <w:t>: crítica da economia política. Livro II. O processo de circulação do capital. 10ª ed. RJ: Civilização Brasileira, 2005.</w:t>
      </w:r>
    </w:p>
    <w:p w:rsidR="00CA7F44" w:rsidRDefault="00CA7F44" w:rsidP="002A3A41">
      <w:pPr>
        <w:spacing w:line="240" w:lineRule="auto"/>
        <w:rPr>
          <w:rFonts w:ascii="Times New Roman" w:hAnsi="Times New Roman"/>
          <w:sz w:val="24"/>
          <w:szCs w:val="24"/>
        </w:rPr>
      </w:pPr>
      <w:r>
        <w:rPr>
          <w:rFonts w:ascii="Times New Roman" w:hAnsi="Times New Roman"/>
          <w:sz w:val="24"/>
          <w:szCs w:val="24"/>
        </w:rPr>
        <w:t>_______.</w:t>
      </w:r>
      <w:r w:rsidR="000306A5" w:rsidRPr="000306A5">
        <w:rPr>
          <w:rFonts w:ascii="Times New Roman" w:hAnsi="Times New Roman"/>
          <w:i/>
          <w:sz w:val="24"/>
          <w:szCs w:val="24"/>
        </w:rPr>
        <w:t>O Capital</w:t>
      </w:r>
      <w:r w:rsidR="000306A5" w:rsidRPr="000306A5">
        <w:rPr>
          <w:rFonts w:ascii="Times New Roman" w:hAnsi="Times New Roman"/>
          <w:sz w:val="24"/>
          <w:szCs w:val="24"/>
        </w:rPr>
        <w:t xml:space="preserve">: crítica da economia política. Livro </w:t>
      </w:r>
      <w:r w:rsidR="000306A5">
        <w:rPr>
          <w:rFonts w:ascii="Times New Roman" w:hAnsi="Times New Roman"/>
          <w:sz w:val="24"/>
          <w:szCs w:val="24"/>
        </w:rPr>
        <w:t>I</w:t>
      </w:r>
      <w:r w:rsidR="000306A5" w:rsidRPr="000306A5">
        <w:rPr>
          <w:rFonts w:ascii="Times New Roman" w:hAnsi="Times New Roman"/>
          <w:sz w:val="24"/>
          <w:szCs w:val="24"/>
        </w:rPr>
        <w:t xml:space="preserve">II. O processo </w:t>
      </w:r>
      <w:r w:rsidR="000306A5">
        <w:rPr>
          <w:rFonts w:ascii="Times New Roman" w:hAnsi="Times New Roman"/>
          <w:sz w:val="24"/>
          <w:szCs w:val="24"/>
        </w:rPr>
        <w:t>global de produção capitalista</w:t>
      </w:r>
      <w:r w:rsidR="000306A5" w:rsidRPr="000306A5">
        <w:rPr>
          <w:rFonts w:ascii="Times New Roman" w:hAnsi="Times New Roman"/>
          <w:sz w:val="24"/>
          <w:szCs w:val="24"/>
        </w:rPr>
        <w:t xml:space="preserve">. 10ª ed. </w:t>
      </w:r>
      <w:r w:rsidR="000306A5">
        <w:rPr>
          <w:rFonts w:ascii="Times New Roman" w:hAnsi="Times New Roman"/>
          <w:sz w:val="24"/>
          <w:szCs w:val="24"/>
        </w:rPr>
        <w:t>RJ: Civilização Brasileira, 2008</w:t>
      </w:r>
      <w:r w:rsidR="000306A5" w:rsidRPr="000306A5">
        <w:rPr>
          <w:rFonts w:ascii="Times New Roman" w:hAnsi="Times New Roman"/>
          <w:sz w:val="24"/>
          <w:szCs w:val="24"/>
        </w:rPr>
        <w:t>.</w:t>
      </w:r>
    </w:p>
    <w:p w:rsidR="008751C8" w:rsidRPr="008751C8" w:rsidRDefault="008751C8" w:rsidP="002A3A41">
      <w:pPr>
        <w:spacing w:line="240" w:lineRule="auto"/>
        <w:rPr>
          <w:rFonts w:ascii="Times New Roman" w:hAnsi="Times New Roman"/>
          <w:sz w:val="24"/>
          <w:szCs w:val="24"/>
        </w:rPr>
      </w:pPr>
      <w:r w:rsidRPr="00BC0D9E">
        <w:rPr>
          <w:rFonts w:ascii="Times New Roman" w:hAnsi="Times New Roman"/>
          <w:sz w:val="24"/>
          <w:szCs w:val="24"/>
        </w:rPr>
        <w:t xml:space="preserve">_______. e ENGELS, Friedrich. </w:t>
      </w:r>
      <w:r w:rsidRPr="008751C8">
        <w:rPr>
          <w:rFonts w:ascii="Times New Roman" w:hAnsi="Times New Roman"/>
          <w:sz w:val="24"/>
          <w:szCs w:val="24"/>
        </w:rPr>
        <w:t>O Manifesto do Partido Comunista</w:t>
      </w:r>
      <w:r w:rsidRPr="008751C8">
        <w:rPr>
          <w:rFonts w:ascii="Times New Roman" w:hAnsi="Times New Roman"/>
          <w:i/>
          <w:sz w:val="24"/>
          <w:szCs w:val="24"/>
        </w:rPr>
        <w:t xml:space="preserve">. </w:t>
      </w:r>
      <w:r w:rsidRPr="008751C8">
        <w:rPr>
          <w:rFonts w:ascii="Times New Roman" w:hAnsi="Times New Roman"/>
          <w:sz w:val="24"/>
          <w:szCs w:val="24"/>
        </w:rPr>
        <w:t xml:space="preserve">In: REIS FILHO, Daniel Aarão (org). </w:t>
      </w:r>
      <w:r w:rsidRPr="008751C8">
        <w:rPr>
          <w:rFonts w:ascii="Times New Roman" w:hAnsi="Times New Roman"/>
          <w:i/>
          <w:sz w:val="24"/>
          <w:szCs w:val="24"/>
        </w:rPr>
        <w:t>O Manifesto Comunista 150 anos depois: Karl Marx, Friedrich Engels</w:t>
      </w:r>
      <w:r>
        <w:rPr>
          <w:rFonts w:ascii="Times New Roman" w:hAnsi="Times New Roman"/>
          <w:sz w:val="24"/>
          <w:szCs w:val="24"/>
        </w:rPr>
        <w:t>. RJ: Contraponto.</w:t>
      </w:r>
    </w:p>
    <w:p w:rsidR="002A3A41" w:rsidRPr="002A3A41" w:rsidRDefault="002A3A41" w:rsidP="002A3A41">
      <w:pPr>
        <w:autoSpaceDE w:val="0"/>
        <w:autoSpaceDN w:val="0"/>
        <w:adjustRightInd w:val="0"/>
        <w:spacing w:line="240" w:lineRule="auto"/>
        <w:rPr>
          <w:rFonts w:ascii="Times New Roman" w:hAnsi="Times New Roman"/>
          <w:bCs/>
          <w:sz w:val="24"/>
          <w:szCs w:val="24"/>
        </w:rPr>
      </w:pPr>
      <w:r w:rsidRPr="002A3A41">
        <w:rPr>
          <w:rFonts w:ascii="Times New Roman" w:hAnsi="Times New Roman"/>
          <w:bCs/>
          <w:sz w:val="24"/>
          <w:szCs w:val="24"/>
        </w:rPr>
        <w:t xml:space="preserve">MENDONÇA, Sonia Regina de. </w:t>
      </w:r>
      <w:r w:rsidRPr="002A3A41">
        <w:rPr>
          <w:rFonts w:ascii="Times New Roman" w:hAnsi="Times New Roman"/>
          <w:bCs/>
          <w:i/>
          <w:sz w:val="24"/>
          <w:szCs w:val="24"/>
        </w:rPr>
        <w:t xml:space="preserve">O ruralismo brasileiro. </w:t>
      </w:r>
      <w:r w:rsidRPr="002A3A41">
        <w:rPr>
          <w:rFonts w:ascii="Times New Roman" w:hAnsi="Times New Roman"/>
          <w:bCs/>
          <w:sz w:val="24"/>
          <w:szCs w:val="24"/>
        </w:rPr>
        <w:t>SP: Hucitec, 1997.</w:t>
      </w:r>
    </w:p>
    <w:p w:rsidR="002A3A41" w:rsidRPr="002A3A41" w:rsidRDefault="002A3A41" w:rsidP="002A3A41">
      <w:pPr>
        <w:autoSpaceDE w:val="0"/>
        <w:autoSpaceDN w:val="0"/>
        <w:adjustRightInd w:val="0"/>
        <w:spacing w:line="240" w:lineRule="auto"/>
        <w:rPr>
          <w:rFonts w:ascii="Times New Roman" w:hAnsi="Times New Roman"/>
          <w:bCs/>
          <w:sz w:val="24"/>
          <w:szCs w:val="24"/>
        </w:rPr>
      </w:pPr>
      <w:r w:rsidRPr="002A3A41">
        <w:rPr>
          <w:rFonts w:ascii="Times New Roman" w:hAnsi="Times New Roman"/>
          <w:bCs/>
          <w:sz w:val="24"/>
          <w:szCs w:val="24"/>
        </w:rPr>
        <w:t xml:space="preserve">___________. </w:t>
      </w:r>
      <w:r w:rsidRPr="002A3A41">
        <w:rPr>
          <w:rFonts w:ascii="Times New Roman" w:hAnsi="Times New Roman"/>
          <w:bCs/>
          <w:i/>
          <w:sz w:val="24"/>
          <w:szCs w:val="24"/>
        </w:rPr>
        <w:t xml:space="preserve">Agronomia e poder no Brasil. </w:t>
      </w:r>
      <w:r w:rsidRPr="002A3A41">
        <w:rPr>
          <w:rFonts w:ascii="Times New Roman" w:hAnsi="Times New Roman"/>
          <w:bCs/>
          <w:sz w:val="24"/>
          <w:szCs w:val="24"/>
        </w:rPr>
        <w:t>Niterói: Vício de Leitura, 1998.</w:t>
      </w:r>
    </w:p>
    <w:p w:rsidR="002A3A41" w:rsidRPr="002A3A41" w:rsidRDefault="002A3A41" w:rsidP="002A3A41">
      <w:pPr>
        <w:autoSpaceDE w:val="0"/>
        <w:autoSpaceDN w:val="0"/>
        <w:adjustRightInd w:val="0"/>
        <w:spacing w:line="240" w:lineRule="auto"/>
        <w:rPr>
          <w:rFonts w:ascii="Times New Roman" w:hAnsi="Times New Roman"/>
          <w:bCs/>
          <w:sz w:val="24"/>
          <w:szCs w:val="24"/>
        </w:rPr>
      </w:pPr>
      <w:r w:rsidRPr="002A3A41">
        <w:rPr>
          <w:rFonts w:ascii="Times New Roman" w:hAnsi="Times New Roman"/>
          <w:bCs/>
          <w:sz w:val="24"/>
          <w:szCs w:val="24"/>
        </w:rPr>
        <w:t xml:space="preserve">___________. </w:t>
      </w:r>
      <w:r w:rsidRPr="002A3A41">
        <w:rPr>
          <w:rFonts w:ascii="Times New Roman" w:hAnsi="Times New Roman"/>
          <w:bCs/>
          <w:i/>
          <w:sz w:val="24"/>
          <w:szCs w:val="24"/>
        </w:rPr>
        <w:t>O patronato rural no Brasil recente (1964-1993).</w:t>
      </w:r>
      <w:r w:rsidRPr="002A3A41">
        <w:rPr>
          <w:rFonts w:ascii="Times New Roman" w:hAnsi="Times New Roman"/>
          <w:bCs/>
          <w:sz w:val="24"/>
          <w:szCs w:val="24"/>
        </w:rPr>
        <w:t xml:space="preserve"> RJ: Ed. UFRJ, 2010.</w:t>
      </w:r>
    </w:p>
    <w:p w:rsidR="002A3A41" w:rsidRPr="002A3A41" w:rsidRDefault="002A3A41" w:rsidP="002A3A41">
      <w:pPr>
        <w:autoSpaceDE w:val="0"/>
        <w:autoSpaceDN w:val="0"/>
        <w:adjustRightInd w:val="0"/>
        <w:jc w:val="both"/>
        <w:rPr>
          <w:rFonts w:ascii="Times New Roman" w:hAnsi="Times New Roman"/>
          <w:sz w:val="24"/>
          <w:szCs w:val="24"/>
        </w:rPr>
      </w:pPr>
      <w:r w:rsidRPr="002A3A41">
        <w:rPr>
          <w:rFonts w:ascii="Times New Roman" w:hAnsi="Times New Roman"/>
          <w:bCs/>
          <w:sz w:val="24"/>
          <w:szCs w:val="24"/>
        </w:rPr>
        <w:t xml:space="preserve">___________. </w:t>
      </w:r>
      <w:r w:rsidRPr="002A3A41">
        <w:rPr>
          <w:rFonts w:ascii="Times New Roman" w:hAnsi="Times New Roman"/>
          <w:sz w:val="24"/>
          <w:szCs w:val="24"/>
        </w:rPr>
        <w:t xml:space="preserve">(org.). Introdução. In: MENDONÇA, S. R. </w:t>
      </w:r>
      <w:r w:rsidRPr="002A3A41">
        <w:rPr>
          <w:rFonts w:ascii="Times New Roman" w:hAnsi="Times New Roman"/>
          <w:i/>
          <w:sz w:val="24"/>
          <w:szCs w:val="24"/>
        </w:rPr>
        <w:t>Estado Brasileiro</w:t>
      </w:r>
      <w:r w:rsidRPr="002A3A41">
        <w:rPr>
          <w:rFonts w:ascii="Times New Roman" w:hAnsi="Times New Roman"/>
          <w:b/>
          <w:sz w:val="24"/>
          <w:szCs w:val="24"/>
        </w:rPr>
        <w:t xml:space="preserve">: </w:t>
      </w:r>
      <w:r w:rsidRPr="002A3A41">
        <w:rPr>
          <w:rFonts w:ascii="Times New Roman" w:hAnsi="Times New Roman"/>
          <w:sz w:val="24"/>
          <w:szCs w:val="24"/>
        </w:rPr>
        <w:t>Agências e Agentes. Niterói: EdUFF/Vício de Leitura, 2005.</w:t>
      </w:r>
    </w:p>
    <w:p w:rsidR="002A3A41" w:rsidRPr="002A3A41" w:rsidRDefault="002A3A41" w:rsidP="002A3A41">
      <w:pPr>
        <w:autoSpaceDE w:val="0"/>
        <w:autoSpaceDN w:val="0"/>
        <w:adjustRightInd w:val="0"/>
        <w:jc w:val="both"/>
        <w:rPr>
          <w:rFonts w:ascii="Times New Roman" w:hAnsi="Times New Roman"/>
          <w:sz w:val="24"/>
          <w:szCs w:val="24"/>
        </w:rPr>
      </w:pPr>
      <w:r w:rsidRPr="002A3A41">
        <w:rPr>
          <w:rFonts w:ascii="Times New Roman" w:hAnsi="Times New Roman"/>
          <w:sz w:val="24"/>
          <w:szCs w:val="24"/>
        </w:rPr>
        <w:t xml:space="preserve">MINELLA, Ary Cesar. Grupos Financeiros e Associações de Classe do Sistema Financeiro. In: MENDONÇA, Sônia Regina de. (org.) </w:t>
      </w:r>
      <w:r w:rsidRPr="002A3A41">
        <w:rPr>
          <w:rFonts w:ascii="Times New Roman" w:hAnsi="Times New Roman"/>
          <w:i/>
          <w:sz w:val="24"/>
          <w:szCs w:val="24"/>
        </w:rPr>
        <w:t>Estado Brasileiro:</w:t>
      </w:r>
      <w:r w:rsidRPr="002A3A41">
        <w:rPr>
          <w:rFonts w:ascii="Times New Roman" w:hAnsi="Times New Roman"/>
          <w:sz w:val="24"/>
          <w:szCs w:val="24"/>
        </w:rPr>
        <w:t>Agências e Agentes. Niterói: EdUFF/Vício de Leitura, 2005a.</w:t>
      </w:r>
    </w:p>
    <w:p w:rsidR="002A3A41" w:rsidRPr="002A3A41" w:rsidRDefault="002A3A41" w:rsidP="002A3A41">
      <w:pPr>
        <w:autoSpaceDE w:val="0"/>
        <w:autoSpaceDN w:val="0"/>
        <w:adjustRightInd w:val="0"/>
        <w:jc w:val="both"/>
        <w:rPr>
          <w:rFonts w:ascii="Times New Roman" w:hAnsi="Times New Roman"/>
          <w:sz w:val="24"/>
          <w:szCs w:val="24"/>
        </w:rPr>
      </w:pPr>
      <w:r w:rsidRPr="002A3A41">
        <w:rPr>
          <w:rFonts w:ascii="Times New Roman" w:hAnsi="Times New Roman"/>
          <w:sz w:val="24"/>
          <w:szCs w:val="24"/>
        </w:rPr>
        <w:t xml:space="preserve">_________. Reestruturação do sistema financeiro brasileiro e a representação de classe do empresariado 1994-2004. In: GROS, Denise [et al.]. </w:t>
      </w:r>
      <w:r w:rsidRPr="002A3A41">
        <w:rPr>
          <w:rFonts w:ascii="Times New Roman" w:hAnsi="Times New Roman"/>
          <w:i/>
          <w:sz w:val="24"/>
          <w:szCs w:val="24"/>
        </w:rPr>
        <w:t>Empresas e grupos empresariais</w:t>
      </w:r>
      <w:r w:rsidRPr="002A3A41">
        <w:rPr>
          <w:rFonts w:ascii="Times New Roman" w:hAnsi="Times New Roman"/>
          <w:sz w:val="24"/>
          <w:szCs w:val="24"/>
        </w:rPr>
        <w:t>: atores sociais em transformação. IV Workshop Empresas, Empresários e Sociedade. Juiz de Fora: Ed. UFJF, 2005b.</w:t>
      </w:r>
    </w:p>
    <w:p w:rsidR="002A3A41" w:rsidRPr="002A3A41" w:rsidRDefault="002A3A41" w:rsidP="002A3A41">
      <w:pPr>
        <w:autoSpaceDE w:val="0"/>
        <w:autoSpaceDN w:val="0"/>
        <w:adjustRightInd w:val="0"/>
        <w:jc w:val="both"/>
        <w:rPr>
          <w:rFonts w:ascii="Times New Roman" w:hAnsi="Times New Roman"/>
          <w:sz w:val="24"/>
          <w:szCs w:val="24"/>
        </w:rPr>
      </w:pPr>
      <w:r w:rsidRPr="002A3A41">
        <w:rPr>
          <w:rFonts w:ascii="Times New Roman" w:hAnsi="Times New Roman"/>
          <w:sz w:val="24"/>
          <w:szCs w:val="24"/>
        </w:rPr>
        <w:t xml:space="preserve">_________. </w:t>
      </w:r>
      <w:r w:rsidRPr="002A3A41">
        <w:rPr>
          <w:rFonts w:ascii="Times New Roman" w:hAnsi="Times New Roman"/>
          <w:i/>
          <w:sz w:val="24"/>
          <w:szCs w:val="24"/>
        </w:rPr>
        <w:t>Grupos financeiros no Brasil:</w:t>
      </w:r>
      <w:r w:rsidRPr="002A3A41">
        <w:rPr>
          <w:rFonts w:ascii="Times New Roman" w:hAnsi="Times New Roman"/>
          <w:sz w:val="24"/>
          <w:szCs w:val="24"/>
        </w:rPr>
        <w:t xml:space="preserve"> um perfil econômico e sociopolítico dos maiores credores privados. V Workshop Empresa, Empresário e Sociedade, 2006. Disponível em &lt;www.fee.tche.br/5workshop/pdf/mesa03_ary.pdf&gt;. Acesso 19/07/2012.</w:t>
      </w:r>
    </w:p>
    <w:p w:rsidR="002A3A41" w:rsidRPr="002A3A41" w:rsidRDefault="002A3A41" w:rsidP="002A3A41">
      <w:pPr>
        <w:jc w:val="both"/>
        <w:rPr>
          <w:rFonts w:ascii="Times New Roman" w:hAnsi="Times New Roman"/>
          <w:sz w:val="24"/>
          <w:szCs w:val="24"/>
        </w:rPr>
      </w:pPr>
      <w:r w:rsidRPr="002A3A41">
        <w:rPr>
          <w:rFonts w:ascii="Times New Roman" w:hAnsi="Times New Roman"/>
          <w:sz w:val="24"/>
          <w:szCs w:val="24"/>
        </w:rPr>
        <w:t xml:space="preserve">_________. </w:t>
      </w:r>
      <w:r w:rsidRPr="002A3A41">
        <w:rPr>
          <w:rFonts w:ascii="Times New Roman" w:hAnsi="Times New Roman"/>
          <w:i/>
          <w:sz w:val="24"/>
          <w:szCs w:val="24"/>
        </w:rPr>
        <w:t>Maiores bancos privados no Brasil:</w:t>
      </w:r>
      <w:r w:rsidRPr="002A3A41">
        <w:rPr>
          <w:rFonts w:ascii="Times New Roman" w:hAnsi="Times New Roman"/>
          <w:sz w:val="24"/>
          <w:szCs w:val="24"/>
        </w:rPr>
        <w:t>um perfil econômico e sociopolítico</w:t>
      </w:r>
      <w:r w:rsidRPr="002A3A41">
        <w:rPr>
          <w:rFonts w:ascii="Times New Roman" w:hAnsi="Times New Roman"/>
          <w:i/>
          <w:sz w:val="24"/>
          <w:szCs w:val="24"/>
        </w:rPr>
        <w:t>.</w:t>
      </w:r>
      <w:r w:rsidRPr="002A3A41">
        <w:rPr>
          <w:rFonts w:ascii="Times New Roman" w:hAnsi="Times New Roman"/>
          <w:sz w:val="24"/>
          <w:szCs w:val="24"/>
        </w:rPr>
        <w:t xml:space="preserve"> Porto Alegre, Sociologias, ano 9, nº18, jul/dez 2007.</w:t>
      </w:r>
    </w:p>
    <w:p w:rsidR="002A3A41" w:rsidRPr="002A3A41" w:rsidRDefault="002A3A41" w:rsidP="002A3A41">
      <w:pPr>
        <w:autoSpaceDE w:val="0"/>
        <w:autoSpaceDN w:val="0"/>
        <w:adjustRightInd w:val="0"/>
        <w:spacing w:after="0" w:line="240" w:lineRule="auto"/>
        <w:rPr>
          <w:rFonts w:ascii="Times New Roman" w:hAnsi="Times New Roman"/>
          <w:bCs/>
          <w:sz w:val="24"/>
          <w:szCs w:val="24"/>
        </w:rPr>
      </w:pPr>
      <w:r w:rsidRPr="002A3A41">
        <w:rPr>
          <w:rFonts w:ascii="Times New Roman" w:hAnsi="Times New Roman"/>
          <w:bCs/>
          <w:sz w:val="24"/>
          <w:szCs w:val="24"/>
        </w:rPr>
        <w:t xml:space="preserve">MOREIRA, João Paulo de Oliveira. </w:t>
      </w:r>
      <w:r w:rsidRPr="002A3A41">
        <w:rPr>
          <w:rFonts w:ascii="Times New Roman" w:hAnsi="Times New Roman"/>
          <w:bCs/>
          <w:i/>
          <w:sz w:val="24"/>
          <w:szCs w:val="24"/>
        </w:rPr>
        <w:t>O empresariado siderúrgico organiza suas demandas</w:t>
      </w:r>
      <w:r w:rsidRPr="002A3A41">
        <w:rPr>
          <w:rFonts w:ascii="Times New Roman" w:hAnsi="Times New Roman"/>
          <w:bCs/>
          <w:sz w:val="24"/>
          <w:szCs w:val="24"/>
        </w:rPr>
        <w:t>: O Instituto Brasileiro de Siderurgia (IBS) como Aparelho Privado de Hegemonia (1976-1988). Anais do VII Simpósio Nacional Estado e Poder: Sociedade Civil. Uberlândia, 2012. Disponível em &lt;http://www.historia.uff.br/estadoepoder/7snep/docs/067.pdf&gt;. Acesso em 31/10/2013.</w:t>
      </w:r>
    </w:p>
    <w:p w:rsidR="002A3A41" w:rsidRPr="002A3A41" w:rsidRDefault="002A3A41" w:rsidP="002A3A41">
      <w:pPr>
        <w:autoSpaceDE w:val="0"/>
        <w:autoSpaceDN w:val="0"/>
        <w:adjustRightInd w:val="0"/>
        <w:spacing w:after="0" w:line="240" w:lineRule="auto"/>
        <w:rPr>
          <w:rFonts w:ascii="Times New Roman" w:hAnsi="Times New Roman"/>
          <w:bCs/>
          <w:sz w:val="24"/>
          <w:szCs w:val="24"/>
        </w:rPr>
      </w:pPr>
    </w:p>
    <w:p w:rsidR="002A3A41" w:rsidRPr="002A3A41" w:rsidRDefault="002A3A41" w:rsidP="002A3A41">
      <w:pPr>
        <w:tabs>
          <w:tab w:val="left" w:pos="2418"/>
        </w:tabs>
        <w:spacing w:after="0"/>
        <w:jc w:val="both"/>
        <w:rPr>
          <w:rFonts w:ascii="Times New Roman" w:hAnsi="Times New Roman"/>
          <w:sz w:val="24"/>
          <w:szCs w:val="24"/>
        </w:rPr>
      </w:pPr>
      <w:r w:rsidRPr="002A3A41">
        <w:rPr>
          <w:rFonts w:ascii="Times New Roman" w:hAnsi="Times New Roman"/>
          <w:sz w:val="24"/>
          <w:szCs w:val="24"/>
        </w:rPr>
        <w:t xml:space="preserve">NETTO, José Paulo. </w:t>
      </w:r>
      <w:r w:rsidRPr="002A3A41">
        <w:rPr>
          <w:rFonts w:ascii="Times New Roman" w:hAnsi="Times New Roman"/>
          <w:i/>
          <w:sz w:val="24"/>
          <w:szCs w:val="24"/>
        </w:rPr>
        <w:t>Introdução ao estudo do método de Marx</w:t>
      </w:r>
      <w:r w:rsidRPr="002A3A41">
        <w:rPr>
          <w:rFonts w:ascii="Times New Roman" w:hAnsi="Times New Roman"/>
          <w:sz w:val="24"/>
          <w:szCs w:val="24"/>
        </w:rPr>
        <w:t>. SP: Expressão Popular, 2011.</w:t>
      </w:r>
    </w:p>
    <w:p w:rsidR="002A3A41" w:rsidRPr="002A3A41" w:rsidRDefault="002A3A41" w:rsidP="002A3A41">
      <w:pPr>
        <w:autoSpaceDE w:val="0"/>
        <w:autoSpaceDN w:val="0"/>
        <w:adjustRightInd w:val="0"/>
        <w:spacing w:before="240" w:line="240" w:lineRule="auto"/>
        <w:rPr>
          <w:rFonts w:ascii="Times New Roman" w:hAnsi="Times New Roman"/>
          <w:sz w:val="24"/>
          <w:szCs w:val="24"/>
        </w:rPr>
      </w:pPr>
      <w:r w:rsidRPr="002A3A41">
        <w:rPr>
          <w:rFonts w:ascii="Times New Roman" w:hAnsi="Times New Roman"/>
          <w:sz w:val="24"/>
          <w:szCs w:val="24"/>
        </w:rPr>
        <w:t xml:space="preserve">NEVES, Lúcia Wanderley. </w:t>
      </w:r>
      <w:r w:rsidRPr="002A3A41">
        <w:rPr>
          <w:rFonts w:ascii="Times New Roman" w:hAnsi="Times New Roman"/>
          <w:i/>
          <w:sz w:val="24"/>
          <w:szCs w:val="24"/>
        </w:rPr>
        <w:t>A nova pedagogia da hegemonia</w:t>
      </w:r>
      <w:r w:rsidRPr="002A3A41">
        <w:rPr>
          <w:rFonts w:ascii="Times New Roman" w:hAnsi="Times New Roman"/>
          <w:sz w:val="24"/>
          <w:szCs w:val="24"/>
        </w:rPr>
        <w:t>: estratégias do capital para educar o consenso. SP: Xamã, 2005.</w:t>
      </w:r>
    </w:p>
    <w:p w:rsidR="002A3A41" w:rsidRPr="002A3A41" w:rsidRDefault="002A3A41" w:rsidP="002A3A41">
      <w:pPr>
        <w:tabs>
          <w:tab w:val="left" w:pos="2418"/>
        </w:tabs>
        <w:jc w:val="both"/>
        <w:rPr>
          <w:rFonts w:ascii="Times New Roman" w:hAnsi="Times New Roman"/>
          <w:sz w:val="24"/>
          <w:szCs w:val="24"/>
        </w:rPr>
      </w:pPr>
      <w:r w:rsidRPr="002A3A41">
        <w:rPr>
          <w:rFonts w:ascii="Times New Roman" w:hAnsi="Times New Roman"/>
          <w:sz w:val="24"/>
          <w:szCs w:val="24"/>
        </w:rPr>
        <w:t xml:space="preserve">NÓVOA, Luis Fernando. O Brasil e seu “desdobramento”: o papel central do BNDES na expansão das empresas transnacionais brasileiras na América do Sul. In: IRLS-INSTITUTO ROSA LUXEMBURG SITFTUNG. (org.). </w:t>
      </w:r>
      <w:r w:rsidRPr="002A3A41">
        <w:rPr>
          <w:rFonts w:ascii="Times New Roman" w:hAnsi="Times New Roman"/>
          <w:i/>
          <w:sz w:val="24"/>
          <w:szCs w:val="24"/>
        </w:rPr>
        <w:t>Empresas transnacionais brasileiras na América Latina</w:t>
      </w:r>
      <w:r w:rsidRPr="002A3A41">
        <w:rPr>
          <w:rFonts w:ascii="Times New Roman" w:hAnsi="Times New Roman"/>
          <w:sz w:val="24"/>
          <w:szCs w:val="24"/>
        </w:rPr>
        <w:t>: um debate necessário. SP: Expressão Popular, 2009.</w:t>
      </w:r>
    </w:p>
    <w:p w:rsidR="002A3A41" w:rsidRDefault="002A3A41" w:rsidP="002A3A41">
      <w:pPr>
        <w:tabs>
          <w:tab w:val="left" w:pos="2418"/>
        </w:tabs>
        <w:jc w:val="both"/>
        <w:rPr>
          <w:rFonts w:ascii="Times New Roman" w:hAnsi="Times New Roman"/>
          <w:sz w:val="24"/>
          <w:szCs w:val="24"/>
        </w:rPr>
      </w:pPr>
      <w:r w:rsidRPr="002A3A41">
        <w:rPr>
          <w:rFonts w:ascii="Times New Roman" w:hAnsi="Times New Roman"/>
          <w:sz w:val="24"/>
          <w:szCs w:val="24"/>
        </w:rPr>
        <w:t xml:space="preserve">OLIVEIRA, Francisco de. </w:t>
      </w:r>
      <w:r w:rsidRPr="002A3A41">
        <w:rPr>
          <w:rFonts w:ascii="Times New Roman" w:hAnsi="Times New Roman"/>
          <w:i/>
          <w:sz w:val="24"/>
          <w:szCs w:val="24"/>
        </w:rPr>
        <w:t>Crítica à razão dualista</w:t>
      </w:r>
      <w:r w:rsidRPr="002A3A41">
        <w:rPr>
          <w:rFonts w:ascii="Times New Roman" w:hAnsi="Times New Roman"/>
          <w:sz w:val="24"/>
          <w:szCs w:val="24"/>
        </w:rPr>
        <w:t xml:space="preserve"> – o ornitorrinco. São Paulo: Boitempo, 2003.</w:t>
      </w:r>
    </w:p>
    <w:p w:rsidR="00650589" w:rsidRPr="00650589" w:rsidRDefault="00650589" w:rsidP="00650589">
      <w:pPr>
        <w:pStyle w:val="Textodenotaderodap"/>
        <w:rPr>
          <w:rFonts w:ascii="Times New Roman" w:hAnsi="Times New Roman"/>
          <w:sz w:val="24"/>
          <w:szCs w:val="24"/>
        </w:rPr>
      </w:pPr>
      <w:r w:rsidRPr="00650589">
        <w:rPr>
          <w:rFonts w:ascii="Times New Roman" w:hAnsi="Times New Roman"/>
          <w:sz w:val="24"/>
          <w:szCs w:val="24"/>
        </w:rPr>
        <w:t>_________.Hegemonia às avessas</w:t>
      </w:r>
      <w:r w:rsidRPr="00650589">
        <w:rPr>
          <w:rFonts w:ascii="Times New Roman" w:hAnsi="Times New Roman"/>
          <w:i/>
          <w:sz w:val="24"/>
          <w:szCs w:val="24"/>
        </w:rPr>
        <w:t xml:space="preserve">. </w:t>
      </w:r>
      <w:r w:rsidRPr="00650589">
        <w:rPr>
          <w:rFonts w:ascii="Times New Roman" w:hAnsi="Times New Roman"/>
          <w:sz w:val="24"/>
          <w:szCs w:val="24"/>
        </w:rPr>
        <w:t xml:space="preserve">In: OLIVEIRA, Francisco. BRAGA, Ruy e RIZEK, Cibele. </w:t>
      </w:r>
      <w:r w:rsidRPr="00650589">
        <w:rPr>
          <w:rFonts w:ascii="Times New Roman" w:hAnsi="Times New Roman"/>
          <w:i/>
          <w:sz w:val="24"/>
          <w:szCs w:val="24"/>
        </w:rPr>
        <w:t>Hegemonia às avessas</w:t>
      </w:r>
      <w:r w:rsidRPr="00650589">
        <w:rPr>
          <w:rFonts w:ascii="Times New Roman" w:hAnsi="Times New Roman"/>
          <w:sz w:val="24"/>
          <w:szCs w:val="24"/>
        </w:rPr>
        <w:t>: economia, política e cultura na era da servidão financeira. S</w:t>
      </w:r>
      <w:r>
        <w:rPr>
          <w:rFonts w:ascii="Times New Roman" w:hAnsi="Times New Roman"/>
          <w:sz w:val="24"/>
          <w:szCs w:val="24"/>
        </w:rPr>
        <w:t>ão Paulo: Boitempo, 2010.</w:t>
      </w:r>
    </w:p>
    <w:p w:rsidR="002A3A41" w:rsidRPr="002A3A41" w:rsidRDefault="002A3A41" w:rsidP="00650589">
      <w:pPr>
        <w:tabs>
          <w:tab w:val="left" w:pos="2418"/>
        </w:tabs>
        <w:spacing w:before="240"/>
        <w:jc w:val="both"/>
        <w:rPr>
          <w:rFonts w:ascii="Times New Roman" w:hAnsi="Times New Roman"/>
          <w:sz w:val="24"/>
          <w:szCs w:val="24"/>
        </w:rPr>
      </w:pPr>
      <w:r w:rsidRPr="002A3A41">
        <w:rPr>
          <w:rFonts w:ascii="Times New Roman" w:hAnsi="Times New Roman"/>
          <w:sz w:val="24"/>
          <w:szCs w:val="24"/>
        </w:rPr>
        <w:t xml:space="preserve">PALOCCI, Antonio. </w:t>
      </w:r>
      <w:r w:rsidRPr="002A3A41">
        <w:rPr>
          <w:rFonts w:ascii="Times New Roman" w:hAnsi="Times New Roman"/>
          <w:i/>
          <w:sz w:val="24"/>
          <w:szCs w:val="24"/>
        </w:rPr>
        <w:t>Sobre formigas e cigarras</w:t>
      </w:r>
      <w:r w:rsidRPr="002A3A41">
        <w:rPr>
          <w:rFonts w:ascii="Times New Roman" w:hAnsi="Times New Roman"/>
          <w:sz w:val="24"/>
          <w:szCs w:val="24"/>
        </w:rPr>
        <w:t>. RJ: Objetiva, 2007.</w:t>
      </w:r>
    </w:p>
    <w:p w:rsidR="002A3A41" w:rsidRPr="002A3A41" w:rsidRDefault="002A3A41" w:rsidP="002A3A41">
      <w:pPr>
        <w:tabs>
          <w:tab w:val="left" w:pos="2418"/>
        </w:tabs>
        <w:jc w:val="both"/>
        <w:rPr>
          <w:rFonts w:ascii="Times New Roman" w:hAnsi="Times New Roman"/>
          <w:sz w:val="24"/>
          <w:szCs w:val="24"/>
        </w:rPr>
      </w:pPr>
      <w:r w:rsidRPr="002A3A41">
        <w:rPr>
          <w:rFonts w:ascii="Times New Roman" w:hAnsi="Times New Roman"/>
          <w:sz w:val="24"/>
          <w:szCs w:val="24"/>
        </w:rPr>
        <w:t xml:space="preserve">PERONI, Vera Maria e CAETANO, Maria Raquel. </w:t>
      </w:r>
      <w:r w:rsidRPr="002A3A41">
        <w:rPr>
          <w:rFonts w:ascii="Times New Roman" w:hAnsi="Times New Roman"/>
          <w:i/>
          <w:sz w:val="24"/>
          <w:szCs w:val="24"/>
        </w:rPr>
        <w:t>Redefinições no papel do Estado</w:t>
      </w:r>
      <w:r w:rsidRPr="002A3A41">
        <w:rPr>
          <w:rFonts w:ascii="Times New Roman" w:hAnsi="Times New Roman"/>
          <w:b/>
          <w:sz w:val="24"/>
          <w:szCs w:val="24"/>
        </w:rPr>
        <w:t>:</w:t>
      </w:r>
      <w:r w:rsidRPr="002A3A41">
        <w:rPr>
          <w:rFonts w:ascii="Times New Roman" w:hAnsi="Times New Roman"/>
          <w:sz w:val="24"/>
          <w:szCs w:val="24"/>
        </w:rPr>
        <w:t xml:space="preserve"> terceira via, novo desenvolvimentismo e as parcerias público-privadas na educação. IX Anped Sul, 2012.</w:t>
      </w:r>
    </w:p>
    <w:p w:rsidR="002A3A41" w:rsidRPr="002A3A41" w:rsidRDefault="002A3A41" w:rsidP="002A3A41">
      <w:pPr>
        <w:autoSpaceDE w:val="0"/>
        <w:autoSpaceDN w:val="0"/>
        <w:adjustRightInd w:val="0"/>
        <w:spacing w:before="240" w:line="240" w:lineRule="auto"/>
        <w:rPr>
          <w:rFonts w:ascii="Times New Roman" w:hAnsi="Times New Roman"/>
          <w:sz w:val="24"/>
          <w:szCs w:val="24"/>
        </w:rPr>
      </w:pPr>
      <w:r w:rsidRPr="002A3A41">
        <w:rPr>
          <w:rFonts w:ascii="Times New Roman" w:hAnsi="Times New Roman"/>
          <w:sz w:val="24"/>
          <w:szCs w:val="24"/>
        </w:rPr>
        <w:t xml:space="preserve">PINTO, Eduardo da Costa. </w:t>
      </w:r>
      <w:r w:rsidRPr="002A3A41">
        <w:rPr>
          <w:rFonts w:ascii="Times New Roman" w:hAnsi="Times New Roman"/>
          <w:i/>
          <w:sz w:val="24"/>
          <w:szCs w:val="24"/>
        </w:rPr>
        <w:t xml:space="preserve">Bloco no poder e governo Lula: </w:t>
      </w:r>
      <w:r w:rsidRPr="002A3A41">
        <w:rPr>
          <w:rFonts w:ascii="Times New Roman" w:hAnsi="Times New Roman"/>
          <w:sz w:val="24"/>
          <w:szCs w:val="24"/>
        </w:rPr>
        <w:t>grupos econômicos, política econômica e novo eixo sino-americano. Tese de Doutorado em Economia, RJ: UFRJ, 2010.</w:t>
      </w:r>
    </w:p>
    <w:p w:rsidR="002A3A41" w:rsidRPr="002A3A41" w:rsidRDefault="002A3A41" w:rsidP="002A3A41">
      <w:pPr>
        <w:spacing w:before="240" w:line="240" w:lineRule="auto"/>
        <w:rPr>
          <w:rFonts w:ascii="Times New Roman" w:hAnsi="Times New Roman"/>
          <w:sz w:val="24"/>
          <w:szCs w:val="24"/>
        </w:rPr>
      </w:pPr>
      <w:r w:rsidRPr="002A3A41">
        <w:rPr>
          <w:rFonts w:ascii="Times New Roman" w:hAnsi="Times New Roman"/>
          <w:sz w:val="24"/>
          <w:szCs w:val="24"/>
        </w:rPr>
        <w:t xml:space="preserve">PINTO, Eduardo Costa e CARDOSO Jr., José Celso. A Experiência do Conselho de Desenvolvimento Econômico e Social como espaço de concertação nacional para o desenvolvimento. In: IPEA. </w:t>
      </w:r>
      <w:r w:rsidRPr="002A3A41">
        <w:rPr>
          <w:rFonts w:ascii="Times New Roman" w:hAnsi="Times New Roman"/>
          <w:i/>
          <w:sz w:val="24"/>
          <w:szCs w:val="24"/>
        </w:rPr>
        <w:t>Estado, instituições e democracia</w:t>
      </w:r>
      <w:r w:rsidRPr="002A3A41">
        <w:rPr>
          <w:rFonts w:ascii="Times New Roman" w:hAnsi="Times New Roman"/>
          <w:sz w:val="24"/>
          <w:szCs w:val="24"/>
        </w:rPr>
        <w:t>: desenvolvimento. Brasília: IPEA, 2010.</w:t>
      </w:r>
    </w:p>
    <w:p w:rsidR="002A3A41" w:rsidRPr="002A3A41" w:rsidRDefault="002A3A41" w:rsidP="002A3A41">
      <w:pPr>
        <w:autoSpaceDE w:val="0"/>
        <w:autoSpaceDN w:val="0"/>
        <w:adjustRightInd w:val="0"/>
        <w:spacing w:before="240" w:line="240" w:lineRule="auto"/>
        <w:rPr>
          <w:rFonts w:ascii="Times New Roman" w:hAnsi="Times New Roman"/>
          <w:sz w:val="24"/>
          <w:szCs w:val="24"/>
        </w:rPr>
      </w:pPr>
      <w:r w:rsidRPr="002A3A41">
        <w:rPr>
          <w:rFonts w:ascii="Times New Roman" w:hAnsi="Times New Roman"/>
          <w:sz w:val="24"/>
          <w:szCs w:val="24"/>
        </w:rPr>
        <w:t xml:space="preserve">POCHMANN, Márcio. </w:t>
      </w:r>
      <w:r w:rsidRPr="002A3A41">
        <w:rPr>
          <w:rFonts w:ascii="Times New Roman" w:hAnsi="Times New Roman"/>
          <w:i/>
          <w:sz w:val="24"/>
          <w:szCs w:val="24"/>
        </w:rPr>
        <w:t xml:space="preserve">Nova classe média?: </w:t>
      </w:r>
      <w:r w:rsidRPr="002A3A41">
        <w:rPr>
          <w:rFonts w:ascii="Times New Roman" w:hAnsi="Times New Roman"/>
          <w:sz w:val="24"/>
          <w:szCs w:val="24"/>
        </w:rPr>
        <w:t>o trabalho na base da pirâmide social brasileira. São Paulo: Boitempo, 2012.</w:t>
      </w:r>
    </w:p>
    <w:p w:rsidR="002A3A41" w:rsidRPr="002A3A41" w:rsidRDefault="002A3A41" w:rsidP="002A3A41">
      <w:pPr>
        <w:autoSpaceDE w:val="0"/>
        <w:autoSpaceDN w:val="0"/>
        <w:adjustRightInd w:val="0"/>
        <w:spacing w:before="240" w:line="240" w:lineRule="auto"/>
        <w:rPr>
          <w:rFonts w:ascii="Times New Roman" w:hAnsi="Times New Roman"/>
          <w:sz w:val="24"/>
          <w:szCs w:val="24"/>
        </w:rPr>
      </w:pPr>
      <w:r w:rsidRPr="002A3A41">
        <w:rPr>
          <w:rFonts w:ascii="Times New Roman" w:hAnsi="Times New Roman"/>
          <w:sz w:val="24"/>
          <w:szCs w:val="24"/>
        </w:rPr>
        <w:t xml:space="preserve">POULANTZAS, Nicos. </w:t>
      </w:r>
      <w:r w:rsidRPr="002A3A41">
        <w:rPr>
          <w:rFonts w:ascii="Times New Roman" w:hAnsi="Times New Roman"/>
          <w:i/>
          <w:sz w:val="24"/>
          <w:szCs w:val="24"/>
        </w:rPr>
        <w:t>O Estado, o Poder e o Socialismo</w:t>
      </w:r>
      <w:r w:rsidRPr="002A3A41">
        <w:rPr>
          <w:rFonts w:ascii="Times New Roman" w:hAnsi="Times New Roman"/>
          <w:sz w:val="24"/>
          <w:szCs w:val="24"/>
        </w:rPr>
        <w:t>. RJ: Edições Graal, 1985.</w:t>
      </w:r>
    </w:p>
    <w:p w:rsidR="002A3A41" w:rsidRPr="002A3A41" w:rsidRDefault="002A3A41" w:rsidP="002A3A41">
      <w:pPr>
        <w:autoSpaceDE w:val="0"/>
        <w:autoSpaceDN w:val="0"/>
        <w:adjustRightInd w:val="0"/>
        <w:spacing w:line="240" w:lineRule="auto"/>
        <w:rPr>
          <w:rFonts w:ascii="Times New Roman" w:hAnsi="Times New Roman"/>
          <w:sz w:val="24"/>
          <w:szCs w:val="24"/>
        </w:rPr>
      </w:pPr>
      <w:r w:rsidRPr="002A3A41">
        <w:rPr>
          <w:rFonts w:ascii="Times New Roman" w:hAnsi="Times New Roman"/>
          <w:sz w:val="24"/>
          <w:szCs w:val="24"/>
        </w:rPr>
        <w:t xml:space="preserve">RIBEIRO, Daniela M. De Franco. </w:t>
      </w:r>
      <w:r w:rsidRPr="002A3A41">
        <w:rPr>
          <w:rFonts w:ascii="Times New Roman" w:hAnsi="Times New Roman"/>
          <w:i/>
          <w:sz w:val="24"/>
          <w:szCs w:val="24"/>
        </w:rPr>
        <w:t>A construção institucional do CDES</w:t>
      </w:r>
      <w:r w:rsidRPr="002A3A41">
        <w:rPr>
          <w:rFonts w:ascii="Times New Roman" w:hAnsi="Times New Roman"/>
          <w:sz w:val="24"/>
          <w:szCs w:val="24"/>
        </w:rPr>
        <w:t>: uma dinâmica favorável ao desenvolvimento?. Recife: 2010.</w:t>
      </w:r>
    </w:p>
    <w:p w:rsidR="002A3A41" w:rsidRPr="002A3A41" w:rsidRDefault="002A3A41" w:rsidP="002A3A41">
      <w:pPr>
        <w:spacing w:line="240" w:lineRule="auto"/>
        <w:jc w:val="both"/>
        <w:rPr>
          <w:rFonts w:ascii="Times New Roman" w:hAnsi="Times New Roman"/>
          <w:color w:val="000000"/>
          <w:sz w:val="24"/>
          <w:szCs w:val="24"/>
        </w:rPr>
      </w:pPr>
      <w:r w:rsidRPr="002A3A41">
        <w:rPr>
          <w:rFonts w:ascii="Times New Roman" w:hAnsi="Times New Roman"/>
          <w:color w:val="000000"/>
          <w:sz w:val="24"/>
          <w:szCs w:val="24"/>
        </w:rPr>
        <w:t xml:space="preserve">SALATA, Rosemeire. </w:t>
      </w:r>
      <w:r w:rsidRPr="002A3A41">
        <w:rPr>
          <w:rFonts w:ascii="Times New Roman" w:hAnsi="Times New Roman"/>
          <w:i/>
          <w:color w:val="000000"/>
          <w:sz w:val="24"/>
          <w:szCs w:val="24"/>
        </w:rPr>
        <w:t>Novas formas de organização da produção canavieira na região de Ribeirão Preto/SP</w:t>
      </w:r>
      <w:r w:rsidRPr="002A3A41">
        <w:rPr>
          <w:rFonts w:ascii="Times New Roman" w:hAnsi="Times New Roman"/>
          <w:color w:val="000000"/>
          <w:sz w:val="24"/>
          <w:szCs w:val="24"/>
        </w:rPr>
        <w:t>: qualificação profissional e o “Programa Renovação”. Dissertação de Mestrado, Sociologia, Araraquara: UNESP, 2013.</w:t>
      </w:r>
    </w:p>
    <w:p w:rsidR="002A3A41" w:rsidRPr="002A3A41" w:rsidRDefault="002A3A41" w:rsidP="002A3A41">
      <w:pPr>
        <w:autoSpaceDE w:val="0"/>
        <w:autoSpaceDN w:val="0"/>
        <w:adjustRightInd w:val="0"/>
        <w:spacing w:after="0" w:line="240" w:lineRule="auto"/>
        <w:rPr>
          <w:rFonts w:ascii="Times New Roman" w:hAnsi="Times New Roman"/>
          <w:sz w:val="24"/>
          <w:szCs w:val="24"/>
        </w:rPr>
      </w:pPr>
      <w:r w:rsidRPr="002A3A41">
        <w:rPr>
          <w:rFonts w:ascii="Times New Roman" w:hAnsi="Times New Roman"/>
          <w:sz w:val="24"/>
          <w:szCs w:val="24"/>
        </w:rPr>
        <w:t xml:space="preserve">SALVADOR, Evilásio. Financiamento tributário da política social no pós-real. In: BEHRING, Elaine. BOSCHETTI, Ivanete, GRANEMANN, Sara (orgs.).   </w:t>
      </w:r>
      <w:r w:rsidRPr="002A3A41">
        <w:rPr>
          <w:rFonts w:ascii="Times New Roman" w:hAnsi="Times New Roman"/>
          <w:i/>
          <w:sz w:val="24"/>
          <w:szCs w:val="24"/>
        </w:rPr>
        <w:t>Financeirização, fundo público e política social.</w:t>
      </w:r>
      <w:r w:rsidRPr="002A3A41">
        <w:rPr>
          <w:rFonts w:ascii="Times New Roman" w:hAnsi="Times New Roman"/>
          <w:sz w:val="24"/>
          <w:szCs w:val="24"/>
        </w:rPr>
        <w:t xml:space="preserve"> São Paulo: Cortez, 2012.</w:t>
      </w:r>
    </w:p>
    <w:p w:rsidR="002A3A41" w:rsidRPr="002A3A41" w:rsidRDefault="002A3A41" w:rsidP="002A3A41">
      <w:pPr>
        <w:spacing w:before="240" w:line="240" w:lineRule="auto"/>
        <w:rPr>
          <w:rFonts w:ascii="Times New Roman" w:hAnsi="Times New Roman"/>
          <w:sz w:val="24"/>
          <w:szCs w:val="24"/>
        </w:rPr>
      </w:pPr>
      <w:r w:rsidRPr="002A3A41">
        <w:rPr>
          <w:rFonts w:ascii="Times New Roman" w:hAnsi="Times New Roman"/>
          <w:sz w:val="24"/>
          <w:szCs w:val="24"/>
        </w:rPr>
        <w:t xml:space="preserve">SANTOS, José Carlos dos. Entrevistas com conselheiros: revisitando agendas para o desenvolvimento. In: CARDOSO JR., José Celso, SANTOS, José Celso e ALENCAR, Joana. </w:t>
      </w:r>
      <w:r w:rsidRPr="002A3A41">
        <w:rPr>
          <w:rFonts w:ascii="Times New Roman" w:hAnsi="Times New Roman"/>
          <w:i/>
          <w:sz w:val="24"/>
          <w:szCs w:val="24"/>
        </w:rPr>
        <w:t xml:space="preserve">Diálogos para o desenvolvimento: </w:t>
      </w:r>
      <w:r w:rsidRPr="002A3A41">
        <w:rPr>
          <w:rFonts w:ascii="Times New Roman" w:hAnsi="Times New Roman"/>
          <w:sz w:val="24"/>
          <w:szCs w:val="24"/>
        </w:rPr>
        <w:t>a experiência do Conselho de Desenvolvimento Econômico e Social sob o governo Lula. Brasília: IPEA, vol. 2, 2010.</w:t>
      </w:r>
    </w:p>
    <w:p w:rsidR="002A3A41" w:rsidRDefault="002A3A41" w:rsidP="002A3A41">
      <w:pPr>
        <w:autoSpaceDE w:val="0"/>
        <w:autoSpaceDN w:val="0"/>
        <w:adjustRightInd w:val="0"/>
        <w:spacing w:after="0" w:line="240" w:lineRule="auto"/>
        <w:rPr>
          <w:rFonts w:ascii="Times New Roman" w:hAnsi="Times New Roman"/>
          <w:sz w:val="24"/>
          <w:szCs w:val="24"/>
        </w:rPr>
      </w:pPr>
      <w:r w:rsidRPr="002A3A41">
        <w:rPr>
          <w:rFonts w:ascii="Times New Roman" w:hAnsi="Times New Roman"/>
          <w:sz w:val="24"/>
          <w:szCs w:val="24"/>
        </w:rPr>
        <w:t xml:space="preserve">SILVA, Carla Luciana Souza da. </w:t>
      </w:r>
      <w:r w:rsidRPr="002A3A41">
        <w:rPr>
          <w:rFonts w:ascii="Times New Roman" w:hAnsi="Times New Roman"/>
          <w:i/>
          <w:sz w:val="24"/>
          <w:szCs w:val="24"/>
        </w:rPr>
        <w:t>Veja</w:t>
      </w:r>
      <w:r w:rsidRPr="002A3A41">
        <w:rPr>
          <w:rFonts w:ascii="Times New Roman" w:hAnsi="Times New Roman"/>
          <w:sz w:val="24"/>
          <w:szCs w:val="24"/>
        </w:rPr>
        <w:t xml:space="preserve">: o “indispensável” partido neoliberal (1989-2002). Tese de doutorado em História. Niterói: UFF, 2005. </w:t>
      </w:r>
    </w:p>
    <w:p w:rsidR="00650589" w:rsidRDefault="00650589" w:rsidP="002A3A41">
      <w:pPr>
        <w:autoSpaceDE w:val="0"/>
        <w:autoSpaceDN w:val="0"/>
        <w:adjustRightInd w:val="0"/>
        <w:spacing w:after="0" w:line="240" w:lineRule="auto"/>
        <w:rPr>
          <w:rFonts w:ascii="Times New Roman" w:hAnsi="Times New Roman"/>
          <w:sz w:val="24"/>
          <w:szCs w:val="24"/>
        </w:rPr>
      </w:pPr>
    </w:p>
    <w:p w:rsidR="00650589" w:rsidRPr="00650589" w:rsidRDefault="00650589" w:rsidP="00650589">
      <w:pPr>
        <w:pStyle w:val="Textodenotaderodap"/>
        <w:rPr>
          <w:rFonts w:ascii="Times New Roman" w:hAnsi="Times New Roman"/>
          <w:sz w:val="24"/>
          <w:szCs w:val="24"/>
        </w:rPr>
      </w:pPr>
      <w:r w:rsidRPr="00650589">
        <w:rPr>
          <w:rFonts w:ascii="Times New Roman" w:hAnsi="Times New Roman"/>
          <w:sz w:val="24"/>
          <w:szCs w:val="24"/>
        </w:rPr>
        <w:t xml:space="preserve">SINGER, André. </w:t>
      </w:r>
      <w:r w:rsidRPr="00650589">
        <w:rPr>
          <w:rFonts w:ascii="Times New Roman" w:hAnsi="Times New Roman"/>
          <w:i/>
          <w:sz w:val="24"/>
          <w:szCs w:val="24"/>
        </w:rPr>
        <w:t xml:space="preserve">Os sentidos do lulismo: </w:t>
      </w:r>
      <w:r w:rsidRPr="00650589">
        <w:rPr>
          <w:rFonts w:ascii="Times New Roman" w:hAnsi="Times New Roman"/>
          <w:sz w:val="24"/>
          <w:szCs w:val="24"/>
        </w:rPr>
        <w:t xml:space="preserve">reforma gradual e pacto conservador. </w:t>
      </w:r>
      <w:r>
        <w:rPr>
          <w:rFonts w:ascii="Times New Roman" w:hAnsi="Times New Roman"/>
          <w:sz w:val="24"/>
          <w:szCs w:val="24"/>
        </w:rPr>
        <w:t>São Paulo, Cia das Letras, 2012</w:t>
      </w:r>
      <w:r w:rsidRPr="00650589">
        <w:rPr>
          <w:rFonts w:ascii="Times New Roman" w:hAnsi="Times New Roman"/>
          <w:sz w:val="24"/>
          <w:szCs w:val="24"/>
        </w:rPr>
        <w:t>.</w:t>
      </w:r>
    </w:p>
    <w:p w:rsidR="00650589" w:rsidRPr="002A3A41" w:rsidRDefault="00650589" w:rsidP="002A3A41">
      <w:pPr>
        <w:autoSpaceDE w:val="0"/>
        <w:autoSpaceDN w:val="0"/>
        <w:adjustRightInd w:val="0"/>
        <w:spacing w:after="0" w:line="240" w:lineRule="auto"/>
        <w:rPr>
          <w:rFonts w:ascii="Times New Roman" w:hAnsi="Times New Roman"/>
          <w:sz w:val="24"/>
          <w:szCs w:val="24"/>
        </w:rPr>
      </w:pPr>
    </w:p>
    <w:p w:rsidR="002A3A41" w:rsidRPr="002A3A41" w:rsidRDefault="002A3A41" w:rsidP="002A3A41">
      <w:pPr>
        <w:autoSpaceDE w:val="0"/>
        <w:autoSpaceDN w:val="0"/>
        <w:adjustRightInd w:val="0"/>
        <w:spacing w:line="240" w:lineRule="auto"/>
        <w:rPr>
          <w:rFonts w:ascii="Times New Roman" w:hAnsi="Times New Roman"/>
          <w:sz w:val="24"/>
          <w:szCs w:val="24"/>
        </w:rPr>
      </w:pPr>
      <w:r w:rsidRPr="002A3A41">
        <w:rPr>
          <w:rFonts w:ascii="Times New Roman" w:hAnsi="Times New Roman"/>
          <w:sz w:val="24"/>
          <w:szCs w:val="24"/>
        </w:rPr>
        <w:t xml:space="preserve">TAPIA, Jorge R. Biton. Conselho de Desenvolvimento Econômico e Social: os desafios da construção institucional. In: DINIZ, Eli (org.). </w:t>
      </w:r>
      <w:r w:rsidRPr="002A3A41">
        <w:rPr>
          <w:rFonts w:ascii="Times New Roman" w:hAnsi="Times New Roman"/>
          <w:i/>
          <w:sz w:val="24"/>
          <w:szCs w:val="24"/>
        </w:rPr>
        <w:t>Globalização, Estado e desenvolvimento</w:t>
      </w:r>
      <w:r w:rsidRPr="002A3A41">
        <w:rPr>
          <w:rFonts w:ascii="Times New Roman" w:hAnsi="Times New Roman"/>
          <w:sz w:val="24"/>
          <w:szCs w:val="24"/>
        </w:rPr>
        <w:t>: dilemas do Brasil no novo milênio. RJ: FGV, 2007.</w:t>
      </w:r>
    </w:p>
    <w:p w:rsidR="002A3A41" w:rsidRPr="002A3A41" w:rsidRDefault="00F86EA0" w:rsidP="002A3A41">
      <w:pPr>
        <w:rPr>
          <w:rFonts w:ascii="Times New Roman" w:hAnsi="Times New Roman"/>
          <w:sz w:val="24"/>
          <w:szCs w:val="24"/>
        </w:rPr>
      </w:pPr>
      <w:r>
        <w:rPr>
          <w:rFonts w:ascii="Times New Roman" w:hAnsi="Times New Roman"/>
          <w:sz w:val="24"/>
          <w:szCs w:val="24"/>
        </w:rPr>
        <w:t>_______.,</w:t>
      </w:r>
      <w:r w:rsidR="00DD31B9">
        <w:rPr>
          <w:rFonts w:ascii="Times New Roman" w:hAnsi="Times New Roman"/>
          <w:sz w:val="24"/>
          <w:szCs w:val="24"/>
        </w:rPr>
        <w:t xml:space="preserve"> GOMES,</w:t>
      </w:r>
      <w:r w:rsidR="002A3A41" w:rsidRPr="002A3A41">
        <w:rPr>
          <w:rFonts w:ascii="Times New Roman" w:hAnsi="Times New Roman"/>
          <w:sz w:val="24"/>
          <w:szCs w:val="24"/>
        </w:rPr>
        <w:t xml:space="preserve"> Eduardo R. e CONDÉ, Eduardo Salomão (orgs.). </w:t>
      </w:r>
      <w:r w:rsidR="002A3A41" w:rsidRPr="002A3A41">
        <w:rPr>
          <w:rFonts w:ascii="Times New Roman" w:hAnsi="Times New Roman"/>
          <w:i/>
          <w:sz w:val="24"/>
          <w:szCs w:val="24"/>
        </w:rPr>
        <w:t>Pactos sociais, globalização e integração regional.</w:t>
      </w:r>
      <w:r w:rsidR="002A3A41" w:rsidRPr="002A3A41">
        <w:rPr>
          <w:rFonts w:ascii="Times New Roman" w:hAnsi="Times New Roman"/>
          <w:sz w:val="24"/>
          <w:szCs w:val="24"/>
        </w:rPr>
        <w:t xml:space="preserve"> Campinas, SP: Editora da Unicamp, 2008.</w:t>
      </w:r>
    </w:p>
    <w:p w:rsidR="002A3A41" w:rsidRPr="002A3A41" w:rsidRDefault="002A3A41" w:rsidP="002A3A41">
      <w:pPr>
        <w:autoSpaceDE w:val="0"/>
        <w:autoSpaceDN w:val="0"/>
        <w:adjustRightInd w:val="0"/>
        <w:spacing w:line="240" w:lineRule="auto"/>
        <w:rPr>
          <w:rFonts w:ascii="Times New Roman" w:hAnsi="Times New Roman"/>
          <w:sz w:val="24"/>
          <w:szCs w:val="24"/>
        </w:rPr>
      </w:pPr>
      <w:r w:rsidRPr="002A3A41">
        <w:rPr>
          <w:rFonts w:ascii="Times New Roman" w:hAnsi="Times New Roman"/>
          <w:sz w:val="24"/>
          <w:szCs w:val="24"/>
        </w:rPr>
        <w:t xml:space="preserve">TEXEIRA, Rodrigo Alves e PINTO, Eduardo Costa. </w:t>
      </w:r>
      <w:r w:rsidRPr="002A3A41">
        <w:rPr>
          <w:rFonts w:ascii="Times New Roman" w:hAnsi="Times New Roman"/>
          <w:i/>
          <w:sz w:val="24"/>
          <w:szCs w:val="24"/>
        </w:rPr>
        <w:t>A economia dos governos FHC, Lula e Dilma</w:t>
      </w:r>
      <w:r w:rsidRPr="002A3A41">
        <w:rPr>
          <w:rFonts w:ascii="Times New Roman" w:hAnsi="Times New Roman"/>
          <w:sz w:val="24"/>
          <w:szCs w:val="24"/>
        </w:rPr>
        <w:t>: dominância financeira, bloco no poder e desenvolvimento econômico. Campinas, Revista Economia e Sociedade, v.21, dez. 2012.</w:t>
      </w:r>
    </w:p>
    <w:p w:rsidR="002A3A41" w:rsidRPr="002A3A41" w:rsidRDefault="002A3A41" w:rsidP="002A3A41">
      <w:pPr>
        <w:spacing w:line="240" w:lineRule="auto"/>
        <w:jc w:val="both"/>
        <w:rPr>
          <w:rFonts w:ascii="Times New Roman" w:hAnsi="Times New Roman"/>
          <w:sz w:val="24"/>
          <w:szCs w:val="24"/>
        </w:rPr>
      </w:pPr>
      <w:r w:rsidRPr="002A3A41">
        <w:rPr>
          <w:rFonts w:ascii="Times New Roman" w:hAnsi="Times New Roman"/>
          <w:sz w:val="24"/>
          <w:szCs w:val="24"/>
        </w:rPr>
        <w:t xml:space="preserve">TEIXEIRA, Gabriel da Silva. </w:t>
      </w:r>
      <w:r w:rsidRPr="002A3A41">
        <w:rPr>
          <w:rFonts w:ascii="Times New Roman" w:hAnsi="Times New Roman"/>
          <w:i/>
          <w:sz w:val="24"/>
          <w:szCs w:val="24"/>
        </w:rPr>
        <w:t>Desafios da participação social no agronegócio sucroalcooleiro</w:t>
      </w:r>
      <w:r w:rsidRPr="002A3A41">
        <w:rPr>
          <w:rFonts w:ascii="Times New Roman" w:hAnsi="Times New Roman"/>
          <w:sz w:val="24"/>
          <w:szCs w:val="24"/>
        </w:rPr>
        <w:t>. Ruris – Revista do Centro de Estudos Rurais, Unicamp, vol. 8, nº 1, 2014.</w:t>
      </w:r>
    </w:p>
    <w:p w:rsidR="002A3A41" w:rsidRPr="002A3A41" w:rsidRDefault="002A3A41" w:rsidP="00DA32BB">
      <w:pPr>
        <w:autoSpaceDE w:val="0"/>
        <w:autoSpaceDN w:val="0"/>
        <w:adjustRightInd w:val="0"/>
        <w:spacing w:after="0" w:line="240" w:lineRule="auto"/>
        <w:rPr>
          <w:rFonts w:ascii="Times New Roman" w:hAnsi="Times New Roman"/>
          <w:sz w:val="24"/>
          <w:szCs w:val="24"/>
        </w:rPr>
      </w:pPr>
      <w:r w:rsidRPr="002A3A41">
        <w:rPr>
          <w:rFonts w:ascii="Times New Roman" w:hAnsi="Times New Roman"/>
          <w:sz w:val="24"/>
          <w:szCs w:val="24"/>
        </w:rPr>
        <w:t xml:space="preserve">_________. </w:t>
      </w:r>
      <w:r w:rsidRPr="002A3A41">
        <w:rPr>
          <w:rFonts w:ascii="Times New Roman" w:hAnsi="Times New Roman"/>
          <w:i/>
          <w:sz w:val="24"/>
          <w:szCs w:val="24"/>
        </w:rPr>
        <w:t>Trabalho, tripartismo e processos sociais</w:t>
      </w:r>
      <w:r w:rsidRPr="002A3A41">
        <w:rPr>
          <w:rFonts w:ascii="Times New Roman" w:hAnsi="Times New Roman"/>
          <w:sz w:val="24"/>
          <w:szCs w:val="24"/>
        </w:rPr>
        <w:t>: contribuições sobre o Compromisso Nacional da Cana de Açúcar. Dissertação (mestrado), CPDA,  UFRRJ: 2013.</w:t>
      </w:r>
      <w:r w:rsidRPr="002A3A41">
        <w:rPr>
          <w:rFonts w:ascii="Times New Roman" w:hAnsi="Times New Roman"/>
          <w:sz w:val="24"/>
          <w:szCs w:val="24"/>
        </w:rPr>
        <w:cr/>
      </w:r>
    </w:p>
    <w:p w:rsidR="002A3A41" w:rsidRPr="002A3A41" w:rsidRDefault="002A3A41" w:rsidP="002A3A41">
      <w:pPr>
        <w:autoSpaceDE w:val="0"/>
        <w:autoSpaceDN w:val="0"/>
        <w:adjustRightInd w:val="0"/>
        <w:spacing w:line="240" w:lineRule="auto"/>
        <w:rPr>
          <w:rFonts w:ascii="Times New Roman" w:hAnsi="Times New Roman"/>
          <w:sz w:val="24"/>
          <w:szCs w:val="24"/>
        </w:rPr>
      </w:pPr>
      <w:r w:rsidRPr="002A3A41">
        <w:rPr>
          <w:rFonts w:ascii="Times New Roman" w:hAnsi="Times New Roman"/>
          <w:sz w:val="24"/>
          <w:szCs w:val="24"/>
        </w:rPr>
        <w:t xml:space="preserve">VERÍSSIMO, Michele Polline e XAVIER, Clésio Lourenço. </w:t>
      </w:r>
      <w:r w:rsidRPr="002A3A41">
        <w:rPr>
          <w:rFonts w:ascii="Times New Roman" w:hAnsi="Times New Roman"/>
          <w:i/>
          <w:sz w:val="24"/>
          <w:szCs w:val="24"/>
        </w:rPr>
        <w:t xml:space="preserve">Tipo de commodities, taxa de câmbio e crescimento econômico: </w:t>
      </w:r>
      <w:r w:rsidRPr="002A3A41">
        <w:rPr>
          <w:rFonts w:ascii="Times New Roman" w:hAnsi="Times New Roman"/>
          <w:sz w:val="24"/>
          <w:szCs w:val="24"/>
        </w:rPr>
        <w:t>evidências da maldição dos recursos naturais para o Brasil. Disponível em &lt;http://www.ie.ufu.br/node/394&gt;. Instituto de Economia da Universidade Federal de Uberlândia, 2012.</w:t>
      </w:r>
    </w:p>
    <w:p w:rsidR="002A3A41" w:rsidRPr="002A3A41" w:rsidRDefault="002A3A41" w:rsidP="002A3A41">
      <w:pPr>
        <w:autoSpaceDE w:val="0"/>
        <w:autoSpaceDN w:val="0"/>
        <w:adjustRightInd w:val="0"/>
        <w:spacing w:after="0" w:line="240" w:lineRule="auto"/>
        <w:rPr>
          <w:rFonts w:ascii="Times New Roman" w:hAnsi="Times New Roman"/>
          <w:sz w:val="24"/>
          <w:szCs w:val="24"/>
        </w:rPr>
      </w:pPr>
      <w:r w:rsidRPr="002A3A41">
        <w:rPr>
          <w:rFonts w:ascii="Times New Roman" w:hAnsi="Times New Roman"/>
          <w:sz w:val="24"/>
          <w:szCs w:val="24"/>
        </w:rPr>
        <w:t xml:space="preserve">VIZEU, Fábio e BIN, Daniel. </w:t>
      </w:r>
      <w:r w:rsidRPr="002A3A41">
        <w:rPr>
          <w:rFonts w:ascii="Times New Roman" w:hAnsi="Times New Roman"/>
          <w:i/>
          <w:sz w:val="24"/>
          <w:szCs w:val="24"/>
        </w:rPr>
        <w:t>Democracia deliberativa</w:t>
      </w:r>
      <w:r w:rsidRPr="002A3A41">
        <w:rPr>
          <w:rFonts w:ascii="Times New Roman" w:hAnsi="Times New Roman"/>
          <w:sz w:val="24"/>
          <w:szCs w:val="24"/>
        </w:rPr>
        <w:t>: leitura crítica do caso CDES à luz da teoria do discurso. Rio de Janeiro, Revista de Administração Pública, 42(1), 2008.  Disponível em &lt;http://bibliotecadigital.fgv.br/ojs/index.php/rap/article/</w:t>
      </w:r>
    </w:p>
    <w:p w:rsidR="002A3A41" w:rsidRPr="00C72E51" w:rsidRDefault="002A3A41" w:rsidP="002A3A41">
      <w:pPr>
        <w:autoSpaceDE w:val="0"/>
        <w:autoSpaceDN w:val="0"/>
        <w:adjustRightInd w:val="0"/>
        <w:spacing w:line="240" w:lineRule="auto"/>
        <w:rPr>
          <w:rFonts w:ascii="Times New Roman" w:hAnsi="Times New Roman"/>
          <w:sz w:val="24"/>
          <w:szCs w:val="24"/>
          <w:lang w:val="en-US"/>
        </w:rPr>
      </w:pPr>
      <w:r w:rsidRPr="00C72E51">
        <w:rPr>
          <w:rFonts w:ascii="Times New Roman" w:hAnsi="Times New Roman"/>
          <w:sz w:val="24"/>
          <w:szCs w:val="24"/>
          <w:lang w:val="en-US"/>
        </w:rPr>
        <w:t>viewFile/6626/5210&gt;. Acesso em 20/08/2014.</w:t>
      </w:r>
    </w:p>
    <w:p w:rsidR="002A3A41" w:rsidRPr="002A3A41" w:rsidRDefault="002A3A41" w:rsidP="002A3A41">
      <w:pPr>
        <w:autoSpaceDE w:val="0"/>
        <w:autoSpaceDN w:val="0"/>
        <w:adjustRightInd w:val="0"/>
        <w:spacing w:line="240" w:lineRule="auto"/>
        <w:rPr>
          <w:rFonts w:ascii="Times New Roman" w:hAnsi="Times New Roman"/>
          <w:sz w:val="24"/>
          <w:szCs w:val="24"/>
        </w:rPr>
      </w:pPr>
      <w:r w:rsidRPr="00C72E51">
        <w:rPr>
          <w:rFonts w:ascii="Times New Roman" w:hAnsi="Times New Roman"/>
          <w:sz w:val="24"/>
          <w:szCs w:val="24"/>
          <w:lang w:val="en-US"/>
        </w:rPr>
        <w:t xml:space="preserve">WOOD, Ellen Meiksins. </w:t>
      </w:r>
      <w:r w:rsidRPr="002A3A41">
        <w:rPr>
          <w:rFonts w:ascii="Times New Roman" w:hAnsi="Times New Roman"/>
          <w:i/>
          <w:sz w:val="24"/>
          <w:szCs w:val="24"/>
        </w:rPr>
        <w:t>Democracia contra capitalismo</w:t>
      </w:r>
      <w:r w:rsidRPr="002A3A41">
        <w:rPr>
          <w:rFonts w:ascii="Times New Roman" w:hAnsi="Times New Roman"/>
          <w:sz w:val="24"/>
          <w:szCs w:val="24"/>
        </w:rPr>
        <w:t>: a renovação do materialismo histórico. São Paulo, Boitempo, 2003.</w:t>
      </w:r>
    </w:p>
    <w:p w:rsidR="002A3A41" w:rsidRPr="002A3A41" w:rsidRDefault="002A3A41" w:rsidP="002A3A41">
      <w:pPr>
        <w:autoSpaceDE w:val="0"/>
        <w:autoSpaceDN w:val="0"/>
        <w:adjustRightInd w:val="0"/>
        <w:spacing w:line="240" w:lineRule="auto"/>
        <w:rPr>
          <w:rFonts w:ascii="Times New Roman" w:hAnsi="Times New Roman"/>
          <w:sz w:val="24"/>
          <w:szCs w:val="24"/>
        </w:rPr>
      </w:pPr>
      <w:r w:rsidRPr="002A3A41">
        <w:rPr>
          <w:rFonts w:ascii="Times New Roman" w:hAnsi="Times New Roman"/>
          <w:sz w:val="24"/>
          <w:szCs w:val="24"/>
        </w:rPr>
        <w:t xml:space="preserve">ZIBECHI, Raúl. </w:t>
      </w:r>
      <w:r w:rsidRPr="002A3A41">
        <w:rPr>
          <w:rFonts w:ascii="Times New Roman" w:hAnsi="Times New Roman"/>
          <w:i/>
          <w:sz w:val="24"/>
          <w:szCs w:val="24"/>
        </w:rPr>
        <w:t>Brasil potência</w:t>
      </w:r>
      <w:r w:rsidRPr="002A3A41">
        <w:rPr>
          <w:rFonts w:ascii="Times New Roman" w:hAnsi="Times New Roman"/>
          <w:sz w:val="24"/>
          <w:szCs w:val="24"/>
        </w:rPr>
        <w:t xml:space="preserve">: entre a integração regional e um novo imperialismo. RJ: Consequência, 2012. </w:t>
      </w:r>
    </w:p>
    <w:p w:rsidR="002A3A41" w:rsidRDefault="002A3A41" w:rsidP="002A3A41">
      <w:pPr>
        <w:pStyle w:val="Textodenotaderodap"/>
        <w:spacing w:after="240"/>
        <w:rPr>
          <w:rFonts w:ascii="Times New Roman" w:hAnsi="Times New Roman"/>
          <w:b/>
          <w:sz w:val="24"/>
          <w:szCs w:val="24"/>
        </w:rPr>
      </w:pPr>
    </w:p>
    <w:p w:rsidR="00F86EA0" w:rsidRPr="002A3A41" w:rsidRDefault="00F86EA0" w:rsidP="002A3A41">
      <w:pPr>
        <w:pStyle w:val="Textodenotaderodap"/>
        <w:spacing w:after="240"/>
        <w:rPr>
          <w:rFonts w:ascii="Times New Roman" w:hAnsi="Times New Roman"/>
          <w:b/>
          <w:sz w:val="24"/>
          <w:szCs w:val="24"/>
        </w:rPr>
      </w:pPr>
    </w:p>
    <w:p w:rsidR="002A3A41" w:rsidRPr="002A3A41" w:rsidRDefault="009422F3" w:rsidP="002A3A41">
      <w:pPr>
        <w:pStyle w:val="Textodenotaderodap"/>
        <w:spacing w:after="240"/>
        <w:rPr>
          <w:rFonts w:ascii="Times New Roman" w:hAnsi="Times New Roman"/>
          <w:b/>
          <w:sz w:val="24"/>
          <w:szCs w:val="24"/>
        </w:rPr>
      </w:pPr>
      <w:r>
        <w:rPr>
          <w:rFonts w:ascii="Times New Roman" w:hAnsi="Times New Roman"/>
          <w:b/>
          <w:sz w:val="24"/>
          <w:szCs w:val="24"/>
        </w:rPr>
        <w:t>FONTES:</w:t>
      </w:r>
    </w:p>
    <w:p w:rsidR="002A3A41" w:rsidRDefault="002A3A41" w:rsidP="002A3A41">
      <w:pPr>
        <w:pStyle w:val="Textodenotaderodap"/>
        <w:spacing w:after="240"/>
        <w:rPr>
          <w:rFonts w:ascii="Times New Roman" w:hAnsi="Times New Roman"/>
          <w:sz w:val="24"/>
          <w:szCs w:val="24"/>
        </w:rPr>
      </w:pPr>
      <w:r w:rsidRPr="002A3A41">
        <w:rPr>
          <w:rFonts w:ascii="Times New Roman" w:hAnsi="Times New Roman"/>
          <w:sz w:val="24"/>
          <w:szCs w:val="24"/>
        </w:rPr>
        <w:t xml:space="preserve">ABREU, Alzira Alves de (et al.). </w:t>
      </w:r>
      <w:r w:rsidRPr="002A3A41">
        <w:rPr>
          <w:rFonts w:ascii="Times New Roman" w:hAnsi="Times New Roman"/>
          <w:i/>
          <w:sz w:val="24"/>
          <w:szCs w:val="24"/>
        </w:rPr>
        <w:t>Dicionário Histórico-Biográfico Brasileiro pós-1930.</w:t>
      </w:r>
      <w:r w:rsidRPr="002A3A41">
        <w:rPr>
          <w:rFonts w:ascii="Times New Roman" w:hAnsi="Times New Roman"/>
          <w:sz w:val="24"/>
          <w:szCs w:val="24"/>
        </w:rPr>
        <w:t xml:space="preserve"> Ed. Rev. e atual. Rio de Janeiro: FGV, CPDOC, 2001. </w:t>
      </w: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 xml:space="preserve">BRASIL. Lei nº 10.683 de 28 de maio de 2003. Dispõe sobre a organização da Presidência da República e dos Ministérios e dá outras providências. </w:t>
      </w: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______. Decreto nº 4.744 de 16 de junho de 2003. Dispõe sobre a composição e funcionamento do Conselho de Desenvolvimento Econômico e Social – CDES e dá outras providências.</w:t>
      </w:r>
    </w:p>
    <w:p w:rsidR="002A3A41" w:rsidRPr="002A3A41" w:rsidRDefault="00271AFB" w:rsidP="002A3A41">
      <w:pPr>
        <w:rPr>
          <w:rFonts w:ascii="Times New Roman" w:hAnsi="Times New Roman"/>
          <w:sz w:val="24"/>
          <w:szCs w:val="24"/>
        </w:rPr>
      </w:pPr>
      <w:r>
        <w:rPr>
          <w:rFonts w:ascii="Times New Roman" w:hAnsi="Times New Roman"/>
          <w:sz w:val="24"/>
          <w:szCs w:val="24"/>
        </w:rPr>
        <w:t>_______</w:t>
      </w:r>
      <w:r w:rsidR="002A3A41" w:rsidRPr="002A3A41">
        <w:rPr>
          <w:rFonts w:ascii="Times New Roman" w:hAnsi="Times New Roman"/>
          <w:sz w:val="24"/>
          <w:szCs w:val="24"/>
        </w:rPr>
        <w:t xml:space="preserve">. Secretaria Especial do Conselho de Desenvolvimento Econômico e Social. </w:t>
      </w:r>
      <w:r w:rsidR="002A3A41" w:rsidRPr="002A3A41">
        <w:rPr>
          <w:rFonts w:ascii="Times New Roman" w:hAnsi="Times New Roman"/>
          <w:i/>
          <w:sz w:val="24"/>
          <w:szCs w:val="24"/>
        </w:rPr>
        <w:t xml:space="preserve">Regimento Interno. </w:t>
      </w:r>
      <w:r w:rsidR="002A3A41" w:rsidRPr="002A3A41">
        <w:rPr>
          <w:rFonts w:ascii="Times New Roman" w:hAnsi="Times New Roman"/>
          <w:sz w:val="24"/>
          <w:szCs w:val="24"/>
        </w:rPr>
        <w:t>Decreto de Regulamentação do art. 1º, § 1º, II da MP 103/2003. Brasília: s/d.</w:t>
      </w:r>
    </w:p>
    <w:p w:rsidR="002A3A41" w:rsidRPr="002A3A41" w:rsidRDefault="002A3A41" w:rsidP="002A3A41">
      <w:pPr>
        <w:autoSpaceDE w:val="0"/>
        <w:autoSpaceDN w:val="0"/>
        <w:adjustRightInd w:val="0"/>
        <w:spacing w:after="0" w:line="240" w:lineRule="auto"/>
        <w:rPr>
          <w:rFonts w:ascii="Times New Roman" w:hAnsi="Times New Roman"/>
          <w:sz w:val="24"/>
          <w:szCs w:val="24"/>
        </w:rPr>
      </w:pPr>
      <w:r w:rsidRPr="002A3A41">
        <w:rPr>
          <w:rFonts w:ascii="Times New Roman" w:hAnsi="Times New Roman"/>
          <w:sz w:val="24"/>
          <w:szCs w:val="24"/>
        </w:rPr>
        <w:t xml:space="preserve">_______. Secretaria Especial do Conselho de Desenvolvimento Econômico e Social. </w:t>
      </w:r>
      <w:r w:rsidRPr="002A3A41">
        <w:rPr>
          <w:rFonts w:ascii="Times New Roman" w:hAnsi="Times New Roman"/>
          <w:i/>
          <w:sz w:val="24"/>
          <w:szCs w:val="24"/>
        </w:rPr>
        <w:t xml:space="preserve">Termo de Referência para a Formação da Secretaria Especial do Conselho de Desenvolvimento Econômico e Social (SEDES) e do Conselho de Desenvolvimento Econômico e Social (CDES). </w:t>
      </w:r>
      <w:r w:rsidRPr="002A3A41">
        <w:rPr>
          <w:rFonts w:ascii="Times New Roman" w:hAnsi="Times New Roman"/>
          <w:sz w:val="24"/>
          <w:szCs w:val="24"/>
        </w:rPr>
        <w:t>Brasilia: 2003a.</w:t>
      </w:r>
    </w:p>
    <w:p w:rsidR="002A3A41" w:rsidRPr="002A3A41" w:rsidRDefault="002A3A41" w:rsidP="002A3A41">
      <w:pPr>
        <w:autoSpaceDE w:val="0"/>
        <w:autoSpaceDN w:val="0"/>
        <w:adjustRightInd w:val="0"/>
        <w:spacing w:after="0" w:line="240" w:lineRule="auto"/>
        <w:rPr>
          <w:rFonts w:ascii="Times New Roman" w:hAnsi="Times New Roman"/>
          <w:sz w:val="24"/>
          <w:szCs w:val="24"/>
        </w:rPr>
      </w:pPr>
    </w:p>
    <w:p w:rsidR="002A3A41" w:rsidRPr="002A3A41" w:rsidRDefault="002A3A41" w:rsidP="002A3A41">
      <w:pPr>
        <w:autoSpaceDE w:val="0"/>
        <w:autoSpaceDN w:val="0"/>
        <w:adjustRightInd w:val="0"/>
        <w:spacing w:after="0" w:line="240" w:lineRule="auto"/>
        <w:rPr>
          <w:rFonts w:ascii="Times New Roman" w:hAnsi="Times New Roman"/>
          <w:sz w:val="24"/>
          <w:szCs w:val="24"/>
        </w:rPr>
      </w:pPr>
      <w:r w:rsidRPr="002A3A41">
        <w:rPr>
          <w:rFonts w:ascii="Times New Roman" w:hAnsi="Times New Roman"/>
          <w:sz w:val="24"/>
          <w:szCs w:val="24"/>
        </w:rPr>
        <w:t xml:space="preserve">_______. Secretaria Especial do Conselho de Desenvolvimento Econômico e Social. </w:t>
      </w:r>
      <w:r w:rsidRPr="002A3A41">
        <w:rPr>
          <w:rFonts w:ascii="Times New Roman" w:hAnsi="Times New Roman"/>
          <w:i/>
          <w:sz w:val="24"/>
          <w:szCs w:val="24"/>
        </w:rPr>
        <w:t>Relatório Consolidado da Reforma Sindical e Trabalhista.</w:t>
      </w:r>
      <w:r w:rsidRPr="002A3A41">
        <w:rPr>
          <w:rFonts w:ascii="Times New Roman" w:hAnsi="Times New Roman"/>
          <w:sz w:val="24"/>
          <w:szCs w:val="24"/>
        </w:rPr>
        <w:t xml:space="preserve"> Brasília, 2003b.</w:t>
      </w:r>
    </w:p>
    <w:p w:rsidR="002A3A41" w:rsidRPr="002A3A41" w:rsidRDefault="002A3A41" w:rsidP="002A3A41">
      <w:pPr>
        <w:spacing w:before="240" w:line="240" w:lineRule="auto"/>
        <w:rPr>
          <w:rFonts w:ascii="Times New Roman" w:hAnsi="Times New Roman"/>
          <w:sz w:val="24"/>
          <w:szCs w:val="24"/>
        </w:rPr>
      </w:pPr>
      <w:r w:rsidRPr="002A3A41">
        <w:rPr>
          <w:rFonts w:ascii="Times New Roman" w:hAnsi="Times New Roman"/>
          <w:sz w:val="24"/>
          <w:szCs w:val="24"/>
        </w:rPr>
        <w:t xml:space="preserve">_______. (2003c), </w:t>
      </w:r>
      <w:r w:rsidRPr="002A3A41">
        <w:rPr>
          <w:rFonts w:ascii="Times New Roman" w:hAnsi="Times New Roman"/>
          <w:i/>
          <w:sz w:val="24"/>
          <w:szCs w:val="24"/>
        </w:rPr>
        <w:t>Discurso do presidente da República, Luiz Inácio Lula da Silva, na cerimônia de instalação do Conselho de Desenvolvimento Econômico e Social</w:t>
      </w:r>
      <w:r w:rsidRPr="002A3A41">
        <w:rPr>
          <w:rFonts w:ascii="Times New Roman" w:hAnsi="Times New Roman"/>
          <w:sz w:val="24"/>
          <w:szCs w:val="24"/>
        </w:rPr>
        <w:t>. Presidência da República – Secretaria de Imprensa e Divulgação.</w:t>
      </w: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 xml:space="preserve">______. Secretaria de Relações Institucionais. Secretaria do Conselho de Desenvolvimento Econômico e Social. </w:t>
      </w:r>
      <w:r w:rsidRPr="002A3A41">
        <w:rPr>
          <w:rFonts w:ascii="Times New Roman" w:hAnsi="Times New Roman"/>
          <w:i/>
          <w:sz w:val="24"/>
          <w:szCs w:val="24"/>
        </w:rPr>
        <w:t>Atas das Reuniões Plenárias do Conselho de Desenvolvimento Econômico e Social da Presidência da República</w:t>
      </w:r>
      <w:r w:rsidRPr="002A3A41">
        <w:rPr>
          <w:rFonts w:ascii="Times New Roman" w:hAnsi="Times New Roman"/>
          <w:sz w:val="24"/>
          <w:szCs w:val="24"/>
        </w:rPr>
        <w:t xml:space="preserve"> – CDES/PR.</w:t>
      </w:r>
    </w:p>
    <w:p w:rsidR="002A3A41" w:rsidRPr="002A3A41" w:rsidRDefault="002A3A41" w:rsidP="002A3A41">
      <w:pPr>
        <w:spacing w:before="240" w:line="240" w:lineRule="auto"/>
        <w:rPr>
          <w:rFonts w:ascii="Times New Roman" w:hAnsi="Times New Roman"/>
          <w:sz w:val="24"/>
          <w:szCs w:val="24"/>
        </w:rPr>
      </w:pPr>
      <w:r w:rsidRPr="002A3A41">
        <w:rPr>
          <w:rFonts w:ascii="Times New Roman" w:hAnsi="Times New Roman"/>
          <w:sz w:val="24"/>
          <w:szCs w:val="24"/>
        </w:rPr>
        <w:t xml:space="preserve">_______. Secretaria de Relações Institucionais. Secretaria do Conselho de Desenvolvimento Econômico e Social. </w:t>
      </w:r>
      <w:r w:rsidRPr="002A3A41">
        <w:rPr>
          <w:rFonts w:ascii="Times New Roman" w:hAnsi="Times New Roman"/>
          <w:i/>
          <w:sz w:val="24"/>
          <w:szCs w:val="24"/>
        </w:rPr>
        <w:t>Cartas de Concertação.</w:t>
      </w:r>
      <w:r w:rsidRPr="002A3A41">
        <w:rPr>
          <w:rFonts w:ascii="Times New Roman" w:hAnsi="Times New Roman"/>
          <w:sz w:val="24"/>
          <w:szCs w:val="24"/>
        </w:rPr>
        <w:t xml:space="preserve"> Brasília: Presidência da República, CDES, s/d.</w:t>
      </w: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______. Secretaria de Relações Institucionais. Secretaria do Conselho de Desenvolvimento Econômico e Social.</w:t>
      </w:r>
      <w:r w:rsidRPr="002A3A41">
        <w:rPr>
          <w:rFonts w:ascii="Times New Roman" w:hAnsi="Times New Roman"/>
          <w:i/>
          <w:sz w:val="24"/>
          <w:szCs w:val="24"/>
        </w:rPr>
        <w:t xml:space="preserve"> Relatório do GT Micro e Pequenas Empresas, Autogestão e Informalidade.</w:t>
      </w:r>
      <w:r w:rsidRPr="002A3A41">
        <w:rPr>
          <w:rFonts w:ascii="Times New Roman" w:hAnsi="Times New Roman"/>
          <w:sz w:val="24"/>
          <w:szCs w:val="24"/>
        </w:rPr>
        <w:t xml:space="preserve"> Brasília: s/d.</w:t>
      </w: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 xml:space="preserve">______. Secretaria de Relações Institucionais. Secretaria do Conselho de Desenvolvimento Econômico e Social. </w:t>
      </w:r>
      <w:r w:rsidRPr="002A3A41">
        <w:rPr>
          <w:rFonts w:ascii="Times New Roman" w:hAnsi="Times New Roman"/>
          <w:i/>
          <w:sz w:val="24"/>
          <w:szCs w:val="24"/>
        </w:rPr>
        <w:t>Termo de Referência</w:t>
      </w:r>
      <w:r w:rsidRPr="002A3A41">
        <w:rPr>
          <w:rFonts w:ascii="Times New Roman" w:hAnsi="Times New Roman"/>
          <w:sz w:val="24"/>
          <w:szCs w:val="24"/>
        </w:rPr>
        <w:t>. Reuniões de Monitoramento da Crise Econômica Internacional. Brasília: s/d.</w:t>
      </w:r>
    </w:p>
    <w:p w:rsidR="002A3A41" w:rsidRPr="002A3A41" w:rsidRDefault="002A3A41" w:rsidP="002A3A41">
      <w:pPr>
        <w:autoSpaceDE w:val="0"/>
        <w:autoSpaceDN w:val="0"/>
        <w:adjustRightInd w:val="0"/>
        <w:spacing w:line="240" w:lineRule="auto"/>
        <w:rPr>
          <w:rFonts w:ascii="Times New Roman" w:hAnsi="Times New Roman"/>
          <w:sz w:val="24"/>
          <w:szCs w:val="24"/>
        </w:rPr>
      </w:pPr>
      <w:r w:rsidRPr="002A3A41">
        <w:rPr>
          <w:rFonts w:ascii="Times New Roman" w:hAnsi="Times New Roman"/>
          <w:sz w:val="24"/>
          <w:szCs w:val="24"/>
        </w:rPr>
        <w:t xml:space="preserve">______. Secretaria de Relações Institucionais. Secretaria do Conselho de Desenvolvimento Econômico e Social. </w:t>
      </w:r>
      <w:r w:rsidRPr="002A3A41">
        <w:rPr>
          <w:rFonts w:ascii="Times New Roman" w:hAnsi="Times New Roman"/>
          <w:i/>
          <w:sz w:val="24"/>
          <w:szCs w:val="24"/>
        </w:rPr>
        <w:t>Mesa Redonda</w:t>
      </w:r>
      <w:r w:rsidRPr="002A3A41">
        <w:rPr>
          <w:rFonts w:ascii="Times New Roman" w:hAnsi="Times New Roman"/>
          <w:sz w:val="24"/>
          <w:szCs w:val="24"/>
        </w:rPr>
        <w:t xml:space="preserve">: Diálogo Social – Alavanca para o Desenvolvimento. Brasília: Publicação Assessoria de Comunicação Social – SEDES/PR, 2004a. </w:t>
      </w:r>
    </w:p>
    <w:p w:rsidR="002A3A41" w:rsidRPr="002A3A41" w:rsidRDefault="002A3A41" w:rsidP="002A3A41">
      <w:pPr>
        <w:autoSpaceDE w:val="0"/>
        <w:autoSpaceDN w:val="0"/>
        <w:adjustRightInd w:val="0"/>
        <w:spacing w:line="240" w:lineRule="auto"/>
        <w:rPr>
          <w:rFonts w:ascii="Times New Roman" w:hAnsi="Times New Roman"/>
          <w:sz w:val="24"/>
          <w:szCs w:val="24"/>
        </w:rPr>
      </w:pPr>
      <w:r w:rsidRPr="002A3A41">
        <w:rPr>
          <w:rFonts w:ascii="Times New Roman" w:hAnsi="Times New Roman"/>
          <w:sz w:val="24"/>
          <w:szCs w:val="24"/>
        </w:rPr>
        <w:t xml:space="preserve">______. Secretaria de Relações Institucionais. Secretaria do Conselho de Desenvolvimento Econômico e Social. </w:t>
      </w:r>
      <w:r w:rsidRPr="002A3A41">
        <w:rPr>
          <w:rFonts w:ascii="Times New Roman" w:hAnsi="Times New Roman"/>
          <w:i/>
          <w:sz w:val="24"/>
          <w:szCs w:val="24"/>
        </w:rPr>
        <w:t xml:space="preserve">O Conselho de Desenvolvimento Econômico e Social – </w:t>
      </w:r>
      <w:r w:rsidRPr="002A3A41">
        <w:rPr>
          <w:rFonts w:ascii="Times New Roman" w:hAnsi="Times New Roman"/>
          <w:sz w:val="24"/>
          <w:szCs w:val="24"/>
        </w:rPr>
        <w:t>Brasil: Versão Preliminar. Brasília: 2004b.</w:t>
      </w: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______. Secretaria de Relações Institucionais. Secretaria do Conselho de Desenvolvimento Econômico e Social.</w:t>
      </w:r>
      <w:r w:rsidRPr="002A3A41">
        <w:rPr>
          <w:rFonts w:ascii="Times New Roman" w:hAnsi="Times New Roman"/>
          <w:i/>
          <w:sz w:val="24"/>
          <w:szCs w:val="24"/>
        </w:rPr>
        <w:t xml:space="preserve"> Proposta de Criação do Observatório da Equidade</w:t>
      </w:r>
      <w:r w:rsidRPr="002A3A41">
        <w:rPr>
          <w:rFonts w:ascii="Times New Roman" w:hAnsi="Times New Roman"/>
          <w:sz w:val="24"/>
          <w:szCs w:val="24"/>
        </w:rPr>
        <w:t>. Brasília, 2005. Disponível em &lt;http://www.cdes.gov.br/grupo/189/ga-politicas-sociais.html&gt;.</w:t>
      </w: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 xml:space="preserve">______. Secretaria de Relações Internacionais. Conselho de Desenvolvimento Econômico e Social. </w:t>
      </w:r>
      <w:r w:rsidRPr="002A3A41">
        <w:rPr>
          <w:rFonts w:ascii="Times New Roman" w:hAnsi="Times New Roman"/>
          <w:i/>
          <w:sz w:val="24"/>
          <w:szCs w:val="24"/>
        </w:rPr>
        <w:t>Moção ao Presidente da República sobre a composição do Conselho Monetário Nacional</w:t>
      </w:r>
      <w:r w:rsidRPr="002A3A41">
        <w:rPr>
          <w:rFonts w:ascii="Times New Roman" w:hAnsi="Times New Roman"/>
          <w:sz w:val="24"/>
          <w:szCs w:val="24"/>
        </w:rPr>
        <w:t>. Brasília: 2005b.</w:t>
      </w:r>
    </w:p>
    <w:p w:rsidR="002A3A41" w:rsidRPr="002A3A41" w:rsidRDefault="002A3A41" w:rsidP="002A3A41">
      <w:pPr>
        <w:autoSpaceDE w:val="0"/>
        <w:autoSpaceDN w:val="0"/>
        <w:adjustRightInd w:val="0"/>
        <w:spacing w:before="240" w:line="240" w:lineRule="auto"/>
        <w:rPr>
          <w:rFonts w:ascii="Times New Roman" w:hAnsi="Times New Roman"/>
          <w:sz w:val="24"/>
          <w:szCs w:val="24"/>
        </w:rPr>
      </w:pPr>
      <w:r w:rsidRPr="002A3A41">
        <w:rPr>
          <w:rFonts w:ascii="Times New Roman" w:hAnsi="Times New Roman"/>
          <w:sz w:val="24"/>
          <w:szCs w:val="24"/>
        </w:rPr>
        <w:t>______ .  Secretaria de Relações Institucionais. Secretaria do Conselho de Desenvolvimento Econômico e Social.</w:t>
      </w:r>
      <w:r w:rsidRPr="002A3A41">
        <w:rPr>
          <w:rFonts w:ascii="Times New Roman" w:hAnsi="Times New Roman"/>
          <w:i/>
          <w:sz w:val="24"/>
          <w:szCs w:val="24"/>
        </w:rPr>
        <w:t xml:space="preserve"> Enunciados estratégicos para o desenvolvimento</w:t>
      </w:r>
      <w:r w:rsidRPr="002A3A41">
        <w:rPr>
          <w:rFonts w:ascii="Times New Roman" w:hAnsi="Times New Roman"/>
          <w:sz w:val="24"/>
          <w:szCs w:val="24"/>
        </w:rPr>
        <w:t>. Brasília: Presidência da República, CDES, 2006.</w:t>
      </w:r>
    </w:p>
    <w:p w:rsidR="002A3A41" w:rsidRPr="002A3A41" w:rsidRDefault="002A3A41" w:rsidP="002A3A41">
      <w:pPr>
        <w:autoSpaceDE w:val="0"/>
        <w:autoSpaceDN w:val="0"/>
        <w:adjustRightInd w:val="0"/>
        <w:spacing w:before="240" w:line="240" w:lineRule="auto"/>
        <w:rPr>
          <w:rFonts w:ascii="Times New Roman" w:hAnsi="Times New Roman"/>
          <w:sz w:val="24"/>
          <w:szCs w:val="24"/>
        </w:rPr>
      </w:pPr>
      <w:r w:rsidRPr="002A3A41">
        <w:rPr>
          <w:rFonts w:ascii="Times New Roman" w:hAnsi="Times New Roman"/>
          <w:sz w:val="24"/>
          <w:szCs w:val="24"/>
        </w:rPr>
        <w:t xml:space="preserve">______. Secretaria de Relações Institucionais. Secretaria do Conselho de Desenvolvimento Econômico e Social. </w:t>
      </w:r>
      <w:r w:rsidRPr="002A3A41">
        <w:rPr>
          <w:rFonts w:ascii="Times New Roman" w:hAnsi="Times New Roman"/>
          <w:i/>
          <w:sz w:val="24"/>
          <w:szCs w:val="24"/>
        </w:rPr>
        <w:t>Relatório do Grupo de Trabalho Reforma Tributária</w:t>
      </w:r>
      <w:r w:rsidRPr="002A3A41">
        <w:rPr>
          <w:rFonts w:ascii="Times New Roman" w:hAnsi="Times New Roman"/>
          <w:sz w:val="24"/>
          <w:szCs w:val="24"/>
        </w:rPr>
        <w:t>. Brasília, Presidência da República, CDES, 2007.</w:t>
      </w:r>
    </w:p>
    <w:p w:rsidR="002A3A41" w:rsidRPr="002A3A41" w:rsidRDefault="002A3A41" w:rsidP="002A3A41">
      <w:pPr>
        <w:autoSpaceDE w:val="0"/>
        <w:autoSpaceDN w:val="0"/>
        <w:adjustRightInd w:val="0"/>
        <w:spacing w:before="240" w:line="240" w:lineRule="auto"/>
        <w:rPr>
          <w:rFonts w:ascii="Times New Roman" w:hAnsi="Times New Roman"/>
          <w:sz w:val="24"/>
          <w:szCs w:val="24"/>
        </w:rPr>
      </w:pPr>
      <w:r w:rsidRPr="002A3A41">
        <w:rPr>
          <w:rFonts w:ascii="Times New Roman" w:hAnsi="Times New Roman"/>
          <w:sz w:val="24"/>
          <w:szCs w:val="24"/>
        </w:rPr>
        <w:t xml:space="preserve">________. Conselho de Desenvolvimento Econômico e Social (Brasil) (CEDES). </w:t>
      </w:r>
      <w:r w:rsidRPr="002A3A41">
        <w:rPr>
          <w:rFonts w:ascii="Times New Roman" w:hAnsi="Times New Roman"/>
          <w:i/>
          <w:sz w:val="24"/>
          <w:szCs w:val="24"/>
        </w:rPr>
        <w:t>Relatório de Gestão – 2007</w:t>
      </w:r>
      <w:r w:rsidRPr="002A3A41">
        <w:rPr>
          <w:rFonts w:ascii="Times New Roman" w:hAnsi="Times New Roman"/>
          <w:sz w:val="24"/>
          <w:szCs w:val="24"/>
        </w:rPr>
        <w:t xml:space="preserve"> / Conselho de Desenvolvimento Econômico e Social. – Brasília: Presidência da República, Conselho de Desenvolvimento Econômico e Social, 2007</w:t>
      </w:r>
      <w:r w:rsidRPr="002A3A41">
        <w:rPr>
          <w:rFonts w:ascii="Times New Roman" w:hAnsi="Times New Roman"/>
        </w:rPr>
        <w:t>.</w:t>
      </w: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______. Secretaria de Relações Institucionais. Secretaria do Conselho de Desenvolvimento Econômico e Social.</w:t>
      </w:r>
      <w:r w:rsidRPr="002A3A41">
        <w:rPr>
          <w:rFonts w:ascii="Times New Roman" w:hAnsi="Times New Roman"/>
          <w:i/>
          <w:sz w:val="24"/>
          <w:szCs w:val="24"/>
        </w:rPr>
        <w:t xml:space="preserve"> A Governança do CDES e a contribuição do CDES para a Governança do processo de desenvolvimento do Brasil</w:t>
      </w:r>
      <w:r w:rsidRPr="002A3A41">
        <w:rPr>
          <w:rFonts w:ascii="Times New Roman" w:hAnsi="Times New Roman"/>
          <w:sz w:val="24"/>
          <w:szCs w:val="24"/>
        </w:rPr>
        <w:t>. Termo de Referência Aprovado na 25ª Reunião do Pleno do CDES, realizada em Brasília, dia 01 de abril de 2008.</w:t>
      </w:r>
    </w:p>
    <w:p w:rsidR="002A3A41" w:rsidRPr="002A3A41" w:rsidRDefault="002A3A41" w:rsidP="002A3A41">
      <w:pPr>
        <w:autoSpaceDE w:val="0"/>
        <w:autoSpaceDN w:val="0"/>
        <w:adjustRightInd w:val="0"/>
        <w:spacing w:line="240" w:lineRule="auto"/>
        <w:jc w:val="both"/>
        <w:rPr>
          <w:rFonts w:ascii="Times New Roman" w:hAnsi="Times New Roman"/>
          <w:sz w:val="24"/>
          <w:szCs w:val="24"/>
        </w:rPr>
      </w:pPr>
      <w:r w:rsidRPr="002A3A41">
        <w:rPr>
          <w:rFonts w:ascii="Times New Roman" w:hAnsi="Times New Roman"/>
          <w:sz w:val="24"/>
          <w:szCs w:val="24"/>
        </w:rPr>
        <w:t xml:space="preserve">________. Presidência da República. Secretaria de Relações Institucionais. </w:t>
      </w:r>
      <w:r w:rsidRPr="002A3A41">
        <w:rPr>
          <w:rFonts w:ascii="Times New Roman" w:hAnsi="Times New Roman"/>
          <w:i/>
          <w:sz w:val="24"/>
          <w:szCs w:val="24"/>
        </w:rPr>
        <w:t xml:space="preserve">CDES e a crise financeira internacional – novembro de 2008, </w:t>
      </w:r>
      <w:r w:rsidRPr="002A3A41">
        <w:rPr>
          <w:rFonts w:ascii="Times New Roman" w:hAnsi="Times New Roman"/>
          <w:sz w:val="24"/>
          <w:szCs w:val="24"/>
        </w:rPr>
        <w:t>(2008b).</w:t>
      </w:r>
    </w:p>
    <w:p w:rsidR="002A3A41" w:rsidRPr="002A3A41" w:rsidRDefault="002A3A41" w:rsidP="002A3A41">
      <w:pPr>
        <w:autoSpaceDE w:val="0"/>
        <w:autoSpaceDN w:val="0"/>
        <w:adjustRightInd w:val="0"/>
        <w:spacing w:line="240" w:lineRule="auto"/>
        <w:jc w:val="both"/>
        <w:rPr>
          <w:rFonts w:ascii="Times New Roman" w:hAnsi="Times New Roman"/>
          <w:sz w:val="24"/>
          <w:szCs w:val="24"/>
        </w:rPr>
      </w:pPr>
      <w:r w:rsidRPr="002A3A41">
        <w:rPr>
          <w:rFonts w:ascii="Times New Roman" w:hAnsi="Times New Roman"/>
          <w:sz w:val="24"/>
          <w:szCs w:val="24"/>
        </w:rPr>
        <w:t xml:space="preserve">_________. Presidência da República. Secretaria de Relações Institucionais. </w:t>
      </w:r>
      <w:r w:rsidRPr="002A3A41">
        <w:rPr>
          <w:rFonts w:ascii="Times New Roman" w:hAnsi="Times New Roman"/>
          <w:i/>
          <w:sz w:val="24"/>
          <w:szCs w:val="24"/>
        </w:rPr>
        <w:t xml:space="preserve">Parecer sobre Bioenergia e Desenvolvimento. </w:t>
      </w:r>
      <w:r w:rsidRPr="002A3A41">
        <w:rPr>
          <w:rFonts w:ascii="Times New Roman" w:hAnsi="Times New Roman"/>
          <w:sz w:val="24"/>
          <w:szCs w:val="24"/>
        </w:rPr>
        <w:t>2008c.</w:t>
      </w:r>
    </w:p>
    <w:p w:rsidR="002A3A41" w:rsidRPr="002A3A41" w:rsidRDefault="002A3A41" w:rsidP="002A3A41">
      <w:pPr>
        <w:autoSpaceDE w:val="0"/>
        <w:autoSpaceDN w:val="0"/>
        <w:adjustRightInd w:val="0"/>
        <w:spacing w:line="240" w:lineRule="auto"/>
        <w:jc w:val="both"/>
        <w:rPr>
          <w:rFonts w:ascii="Times New Roman" w:hAnsi="Times New Roman"/>
          <w:sz w:val="24"/>
          <w:szCs w:val="24"/>
        </w:rPr>
      </w:pPr>
      <w:r w:rsidRPr="002A3A41">
        <w:rPr>
          <w:rFonts w:ascii="Times New Roman" w:hAnsi="Times New Roman"/>
          <w:sz w:val="24"/>
          <w:szCs w:val="24"/>
        </w:rPr>
        <w:t xml:space="preserve">_______. Presidência da República. Secretaria de Relações Institucionais. </w:t>
      </w:r>
      <w:r w:rsidRPr="002A3A41">
        <w:rPr>
          <w:rFonts w:ascii="Times New Roman" w:hAnsi="Times New Roman"/>
          <w:i/>
          <w:sz w:val="24"/>
          <w:szCs w:val="24"/>
        </w:rPr>
        <w:t>97ª Conferência Internacional do Trabalho – OIT</w:t>
      </w:r>
      <w:r w:rsidRPr="002A3A41">
        <w:rPr>
          <w:rFonts w:ascii="Times New Roman" w:hAnsi="Times New Roman"/>
          <w:sz w:val="24"/>
          <w:szCs w:val="24"/>
        </w:rPr>
        <w:t>: Memória da Participação do CDES. 2008d.</w:t>
      </w:r>
    </w:p>
    <w:p w:rsidR="002A3A41" w:rsidRPr="002A3A41" w:rsidRDefault="002A3A41" w:rsidP="002A3A41">
      <w:pPr>
        <w:autoSpaceDE w:val="0"/>
        <w:autoSpaceDN w:val="0"/>
        <w:adjustRightInd w:val="0"/>
        <w:spacing w:line="240" w:lineRule="auto"/>
        <w:rPr>
          <w:rFonts w:ascii="Times New Roman" w:hAnsi="Times New Roman"/>
          <w:color w:val="231F20"/>
          <w:sz w:val="24"/>
          <w:szCs w:val="24"/>
        </w:rPr>
      </w:pPr>
      <w:r w:rsidRPr="002A3A41">
        <w:rPr>
          <w:rFonts w:ascii="Times New Roman" w:hAnsi="Times New Roman"/>
          <w:color w:val="231F20"/>
          <w:sz w:val="20"/>
          <w:szCs w:val="20"/>
        </w:rPr>
        <w:t>__</w:t>
      </w:r>
      <w:r w:rsidRPr="002A3A41">
        <w:rPr>
          <w:rFonts w:ascii="Times New Roman" w:hAnsi="Times New Roman"/>
          <w:color w:val="231F20"/>
          <w:sz w:val="24"/>
          <w:szCs w:val="24"/>
        </w:rPr>
        <w:t xml:space="preserve">____.  Presidência da República, Observatório da Equidade. </w:t>
      </w:r>
      <w:r w:rsidRPr="002A3A41">
        <w:rPr>
          <w:rFonts w:ascii="Times New Roman" w:hAnsi="Times New Roman"/>
          <w:bCs/>
          <w:i/>
          <w:color w:val="231F20"/>
          <w:sz w:val="24"/>
          <w:szCs w:val="24"/>
        </w:rPr>
        <w:t>Indicadores de Equidade do Sistema Tributário Nacional</w:t>
      </w:r>
      <w:r w:rsidRPr="002A3A41">
        <w:rPr>
          <w:rFonts w:ascii="Times New Roman" w:hAnsi="Times New Roman"/>
          <w:bCs/>
          <w:color w:val="231F20"/>
          <w:sz w:val="24"/>
          <w:szCs w:val="24"/>
        </w:rPr>
        <w:t xml:space="preserve">. </w:t>
      </w:r>
      <w:r w:rsidRPr="002A3A41">
        <w:rPr>
          <w:rFonts w:ascii="Times New Roman" w:hAnsi="Times New Roman"/>
          <w:color w:val="231F20"/>
          <w:sz w:val="24"/>
          <w:szCs w:val="24"/>
        </w:rPr>
        <w:t>Brasília: 2009.</w:t>
      </w:r>
    </w:p>
    <w:p w:rsidR="002A3A41" w:rsidRPr="002A3A41" w:rsidRDefault="002A3A41" w:rsidP="002A3A41">
      <w:pPr>
        <w:autoSpaceDE w:val="0"/>
        <w:autoSpaceDN w:val="0"/>
        <w:adjustRightInd w:val="0"/>
        <w:spacing w:after="0" w:line="240" w:lineRule="auto"/>
        <w:jc w:val="both"/>
        <w:rPr>
          <w:rFonts w:ascii="Times New Roman" w:hAnsi="Times New Roman"/>
          <w:sz w:val="24"/>
          <w:szCs w:val="24"/>
        </w:rPr>
      </w:pPr>
      <w:r w:rsidRPr="002A3A41">
        <w:rPr>
          <w:rFonts w:ascii="Times New Roman" w:hAnsi="Times New Roman"/>
          <w:sz w:val="24"/>
          <w:szCs w:val="24"/>
        </w:rPr>
        <w:t>________. Presidência da República. Conselho de Desenvolvimento Econômico e Social. Relatório de gestão 2008. Brasília: 2009b.</w:t>
      </w:r>
    </w:p>
    <w:p w:rsidR="002A3A41" w:rsidRPr="002A3A41" w:rsidRDefault="002A3A41" w:rsidP="002A3A41">
      <w:pPr>
        <w:autoSpaceDE w:val="0"/>
        <w:autoSpaceDN w:val="0"/>
        <w:adjustRightInd w:val="0"/>
        <w:spacing w:after="0" w:line="240" w:lineRule="auto"/>
        <w:jc w:val="both"/>
        <w:rPr>
          <w:rFonts w:ascii="Times New Roman" w:hAnsi="Times New Roman"/>
          <w:sz w:val="24"/>
          <w:szCs w:val="24"/>
        </w:rPr>
      </w:pPr>
    </w:p>
    <w:p w:rsidR="002A3A41" w:rsidRPr="002A3A41" w:rsidRDefault="002A3A41" w:rsidP="002A3A41">
      <w:pPr>
        <w:autoSpaceDE w:val="0"/>
        <w:autoSpaceDN w:val="0"/>
        <w:adjustRightInd w:val="0"/>
        <w:spacing w:line="240" w:lineRule="auto"/>
        <w:rPr>
          <w:rFonts w:ascii="Times New Roman" w:hAnsi="Times New Roman"/>
          <w:sz w:val="24"/>
          <w:szCs w:val="24"/>
        </w:rPr>
      </w:pPr>
      <w:r w:rsidRPr="002A3A41">
        <w:rPr>
          <w:rFonts w:ascii="Times New Roman" w:hAnsi="Times New Roman"/>
          <w:sz w:val="24"/>
          <w:szCs w:val="24"/>
        </w:rPr>
        <w:t>______ .  Secretaria de Relações Institucionais. Secretaria do Conselho de Desenvolvimento Econômico e Social.</w:t>
      </w:r>
      <w:r w:rsidRPr="002A3A41">
        <w:rPr>
          <w:rFonts w:ascii="Times New Roman" w:hAnsi="Times New Roman"/>
          <w:i/>
          <w:sz w:val="24"/>
          <w:szCs w:val="24"/>
        </w:rPr>
        <w:t xml:space="preserve"> Agenda Nacional de Desenvolvimento – AND</w:t>
      </w:r>
      <w:r w:rsidRPr="002A3A41">
        <w:rPr>
          <w:rFonts w:ascii="Times New Roman" w:hAnsi="Times New Roman"/>
          <w:sz w:val="24"/>
          <w:szCs w:val="24"/>
        </w:rPr>
        <w:t>. 3. ed. Brasília: Presidência da República, Conselho de Desenvolvimento Econômico e Social – CDES, 2010a.</w:t>
      </w:r>
    </w:p>
    <w:p w:rsidR="002A3A41" w:rsidRPr="002A3A41" w:rsidRDefault="002A3A41" w:rsidP="002A3A41">
      <w:pPr>
        <w:autoSpaceDE w:val="0"/>
        <w:autoSpaceDN w:val="0"/>
        <w:adjustRightInd w:val="0"/>
        <w:spacing w:after="0" w:line="240" w:lineRule="auto"/>
        <w:rPr>
          <w:rFonts w:ascii="Times New Roman" w:hAnsi="Times New Roman"/>
          <w:sz w:val="24"/>
          <w:szCs w:val="24"/>
        </w:rPr>
      </w:pPr>
      <w:r w:rsidRPr="002A3A41">
        <w:rPr>
          <w:rFonts w:ascii="Times New Roman" w:hAnsi="Times New Roman"/>
          <w:sz w:val="24"/>
          <w:szCs w:val="24"/>
        </w:rPr>
        <w:t xml:space="preserve">________.  Secretaria de Relações Institucionais. Secretaria do Conselho de Desenvolvimento Econômico e Social. GT Matriz Energética para o Desenvolvimento com Equidade e Responsabilidade Socioambiental. Subgrupo Requalificação de Trabalhadores da Cana-de-açúcar. </w:t>
      </w:r>
      <w:r w:rsidRPr="002A3A41">
        <w:rPr>
          <w:rFonts w:ascii="Times New Roman" w:hAnsi="Times New Roman"/>
          <w:i/>
          <w:sz w:val="24"/>
          <w:szCs w:val="24"/>
        </w:rPr>
        <w:t>Memória da reunião II</w:t>
      </w:r>
      <w:r w:rsidRPr="002A3A41">
        <w:rPr>
          <w:rFonts w:ascii="Times New Roman" w:hAnsi="Times New Roman"/>
          <w:sz w:val="24"/>
          <w:szCs w:val="24"/>
        </w:rPr>
        <w:t>. CDES, 2010b.</w:t>
      </w:r>
      <w:r w:rsidRPr="002A3A41">
        <w:rPr>
          <w:rFonts w:ascii="Times New Roman" w:hAnsi="Times New Roman"/>
          <w:sz w:val="24"/>
          <w:szCs w:val="24"/>
        </w:rPr>
        <w:cr/>
      </w:r>
    </w:p>
    <w:p w:rsidR="002A3A41" w:rsidRPr="002A3A41" w:rsidRDefault="002A3A41" w:rsidP="002A3A41">
      <w:pPr>
        <w:autoSpaceDE w:val="0"/>
        <w:autoSpaceDN w:val="0"/>
        <w:adjustRightInd w:val="0"/>
        <w:spacing w:line="240" w:lineRule="auto"/>
        <w:rPr>
          <w:rFonts w:ascii="Times New Roman" w:hAnsi="Times New Roman"/>
          <w:sz w:val="24"/>
          <w:szCs w:val="24"/>
        </w:rPr>
      </w:pPr>
      <w:r w:rsidRPr="002A3A41">
        <w:rPr>
          <w:rFonts w:ascii="Times New Roman" w:hAnsi="Times New Roman"/>
          <w:sz w:val="24"/>
          <w:szCs w:val="24"/>
        </w:rPr>
        <w:t xml:space="preserve">_______. Presidência da República. Secretaria de Assuntos Estratégicos. Conselho de Desenvolvimento Econômico e Social. </w:t>
      </w:r>
      <w:r w:rsidRPr="002A3A41">
        <w:rPr>
          <w:rFonts w:ascii="Times New Roman" w:hAnsi="Times New Roman"/>
          <w:i/>
          <w:sz w:val="24"/>
          <w:szCs w:val="24"/>
        </w:rPr>
        <w:t>Trajetória do debate no CDES sobre a crise econômica internacional</w:t>
      </w:r>
      <w:r w:rsidRPr="002A3A41">
        <w:rPr>
          <w:rFonts w:ascii="Times New Roman" w:hAnsi="Times New Roman"/>
          <w:sz w:val="24"/>
          <w:szCs w:val="24"/>
        </w:rPr>
        <w:t>. 2ª Ed. Brasília: CDES, 2013.</w:t>
      </w:r>
    </w:p>
    <w:p w:rsidR="002A3A41" w:rsidRPr="002A3A41" w:rsidRDefault="00271AFB" w:rsidP="002A3A41">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_______. </w:t>
      </w:r>
      <w:r w:rsidR="002A3A41" w:rsidRPr="002A3A41">
        <w:rPr>
          <w:rFonts w:ascii="Times New Roman" w:eastAsia="TimesNewRomanPSMT" w:hAnsi="Times New Roman"/>
          <w:sz w:val="24"/>
          <w:szCs w:val="24"/>
        </w:rPr>
        <w:t>Ministério do Desenvolvimento Social e Combate à Fome. Ministério do Trabalho</w:t>
      </w:r>
    </w:p>
    <w:p w:rsidR="002A3A41" w:rsidRPr="002A3A41" w:rsidRDefault="002A3A41" w:rsidP="002A3A41">
      <w:pPr>
        <w:autoSpaceDE w:val="0"/>
        <w:autoSpaceDN w:val="0"/>
        <w:adjustRightInd w:val="0"/>
        <w:spacing w:after="0" w:line="240" w:lineRule="auto"/>
        <w:rPr>
          <w:rFonts w:ascii="Times New Roman" w:eastAsia="TimesNewRomanPSMT" w:hAnsi="Times New Roman"/>
          <w:sz w:val="24"/>
          <w:szCs w:val="24"/>
        </w:rPr>
      </w:pPr>
      <w:r w:rsidRPr="002A3A41">
        <w:rPr>
          <w:rFonts w:ascii="Times New Roman" w:eastAsia="TimesNewRomanPSMT" w:hAnsi="Times New Roman"/>
          <w:sz w:val="24"/>
          <w:szCs w:val="24"/>
        </w:rPr>
        <w:t xml:space="preserve">e Emprego. </w:t>
      </w:r>
      <w:r w:rsidRPr="002A3A41">
        <w:rPr>
          <w:rFonts w:ascii="Times New Roman" w:eastAsia="TimesNewRomanPS-ItalicMT" w:hAnsi="Times New Roman"/>
          <w:i/>
          <w:iCs/>
          <w:sz w:val="24"/>
          <w:szCs w:val="24"/>
        </w:rPr>
        <w:t>Qualificação profissional para beneficiários do Bolsa Família</w:t>
      </w:r>
      <w:r w:rsidRPr="002A3A41">
        <w:rPr>
          <w:rFonts w:ascii="Times New Roman" w:eastAsia="TimesNewRomanPSMT" w:hAnsi="Times New Roman"/>
          <w:sz w:val="24"/>
          <w:szCs w:val="24"/>
        </w:rPr>
        <w:t>. Orientações</w:t>
      </w:r>
    </w:p>
    <w:p w:rsidR="002A3A41" w:rsidRPr="002A3A41" w:rsidRDefault="002A3A41" w:rsidP="002A3A41">
      <w:pPr>
        <w:autoSpaceDE w:val="0"/>
        <w:autoSpaceDN w:val="0"/>
        <w:adjustRightInd w:val="0"/>
        <w:spacing w:after="0" w:line="240" w:lineRule="auto"/>
        <w:rPr>
          <w:rFonts w:ascii="Times New Roman" w:hAnsi="Times New Roman"/>
          <w:sz w:val="24"/>
          <w:szCs w:val="24"/>
        </w:rPr>
      </w:pPr>
      <w:r w:rsidRPr="002A3A41">
        <w:rPr>
          <w:rFonts w:ascii="Times New Roman" w:eastAsia="TimesNewRomanPSMT" w:hAnsi="Times New Roman"/>
          <w:sz w:val="24"/>
          <w:szCs w:val="24"/>
        </w:rPr>
        <w:t>técnicas para o acompanhamento do Plano Setorial de Qualificação e Inserção Profissional para os beneficiários do programa Bolsa Família, [2008], 28 p. Disponível em: &lt;http://www.mds.gov.br/backup/sites/banner-internas/praticas-inovadoras-bf-planseq/arquivos/orientacoes_tecnicas_-_secom.pdf&gt;. Acesso 10/01/2015.</w:t>
      </w:r>
    </w:p>
    <w:p w:rsidR="002A3A41" w:rsidRPr="002A3A41" w:rsidRDefault="002A3A41" w:rsidP="00DD31B9">
      <w:pPr>
        <w:spacing w:before="240" w:line="240" w:lineRule="auto"/>
        <w:rPr>
          <w:rStyle w:val="CitaoHTML"/>
          <w:rFonts w:ascii="Times New Roman" w:hAnsi="Times New Roman"/>
          <w:i w:val="0"/>
          <w:sz w:val="24"/>
          <w:szCs w:val="24"/>
        </w:rPr>
      </w:pPr>
      <w:r w:rsidRPr="002A3A41">
        <w:rPr>
          <w:rFonts w:ascii="Times New Roman" w:hAnsi="Times New Roman"/>
          <w:sz w:val="24"/>
          <w:szCs w:val="24"/>
        </w:rPr>
        <w:t xml:space="preserve">SILVA, Luis Inácio Lula da. </w:t>
      </w:r>
      <w:r w:rsidRPr="002A3A41">
        <w:rPr>
          <w:rFonts w:ascii="Times New Roman" w:hAnsi="Times New Roman"/>
          <w:i/>
          <w:sz w:val="24"/>
          <w:szCs w:val="24"/>
        </w:rPr>
        <w:t>Um Brasil para Todos</w:t>
      </w:r>
      <w:r w:rsidRPr="002A3A41">
        <w:rPr>
          <w:rFonts w:ascii="Times New Roman" w:hAnsi="Times New Roman"/>
          <w:sz w:val="24"/>
          <w:szCs w:val="24"/>
        </w:rPr>
        <w:t>. Crescimento, Emprego e Inclusão Social. Coligação Lula Presidente. Programa de Governo 2002. Disponível           &lt;</w:t>
      </w:r>
      <w:r w:rsidRPr="002A3A41">
        <w:rPr>
          <w:rStyle w:val="CitaoHTML"/>
          <w:rFonts w:ascii="Times New Roman" w:hAnsi="Times New Roman"/>
          <w:sz w:val="24"/>
          <w:szCs w:val="24"/>
        </w:rPr>
        <w:t>http://virtualbooks.terra.com.br/osmelhoresautores/planodegovernoLULA.htm&gt;. Acesso em 21/03/2011.</w:t>
      </w:r>
    </w:p>
    <w:p w:rsidR="002A3A41" w:rsidRPr="002A3A41" w:rsidRDefault="002A3A41" w:rsidP="002A3A41">
      <w:pPr>
        <w:autoSpaceDE w:val="0"/>
        <w:autoSpaceDN w:val="0"/>
        <w:adjustRightInd w:val="0"/>
        <w:spacing w:after="0" w:line="240" w:lineRule="auto"/>
        <w:rPr>
          <w:rFonts w:ascii="Times New Roman" w:hAnsi="Times New Roman"/>
          <w:sz w:val="24"/>
          <w:szCs w:val="24"/>
        </w:rPr>
      </w:pPr>
    </w:p>
    <w:p w:rsidR="002A3A41" w:rsidRPr="002A3A41" w:rsidRDefault="009422F3" w:rsidP="002A3A41">
      <w:pPr>
        <w:spacing w:line="240" w:lineRule="auto"/>
        <w:rPr>
          <w:rFonts w:ascii="Times New Roman" w:hAnsi="Times New Roman"/>
          <w:b/>
          <w:sz w:val="24"/>
          <w:szCs w:val="24"/>
        </w:rPr>
      </w:pPr>
      <w:r>
        <w:rPr>
          <w:rFonts w:ascii="Times New Roman" w:hAnsi="Times New Roman"/>
          <w:b/>
          <w:sz w:val="24"/>
          <w:szCs w:val="24"/>
        </w:rPr>
        <w:t>JORNAIS, REVISTAS E BOLETINS:</w:t>
      </w:r>
    </w:p>
    <w:p w:rsidR="002A3A41" w:rsidRPr="002A3A41" w:rsidRDefault="002A3A41" w:rsidP="002A3A41">
      <w:pPr>
        <w:pStyle w:val="Textodenotaderodap"/>
        <w:spacing w:after="240"/>
        <w:rPr>
          <w:rFonts w:ascii="Times New Roman" w:hAnsi="Times New Roman"/>
          <w:sz w:val="24"/>
          <w:szCs w:val="24"/>
        </w:rPr>
      </w:pPr>
      <w:r w:rsidRPr="002A3A41">
        <w:rPr>
          <w:rFonts w:ascii="Times New Roman" w:hAnsi="Times New Roman"/>
          <w:sz w:val="24"/>
          <w:szCs w:val="24"/>
        </w:rPr>
        <w:t xml:space="preserve">ABAG (2008).  </w:t>
      </w:r>
      <w:r w:rsidRPr="002A3A41">
        <w:rPr>
          <w:rFonts w:ascii="Times New Roman" w:hAnsi="Times New Roman"/>
          <w:i/>
          <w:sz w:val="24"/>
          <w:szCs w:val="24"/>
        </w:rPr>
        <w:t>ABAG 15 anos</w:t>
      </w:r>
      <w:r w:rsidRPr="002A3A41">
        <w:rPr>
          <w:rFonts w:ascii="Times New Roman" w:hAnsi="Times New Roman"/>
          <w:sz w:val="24"/>
          <w:szCs w:val="24"/>
        </w:rPr>
        <w:t xml:space="preserve"> – Uma história de realizações pelo agronegócio brasileiro.</w:t>
      </w:r>
    </w:p>
    <w:p w:rsidR="002A3A41" w:rsidRPr="002A3A41" w:rsidRDefault="002A3A41" w:rsidP="002A3A41">
      <w:pPr>
        <w:pStyle w:val="Textodenotaderodap"/>
        <w:spacing w:after="240"/>
        <w:rPr>
          <w:rFonts w:ascii="Times New Roman" w:hAnsi="Times New Roman"/>
          <w:sz w:val="24"/>
          <w:szCs w:val="24"/>
        </w:rPr>
      </w:pPr>
      <w:r w:rsidRPr="002A3A41">
        <w:rPr>
          <w:rFonts w:ascii="Times New Roman" w:hAnsi="Times New Roman"/>
          <w:sz w:val="24"/>
          <w:szCs w:val="24"/>
        </w:rPr>
        <w:t xml:space="preserve">ALBUQUERQUE, Marcos Cintra Cavalcanti de. </w:t>
      </w:r>
      <w:r w:rsidRPr="00681F75">
        <w:rPr>
          <w:rFonts w:ascii="Times New Roman" w:hAnsi="Times New Roman"/>
          <w:sz w:val="24"/>
          <w:szCs w:val="24"/>
        </w:rPr>
        <w:t xml:space="preserve">Crise no </w:t>
      </w:r>
      <w:r w:rsidRPr="00F86EA0">
        <w:rPr>
          <w:rFonts w:ascii="Times New Roman" w:hAnsi="Times New Roman"/>
          <w:sz w:val="24"/>
          <w:szCs w:val="24"/>
        </w:rPr>
        <w:t>setor público e as PPP’s</w:t>
      </w:r>
      <w:r w:rsidRPr="00681F75">
        <w:rPr>
          <w:rFonts w:ascii="Times New Roman" w:hAnsi="Times New Roman"/>
          <w:i/>
          <w:sz w:val="24"/>
          <w:szCs w:val="24"/>
        </w:rPr>
        <w:t>. Revista da Indústria</w:t>
      </w:r>
      <w:r w:rsidRPr="002A3A41">
        <w:rPr>
          <w:rFonts w:ascii="Times New Roman" w:hAnsi="Times New Roman"/>
          <w:sz w:val="24"/>
          <w:szCs w:val="24"/>
        </w:rPr>
        <w:t>, nº 102, dezembro de 2004.</w:t>
      </w:r>
    </w:p>
    <w:p w:rsidR="002A3A41" w:rsidRPr="00060D90" w:rsidRDefault="002A3A41" w:rsidP="002A3A41">
      <w:pPr>
        <w:spacing w:after="0" w:line="240" w:lineRule="auto"/>
        <w:rPr>
          <w:rFonts w:ascii="Times New Roman" w:hAnsi="Times New Roman"/>
          <w:sz w:val="24"/>
          <w:szCs w:val="24"/>
        </w:rPr>
      </w:pPr>
      <w:r w:rsidRPr="002A3A41">
        <w:rPr>
          <w:rFonts w:ascii="Times New Roman" w:hAnsi="Times New Roman"/>
          <w:sz w:val="24"/>
          <w:szCs w:val="24"/>
        </w:rPr>
        <w:t xml:space="preserve">ALMEIDA, Rodrigo. </w:t>
      </w:r>
      <w:r w:rsidRPr="00681F75">
        <w:rPr>
          <w:rFonts w:ascii="Times New Roman" w:hAnsi="Times New Roman"/>
          <w:sz w:val="24"/>
          <w:szCs w:val="24"/>
        </w:rPr>
        <w:t>Caixa 1 dos interesses</w:t>
      </w:r>
      <w:r w:rsidRPr="002A3A41">
        <w:rPr>
          <w:rFonts w:ascii="Times New Roman" w:hAnsi="Times New Roman"/>
          <w:sz w:val="24"/>
          <w:szCs w:val="24"/>
        </w:rPr>
        <w:t xml:space="preserve">. </w:t>
      </w:r>
      <w:r w:rsidRPr="00681F75">
        <w:rPr>
          <w:rFonts w:ascii="Times New Roman" w:hAnsi="Times New Roman"/>
          <w:i/>
          <w:sz w:val="24"/>
          <w:szCs w:val="24"/>
        </w:rPr>
        <w:t>Revista Inteligência</w:t>
      </w:r>
      <w:r w:rsidRPr="002A3A41">
        <w:rPr>
          <w:rFonts w:ascii="Times New Roman" w:hAnsi="Times New Roman"/>
          <w:sz w:val="24"/>
          <w:szCs w:val="24"/>
        </w:rPr>
        <w:t>. Nº 36, Ano IX, 1º Trimestre de 2007. Disponível em &lt;</w:t>
      </w:r>
      <w:hyperlink r:id="rId45" w:history="1">
        <w:r w:rsidRPr="00060D90">
          <w:rPr>
            <w:rStyle w:val="Hyperlink"/>
            <w:rFonts w:ascii="Times New Roman" w:hAnsi="Times New Roman"/>
            <w:color w:val="auto"/>
            <w:sz w:val="24"/>
            <w:szCs w:val="24"/>
            <w:u w:val="none"/>
          </w:rPr>
          <w:t>http://www.insightinteligencia.com.br/36/PDFs/</w:t>
        </w:r>
      </w:hyperlink>
    </w:p>
    <w:p w:rsidR="002A3A41" w:rsidRPr="00060D90" w:rsidRDefault="002A3A41" w:rsidP="002A3A41">
      <w:pPr>
        <w:spacing w:line="240" w:lineRule="auto"/>
        <w:rPr>
          <w:rFonts w:ascii="Times New Roman" w:hAnsi="Times New Roman"/>
          <w:sz w:val="24"/>
          <w:szCs w:val="24"/>
        </w:rPr>
      </w:pPr>
      <w:r w:rsidRPr="00060D90">
        <w:rPr>
          <w:rFonts w:ascii="Times New Roman" w:hAnsi="Times New Roman"/>
          <w:sz w:val="24"/>
          <w:szCs w:val="24"/>
        </w:rPr>
        <w:t>mat_03.pdf&gt;.</w:t>
      </w:r>
    </w:p>
    <w:p w:rsidR="002A3A41" w:rsidRPr="002A3A41" w:rsidRDefault="002A3A41" w:rsidP="002A3A41">
      <w:pPr>
        <w:pStyle w:val="Textodenotaderodap"/>
        <w:spacing w:after="240"/>
        <w:rPr>
          <w:rFonts w:ascii="Times New Roman" w:hAnsi="Times New Roman"/>
          <w:sz w:val="24"/>
          <w:szCs w:val="24"/>
        </w:rPr>
      </w:pPr>
      <w:r w:rsidRPr="002A3A41">
        <w:rPr>
          <w:rFonts w:ascii="Times New Roman" w:hAnsi="Times New Roman"/>
          <w:sz w:val="24"/>
          <w:szCs w:val="24"/>
        </w:rPr>
        <w:t xml:space="preserve">ATTUCH, Leonardo. </w:t>
      </w:r>
      <w:r w:rsidRPr="00681F75">
        <w:rPr>
          <w:rFonts w:ascii="Times New Roman" w:hAnsi="Times New Roman"/>
          <w:sz w:val="24"/>
          <w:szCs w:val="24"/>
        </w:rPr>
        <w:t>O conselheiro rural do presidente</w:t>
      </w:r>
      <w:r w:rsidRPr="002A3A41">
        <w:rPr>
          <w:rFonts w:ascii="Times New Roman" w:hAnsi="Times New Roman"/>
          <w:sz w:val="24"/>
          <w:szCs w:val="24"/>
        </w:rPr>
        <w:t xml:space="preserve">. </w:t>
      </w:r>
      <w:r w:rsidRPr="00681F75">
        <w:rPr>
          <w:rFonts w:ascii="Times New Roman" w:hAnsi="Times New Roman"/>
          <w:i/>
          <w:sz w:val="24"/>
          <w:szCs w:val="24"/>
        </w:rPr>
        <w:t>Revista Dinheiro Rural</w:t>
      </w:r>
      <w:r w:rsidRPr="002A3A41">
        <w:rPr>
          <w:rFonts w:ascii="Times New Roman" w:hAnsi="Times New Roman"/>
          <w:sz w:val="24"/>
          <w:szCs w:val="24"/>
        </w:rPr>
        <w:t>, Ed. 54, abril de 2009.</w:t>
      </w:r>
    </w:p>
    <w:p w:rsidR="002A3A41" w:rsidRPr="002A3A41" w:rsidRDefault="002A3A41" w:rsidP="002A3A41">
      <w:pPr>
        <w:spacing w:line="240" w:lineRule="auto"/>
        <w:jc w:val="both"/>
        <w:rPr>
          <w:rFonts w:ascii="Times New Roman" w:hAnsi="Times New Roman"/>
          <w:sz w:val="24"/>
          <w:szCs w:val="24"/>
        </w:rPr>
      </w:pPr>
      <w:r w:rsidRPr="002A3A41">
        <w:rPr>
          <w:rFonts w:ascii="Times New Roman" w:hAnsi="Times New Roman"/>
          <w:sz w:val="24"/>
          <w:szCs w:val="24"/>
        </w:rPr>
        <w:t>APEXBRASIL, Boletim da Indústria e do Comércio Exterior, V1, Nº4, jul-set 2010.</w:t>
      </w:r>
    </w:p>
    <w:p w:rsidR="002A3A41" w:rsidRPr="002A3A41" w:rsidRDefault="002A3A41" w:rsidP="002A3A41">
      <w:pPr>
        <w:pStyle w:val="Textodenotaderodap"/>
        <w:rPr>
          <w:rFonts w:ascii="Times New Roman" w:hAnsi="Times New Roman"/>
          <w:sz w:val="24"/>
          <w:szCs w:val="24"/>
        </w:rPr>
      </w:pPr>
      <w:r w:rsidRPr="002A3A41">
        <w:rPr>
          <w:rFonts w:ascii="Times New Roman" w:hAnsi="Times New Roman"/>
          <w:bCs/>
          <w:color w:val="000000"/>
          <w:sz w:val="24"/>
          <w:szCs w:val="24"/>
        </w:rPr>
        <w:t xml:space="preserve">Armando Monteiro Neto, Luiz Marinho e Paulo Skaf. </w:t>
      </w:r>
      <w:r w:rsidRPr="002A3A41">
        <w:rPr>
          <w:rFonts w:ascii="Times New Roman" w:hAnsi="Times New Roman"/>
          <w:i/>
          <w:sz w:val="24"/>
          <w:szCs w:val="24"/>
        </w:rPr>
        <w:t>Pela ampliação do CMN</w:t>
      </w:r>
      <w:r w:rsidRPr="002A3A41">
        <w:rPr>
          <w:rFonts w:ascii="Times New Roman" w:hAnsi="Times New Roman"/>
          <w:sz w:val="24"/>
          <w:szCs w:val="24"/>
        </w:rPr>
        <w:t xml:space="preserve">. </w:t>
      </w:r>
      <w:r w:rsidRPr="002A3A41">
        <w:rPr>
          <w:rFonts w:ascii="Times New Roman" w:hAnsi="Times New Roman"/>
          <w:bCs/>
          <w:color w:val="000000"/>
          <w:sz w:val="24"/>
          <w:szCs w:val="24"/>
        </w:rPr>
        <w:t xml:space="preserve">São Paulo, 13 de março de 2005. </w:t>
      </w:r>
      <w:r w:rsidRPr="002A3A41">
        <w:rPr>
          <w:rFonts w:ascii="Times New Roman" w:hAnsi="Times New Roman"/>
          <w:sz w:val="24"/>
          <w:szCs w:val="24"/>
        </w:rPr>
        <w:t>Disponível em &lt;http://www1.folha.uol.com.br/fsp/</w:t>
      </w:r>
    </w:p>
    <w:p w:rsidR="002A3A41" w:rsidRPr="002A3A41" w:rsidRDefault="002A3A41" w:rsidP="002A3A41">
      <w:pPr>
        <w:pStyle w:val="Textodenotaderodap"/>
        <w:rPr>
          <w:rFonts w:ascii="Times New Roman" w:hAnsi="Times New Roman"/>
          <w:sz w:val="24"/>
          <w:szCs w:val="24"/>
        </w:rPr>
      </w:pPr>
      <w:r w:rsidRPr="002A3A41">
        <w:rPr>
          <w:rFonts w:ascii="Times New Roman" w:hAnsi="Times New Roman"/>
          <w:sz w:val="24"/>
          <w:szCs w:val="24"/>
        </w:rPr>
        <w:t>dinheiro/fi1303200505.htm&gt;. Acesso em 14/08/2014.</w:t>
      </w:r>
    </w:p>
    <w:p w:rsidR="002A3A41" w:rsidRPr="002A3A41" w:rsidRDefault="002A3A41" w:rsidP="002A3A41">
      <w:pPr>
        <w:pStyle w:val="Textodenotaderodap"/>
        <w:rPr>
          <w:rFonts w:ascii="Times New Roman" w:hAnsi="Times New Roman"/>
          <w:sz w:val="24"/>
          <w:szCs w:val="24"/>
        </w:rPr>
      </w:pPr>
    </w:p>
    <w:p w:rsidR="002A3A41" w:rsidRPr="002A3A41" w:rsidRDefault="002A3A41" w:rsidP="002A3A41">
      <w:pPr>
        <w:pStyle w:val="Textodenotaderodap"/>
        <w:rPr>
          <w:rFonts w:ascii="Times New Roman" w:hAnsi="Times New Roman"/>
          <w:sz w:val="24"/>
          <w:szCs w:val="24"/>
        </w:rPr>
      </w:pPr>
      <w:r w:rsidRPr="002A3A41">
        <w:rPr>
          <w:rFonts w:ascii="Times New Roman" w:hAnsi="Times New Roman"/>
          <w:sz w:val="24"/>
          <w:szCs w:val="24"/>
        </w:rPr>
        <w:t xml:space="preserve">CBIC/FGV. </w:t>
      </w:r>
      <w:r w:rsidRPr="002A3A41">
        <w:rPr>
          <w:rFonts w:ascii="Times New Roman" w:hAnsi="Times New Roman"/>
          <w:i/>
          <w:sz w:val="24"/>
          <w:szCs w:val="24"/>
        </w:rPr>
        <w:t xml:space="preserve">A produtividade da Construção Civil Brasileira. </w:t>
      </w:r>
      <w:r w:rsidRPr="002A3A41">
        <w:rPr>
          <w:rFonts w:ascii="Times New Roman" w:hAnsi="Times New Roman"/>
          <w:sz w:val="24"/>
          <w:szCs w:val="24"/>
        </w:rPr>
        <w:t>2012. Disponível em &lt;http://www.cbicdados.com.br/media/anexos/066.pdf&gt;. Acesso em 07/01/2015.</w:t>
      </w:r>
    </w:p>
    <w:p w:rsidR="002A3A41" w:rsidRPr="002A3A41" w:rsidRDefault="002A3A41" w:rsidP="00DA32BB">
      <w:pPr>
        <w:spacing w:after="0" w:line="240" w:lineRule="auto"/>
        <w:rPr>
          <w:rFonts w:ascii="Times New Roman" w:hAnsi="Times New Roman"/>
          <w:sz w:val="24"/>
          <w:szCs w:val="24"/>
        </w:rPr>
      </w:pPr>
    </w:p>
    <w:p w:rsid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DEMARCHI, Celia e VIEIRA, Maria Cândida. </w:t>
      </w:r>
      <w:r w:rsidRPr="00681F75">
        <w:rPr>
          <w:rFonts w:ascii="Times New Roman" w:hAnsi="Times New Roman"/>
          <w:sz w:val="24"/>
          <w:szCs w:val="24"/>
        </w:rPr>
        <w:t>Novo comando, mudanças possíveis</w:t>
      </w:r>
      <w:r w:rsidRPr="002A3A41">
        <w:rPr>
          <w:rFonts w:ascii="Times New Roman" w:hAnsi="Times New Roman"/>
          <w:i/>
          <w:sz w:val="24"/>
          <w:szCs w:val="24"/>
        </w:rPr>
        <w:t xml:space="preserve">. </w:t>
      </w:r>
      <w:r w:rsidRPr="00681F75">
        <w:rPr>
          <w:rFonts w:ascii="Times New Roman" w:hAnsi="Times New Roman"/>
          <w:i/>
          <w:sz w:val="24"/>
          <w:szCs w:val="24"/>
        </w:rPr>
        <w:t>Revista da Indústria</w:t>
      </w:r>
      <w:r w:rsidRPr="002A3A41">
        <w:rPr>
          <w:rFonts w:ascii="Times New Roman" w:hAnsi="Times New Roman"/>
          <w:sz w:val="24"/>
          <w:szCs w:val="24"/>
        </w:rPr>
        <w:t xml:space="preserve"> - Publicação mensal da Federação das Indústrias do Estado de São Paulo. Ano 6, nº 117, abril/maio de 2006.</w:t>
      </w:r>
    </w:p>
    <w:p w:rsidR="007C5934" w:rsidRPr="002A3A41" w:rsidRDefault="007C5934" w:rsidP="007C5934">
      <w:pPr>
        <w:spacing w:line="240" w:lineRule="auto"/>
        <w:rPr>
          <w:rFonts w:ascii="Times New Roman" w:hAnsi="Times New Roman"/>
          <w:sz w:val="24"/>
          <w:szCs w:val="24"/>
        </w:rPr>
      </w:pPr>
      <w:r>
        <w:rPr>
          <w:rFonts w:ascii="Times New Roman" w:hAnsi="Times New Roman"/>
          <w:sz w:val="24"/>
          <w:szCs w:val="24"/>
        </w:rPr>
        <w:t xml:space="preserve">DRUCK, Graça. </w:t>
      </w:r>
      <w:r w:rsidRPr="002A3A41">
        <w:rPr>
          <w:rFonts w:ascii="Times New Roman" w:hAnsi="Times New Roman"/>
          <w:i/>
          <w:sz w:val="24"/>
          <w:szCs w:val="24"/>
        </w:rPr>
        <w:t>Acordo Coletivo de Trabalho com Propósito Específico é a negação dos direitos trabalhistas</w:t>
      </w:r>
      <w:r w:rsidRPr="002A3A41">
        <w:rPr>
          <w:rFonts w:ascii="Times New Roman" w:hAnsi="Times New Roman"/>
          <w:sz w:val="24"/>
          <w:szCs w:val="24"/>
        </w:rPr>
        <w:t xml:space="preserve">. Entrevista </w:t>
      </w:r>
      <w:r>
        <w:rPr>
          <w:rFonts w:ascii="Times New Roman" w:hAnsi="Times New Roman"/>
          <w:sz w:val="24"/>
          <w:szCs w:val="24"/>
        </w:rPr>
        <w:t xml:space="preserve">concedida à </w:t>
      </w:r>
      <w:r w:rsidRPr="002A3A41">
        <w:rPr>
          <w:rFonts w:ascii="Times New Roman" w:hAnsi="Times New Roman"/>
          <w:sz w:val="24"/>
          <w:szCs w:val="24"/>
        </w:rPr>
        <w:t>Revista UHI. Publicado em junho de 2014. Disponível em &lt;http://www.ihu.unisinos.br/entrevistas/512572-acordo-coletivo-de-trabalho-com-proposito-especifico-e-a-negacao-dos-direitos-trabalhistas-entrevista-com-graca-druck&gt;.</w:t>
      </w:r>
    </w:p>
    <w:p w:rsidR="00681F75" w:rsidRDefault="00681F75" w:rsidP="00681F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FLEURY, Sonia. </w:t>
      </w:r>
      <w:r w:rsidRPr="00F86EA0">
        <w:rPr>
          <w:rFonts w:ascii="Times New Roman" w:hAnsi="Times New Roman"/>
          <w:sz w:val="24"/>
          <w:szCs w:val="24"/>
        </w:rPr>
        <w:t>Governo troca conselheiro quando bem entende</w:t>
      </w:r>
      <w:r w:rsidRPr="002A3A41">
        <w:rPr>
          <w:rFonts w:ascii="Times New Roman" w:hAnsi="Times New Roman"/>
          <w:sz w:val="24"/>
          <w:szCs w:val="24"/>
        </w:rPr>
        <w:t xml:space="preserve">. Entrevista </w:t>
      </w:r>
      <w:r>
        <w:rPr>
          <w:rFonts w:ascii="Times New Roman" w:hAnsi="Times New Roman"/>
          <w:sz w:val="24"/>
          <w:szCs w:val="24"/>
        </w:rPr>
        <w:t>concedida a</w:t>
      </w:r>
      <w:r w:rsidRPr="002A3A41">
        <w:rPr>
          <w:rFonts w:ascii="Times New Roman" w:hAnsi="Times New Roman"/>
          <w:sz w:val="24"/>
          <w:szCs w:val="24"/>
        </w:rPr>
        <w:t xml:space="preserve"> Luciana Nun</w:t>
      </w:r>
      <w:r>
        <w:rPr>
          <w:rFonts w:ascii="Times New Roman" w:hAnsi="Times New Roman"/>
          <w:sz w:val="24"/>
          <w:szCs w:val="24"/>
        </w:rPr>
        <w:t xml:space="preserve">es Leal </w:t>
      </w:r>
      <w:r w:rsidRPr="002A3A41">
        <w:rPr>
          <w:rFonts w:ascii="Times New Roman" w:hAnsi="Times New Roman"/>
          <w:sz w:val="24"/>
          <w:szCs w:val="24"/>
        </w:rPr>
        <w:t xml:space="preserve">ao </w:t>
      </w:r>
      <w:r w:rsidRPr="00F86EA0">
        <w:rPr>
          <w:rFonts w:ascii="Times New Roman" w:hAnsi="Times New Roman"/>
          <w:i/>
          <w:sz w:val="24"/>
          <w:szCs w:val="24"/>
        </w:rPr>
        <w:t>Jornal Estado de São Paulo</w:t>
      </w:r>
      <w:r w:rsidRPr="002A3A41">
        <w:rPr>
          <w:rFonts w:ascii="Times New Roman" w:hAnsi="Times New Roman"/>
          <w:sz w:val="24"/>
          <w:szCs w:val="24"/>
        </w:rPr>
        <w:t xml:space="preserve">. Retirado de &lt;http://www.cdes.gov.br/noticia/5789/governo-troca-conselheiro-quando-bem-entende.html&gt;. </w:t>
      </w:r>
    </w:p>
    <w:p w:rsidR="00681F75" w:rsidRPr="002A3A41" w:rsidRDefault="00681F75" w:rsidP="00681F75">
      <w:pPr>
        <w:rPr>
          <w:rFonts w:ascii="Times New Roman" w:hAnsi="Times New Roman"/>
          <w:sz w:val="24"/>
          <w:szCs w:val="24"/>
        </w:rPr>
      </w:pPr>
      <w:r w:rsidRPr="002A3A41">
        <w:rPr>
          <w:rFonts w:ascii="Times New Roman" w:hAnsi="Times New Roman"/>
          <w:sz w:val="24"/>
          <w:szCs w:val="24"/>
        </w:rPr>
        <w:t>Acesso em 02/01/2014.</w:t>
      </w:r>
    </w:p>
    <w:p w:rsidR="002A3A41" w:rsidRPr="002A3A41" w:rsidRDefault="002A3A41" w:rsidP="00C95DB5">
      <w:pPr>
        <w:pStyle w:val="Textodenotaderodap"/>
        <w:rPr>
          <w:rFonts w:ascii="Times New Roman" w:hAnsi="Times New Roman"/>
          <w:sz w:val="24"/>
          <w:szCs w:val="24"/>
        </w:rPr>
      </w:pPr>
      <w:r w:rsidRPr="002A3A41">
        <w:rPr>
          <w:rFonts w:ascii="Times New Roman" w:hAnsi="Times New Roman"/>
          <w:sz w:val="24"/>
          <w:szCs w:val="24"/>
        </w:rPr>
        <w:t>FOLHA On Line. Banqueiros blindam Meirelles e criticam PAC</w:t>
      </w:r>
      <w:r w:rsidRPr="002A3A41">
        <w:rPr>
          <w:rFonts w:ascii="Times New Roman" w:hAnsi="Times New Roman"/>
          <w:b/>
          <w:sz w:val="24"/>
          <w:szCs w:val="24"/>
        </w:rPr>
        <w:t>.</w:t>
      </w:r>
      <w:r w:rsidRPr="002A3A41">
        <w:rPr>
          <w:rFonts w:ascii="Times New Roman" w:hAnsi="Times New Roman"/>
          <w:sz w:val="24"/>
          <w:szCs w:val="24"/>
        </w:rPr>
        <w:t xml:space="preserve"> 26/01/2007,  Disponível em &lt;http://www1folha.uol.com.br/folha/dinheiro/utl91u114031.shtml&gt;. </w:t>
      </w:r>
    </w:p>
    <w:p w:rsidR="002A3A41" w:rsidRPr="002A3A41" w:rsidRDefault="002A3A41" w:rsidP="00C95DB5">
      <w:pPr>
        <w:autoSpaceDE w:val="0"/>
        <w:autoSpaceDN w:val="0"/>
        <w:adjustRightInd w:val="0"/>
        <w:spacing w:after="0" w:line="240" w:lineRule="auto"/>
        <w:jc w:val="both"/>
        <w:rPr>
          <w:rFonts w:ascii="Times New Roman" w:hAnsi="Times New Roman"/>
          <w:sz w:val="24"/>
          <w:szCs w:val="24"/>
        </w:rPr>
      </w:pPr>
    </w:p>
    <w:p w:rsidR="002A3A41" w:rsidRPr="002A3A41" w:rsidRDefault="002A3A41" w:rsidP="002A3A41">
      <w:pPr>
        <w:autoSpaceDE w:val="0"/>
        <w:autoSpaceDN w:val="0"/>
        <w:adjustRightInd w:val="0"/>
        <w:spacing w:after="0" w:line="240" w:lineRule="auto"/>
        <w:jc w:val="both"/>
        <w:rPr>
          <w:rFonts w:ascii="Times New Roman" w:hAnsi="Times New Roman"/>
          <w:sz w:val="24"/>
          <w:szCs w:val="24"/>
        </w:rPr>
      </w:pPr>
      <w:r w:rsidRPr="002A3A41">
        <w:rPr>
          <w:rFonts w:ascii="Times New Roman" w:hAnsi="Times New Roman"/>
          <w:sz w:val="24"/>
          <w:szCs w:val="24"/>
        </w:rPr>
        <w:t xml:space="preserve">GENOÍNO, José. </w:t>
      </w:r>
      <w:r w:rsidRPr="00681F75">
        <w:rPr>
          <w:rFonts w:ascii="Times New Roman" w:hAnsi="Times New Roman"/>
          <w:sz w:val="24"/>
          <w:szCs w:val="24"/>
        </w:rPr>
        <w:t>Afirmação nacional</w:t>
      </w:r>
      <w:r w:rsidRPr="002A3A41">
        <w:rPr>
          <w:rFonts w:ascii="Times New Roman" w:hAnsi="Times New Roman"/>
          <w:i/>
          <w:sz w:val="24"/>
          <w:szCs w:val="24"/>
        </w:rPr>
        <w:t xml:space="preserve">. </w:t>
      </w:r>
      <w:r w:rsidRPr="00681F75">
        <w:rPr>
          <w:rFonts w:ascii="Times New Roman" w:hAnsi="Times New Roman"/>
          <w:i/>
          <w:sz w:val="24"/>
          <w:szCs w:val="24"/>
        </w:rPr>
        <w:t>Revista Teoria e Debate</w:t>
      </w:r>
      <w:r w:rsidRPr="002A3A41">
        <w:rPr>
          <w:rFonts w:ascii="Times New Roman" w:hAnsi="Times New Roman"/>
          <w:sz w:val="24"/>
          <w:szCs w:val="24"/>
        </w:rPr>
        <w:t>, 01/02/1993, seção Debate.</w:t>
      </w:r>
    </w:p>
    <w:p w:rsidR="002A3A41" w:rsidRPr="002A3A41" w:rsidRDefault="002A3A41" w:rsidP="002A3A41">
      <w:pPr>
        <w:spacing w:before="240" w:line="240" w:lineRule="auto"/>
        <w:rPr>
          <w:rFonts w:ascii="Times New Roman" w:hAnsi="Times New Roman"/>
          <w:sz w:val="24"/>
          <w:szCs w:val="24"/>
        </w:rPr>
      </w:pPr>
      <w:r w:rsidRPr="002A3A41">
        <w:rPr>
          <w:rFonts w:ascii="Times New Roman" w:hAnsi="Times New Roman"/>
          <w:sz w:val="24"/>
          <w:szCs w:val="24"/>
        </w:rPr>
        <w:t>IBGE, Diretoria de Pesquisas, Coordenação de Indústria, Pesquisa Industrial Inovação Tecnológica 2000.</w:t>
      </w:r>
    </w:p>
    <w:p w:rsidR="002A3A41" w:rsidRPr="002A3A41" w:rsidRDefault="002A3A41" w:rsidP="002A3A41">
      <w:pPr>
        <w:autoSpaceDE w:val="0"/>
        <w:autoSpaceDN w:val="0"/>
        <w:adjustRightInd w:val="0"/>
        <w:jc w:val="both"/>
        <w:rPr>
          <w:rFonts w:ascii="Times New Roman" w:hAnsi="Times New Roman"/>
          <w:sz w:val="24"/>
          <w:szCs w:val="24"/>
        </w:rPr>
      </w:pPr>
      <w:r w:rsidRPr="002A3A41">
        <w:rPr>
          <w:rFonts w:ascii="Times New Roman" w:hAnsi="Times New Roman"/>
          <w:sz w:val="24"/>
          <w:szCs w:val="24"/>
        </w:rPr>
        <w:t xml:space="preserve">IPEA (2009). </w:t>
      </w:r>
      <w:r w:rsidRPr="002A3A41">
        <w:rPr>
          <w:rFonts w:ascii="Times New Roman" w:hAnsi="Times New Roman"/>
          <w:i/>
          <w:sz w:val="24"/>
          <w:szCs w:val="24"/>
        </w:rPr>
        <w:t>Transformações na indústria bancária brasileira e o cenário de crise</w:t>
      </w:r>
      <w:r w:rsidRPr="002A3A41">
        <w:rPr>
          <w:rFonts w:ascii="Times New Roman" w:hAnsi="Times New Roman"/>
          <w:sz w:val="24"/>
          <w:szCs w:val="24"/>
        </w:rPr>
        <w:t xml:space="preserve">. 20º Comunicado da Presidência do Ipea. </w:t>
      </w: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JAKUBASZKO, Richard. </w:t>
      </w:r>
      <w:r w:rsidRPr="00681F75">
        <w:rPr>
          <w:rFonts w:ascii="Times New Roman" w:hAnsi="Times New Roman"/>
          <w:sz w:val="24"/>
          <w:szCs w:val="24"/>
        </w:rPr>
        <w:t>O ARES em frente e os agricultores para trás</w:t>
      </w:r>
      <w:r w:rsidRPr="002A3A41">
        <w:rPr>
          <w:rFonts w:ascii="Times New Roman" w:hAnsi="Times New Roman"/>
          <w:sz w:val="24"/>
          <w:szCs w:val="24"/>
        </w:rPr>
        <w:t xml:space="preserve">. </w:t>
      </w:r>
      <w:r w:rsidRPr="00681F75">
        <w:rPr>
          <w:rFonts w:ascii="Times New Roman" w:hAnsi="Times New Roman"/>
          <w:i/>
          <w:sz w:val="24"/>
          <w:szCs w:val="24"/>
        </w:rPr>
        <w:t>Revista DBO</w:t>
      </w:r>
      <w:r w:rsidRPr="002A3A41">
        <w:rPr>
          <w:rFonts w:ascii="Times New Roman" w:hAnsi="Times New Roman"/>
          <w:sz w:val="24"/>
          <w:szCs w:val="24"/>
        </w:rPr>
        <w:t xml:space="preserve"> de 26/05/2008.</w:t>
      </w:r>
    </w:p>
    <w:p w:rsidR="002A3A41" w:rsidRPr="002A3A41" w:rsidRDefault="002A3A41" w:rsidP="002A3A41">
      <w:pPr>
        <w:spacing w:line="240" w:lineRule="auto"/>
        <w:jc w:val="both"/>
        <w:rPr>
          <w:rFonts w:ascii="Times New Roman" w:hAnsi="Times New Roman"/>
          <w:sz w:val="24"/>
          <w:szCs w:val="24"/>
        </w:rPr>
      </w:pPr>
      <w:r w:rsidRPr="002A3A41">
        <w:rPr>
          <w:rFonts w:ascii="Times New Roman" w:hAnsi="Times New Roman"/>
          <w:sz w:val="24"/>
          <w:szCs w:val="24"/>
        </w:rPr>
        <w:t xml:space="preserve">Jornal Valor Econômico. </w:t>
      </w:r>
      <w:r w:rsidRPr="002A3A41">
        <w:rPr>
          <w:rFonts w:ascii="Times New Roman" w:hAnsi="Times New Roman"/>
          <w:i/>
          <w:sz w:val="24"/>
          <w:szCs w:val="24"/>
        </w:rPr>
        <w:t>Bovespa quer atrair mais empresas e aplicadores em ações.</w:t>
      </w:r>
      <w:r w:rsidRPr="002A3A41">
        <w:rPr>
          <w:rFonts w:ascii="Times New Roman" w:hAnsi="Times New Roman"/>
          <w:sz w:val="24"/>
          <w:szCs w:val="24"/>
        </w:rPr>
        <w:t xml:space="preserve"> 2004.  &lt;http://saladeimprensa.vale.com/pt/noticias/interna.asp?id=12799&gt;. </w:t>
      </w:r>
    </w:p>
    <w:p w:rsidR="002A3A41" w:rsidRPr="002A3A41" w:rsidRDefault="002A3A41" w:rsidP="002A3A41">
      <w:pPr>
        <w:spacing w:after="0"/>
        <w:rPr>
          <w:rFonts w:ascii="Times New Roman" w:hAnsi="Times New Roman"/>
          <w:sz w:val="24"/>
          <w:szCs w:val="24"/>
        </w:rPr>
      </w:pPr>
      <w:r w:rsidRPr="002A3A41">
        <w:rPr>
          <w:rFonts w:ascii="Times New Roman" w:hAnsi="Times New Roman"/>
          <w:sz w:val="24"/>
          <w:szCs w:val="24"/>
        </w:rPr>
        <w:t xml:space="preserve">MARQUES, Lula. </w:t>
      </w:r>
      <w:r w:rsidRPr="00681F75">
        <w:rPr>
          <w:rFonts w:ascii="Times New Roman" w:hAnsi="Times New Roman"/>
          <w:sz w:val="24"/>
          <w:szCs w:val="24"/>
        </w:rPr>
        <w:t>Lula cede a sindicalistas e esvazia poder do Conselho</w:t>
      </w:r>
      <w:r w:rsidRPr="002A3A41">
        <w:rPr>
          <w:rFonts w:ascii="Times New Roman" w:hAnsi="Times New Roman"/>
          <w:sz w:val="24"/>
          <w:szCs w:val="24"/>
        </w:rPr>
        <w:t xml:space="preserve">. </w:t>
      </w:r>
      <w:r w:rsidRPr="00681F75">
        <w:rPr>
          <w:rFonts w:ascii="Times New Roman" w:hAnsi="Times New Roman"/>
          <w:i/>
          <w:sz w:val="24"/>
          <w:szCs w:val="24"/>
        </w:rPr>
        <w:t>Jornal Folha de São Paulo</w:t>
      </w:r>
      <w:r w:rsidRPr="002A3A41">
        <w:rPr>
          <w:rFonts w:ascii="Times New Roman" w:hAnsi="Times New Roman"/>
          <w:sz w:val="24"/>
          <w:szCs w:val="24"/>
        </w:rPr>
        <w:t>. Disponível em &lt;http://www1.folha.uol.com.br/fsp/brasil/</w:t>
      </w:r>
    </w:p>
    <w:p w:rsidR="002A3A41" w:rsidRDefault="002A3A41" w:rsidP="002A3A41">
      <w:pPr>
        <w:spacing w:after="0"/>
        <w:rPr>
          <w:rFonts w:ascii="Times New Roman" w:hAnsi="Times New Roman"/>
          <w:sz w:val="24"/>
          <w:szCs w:val="24"/>
        </w:rPr>
      </w:pPr>
      <w:r w:rsidRPr="002A3A41">
        <w:rPr>
          <w:rFonts w:ascii="Times New Roman" w:hAnsi="Times New Roman"/>
          <w:sz w:val="24"/>
          <w:szCs w:val="24"/>
        </w:rPr>
        <w:t>fc1402200302.htm&gt;. Acesso em 11/01/2014.</w:t>
      </w:r>
    </w:p>
    <w:p w:rsidR="007C5934" w:rsidRDefault="007C5934" w:rsidP="007C5934">
      <w:pPr>
        <w:tabs>
          <w:tab w:val="left" w:pos="1655"/>
        </w:tabs>
        <w:spacing w:after="0" w:line="240" w:lineRule="auto"/>
        <w:rPr>
          <w:rFonts w:ascii="Times New Roman" w:hAnsi="Times New Roman"/>
          <w:sz w:val="24"/>
          <w:szCs w:val="24"/>
        </w:rPr>
      </w:pPr>
      <w:r>
        <w:rPr>
          <w:rFonts w:ascii="Times New Roman" w:hAnsi="Times New Roman"/>
          <w:sz w:val="24"/>
          <w:szCs w:val="24"/>
        </w:rPr>
        <w:tab/>
      </w:r>
    </w:p>
    <w:p w:rsidR="007C5934" w:rsidRPr="002A3A41" w:rsidRDefault="007C5934" w:rsidP="007C5934">
      <w:pPr>
        <w:spacing w:line="240" w:lineRule="auto"/>
        <w:rPr>
          <w:rFonts w:ascii="Times New Roman" w:hAnsi="Times New Roman"/>
          <w:sz w:val="24"/>
          <w:szCs w:val="24"/>
        </w:rPr>
      </w:pPr>
      <w:r>
        <w:rPr>
          <w:rFonts w:ascii="Times New Roman" w:hAnsi="Times New Roman"/>
          <w:sz w:val="24"/>
          <w:szCs w:val="24"/>
        </w:rPr>
        <w:t xml:space="preserve">MATTOS, Marcelo Badaró. </w:t>
      </w:r>
      <w:r w:rsidRPr="002A3A41">
        <w:rPr>
          <w:rFonts w:ascii="Times New Roman" w:hAnsi="Times New Roman"/>
          <w:i/>
          <w:sz w:val="24"/>
          <w:szCs w:val="24"/>
        </w:rPr>
        <w:t>Inicia-se um novo ciclo de lutas da classe trabalhadora brasileira</w:t>
      </w:r>
      <w:r w:rsidRPr="002A3A41">
        <w:rPr>
          <w:rFonts w:ascii="Times New Roman" w:hAnsi="Times New Roman"/>
          <w:sz w:val="24"/>
          <w:szCs w:val="24"/>
        </w:rPr>
        <w:t xml:space="preserve">?. Entrevista </w:t>
      </w:r>
      <w:r>
        <w:rPr>
          <w:rFonts w:ascii="Times New Roman" w:hAnsi="Times New Roman"/>
          <w:sz w:val="24"/>
          <w:szCs w:val="24"/>
        </w:rPr>
        <w:t xml:space="preserve">concedida à </w:t>
      </w:r>
      <w:r w:rsidRPr="002A3A41">
        <w:rPr>
          <w:rFonts w:ascii="Times New Roman" w:hAnsi="Times New Roman"/>
          <w:sz w:val="24"/>
          <w:szCs w:val="24"/>
        </w:rPr>
        <w:t>Revista UHI. Publicado em agosto de 2012. Disponível em &lt;http://www.ihu.unisinos.br/entrevistas/532070-empregos-ancorados-em-baixos-salarios-e-greves-fragmentadas-a-realidade-trabalhista-brasileira-entrevista-especial-com-marcelo-badaro-mattos&gt;.</w:t>
      </w: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 xml:space="preserve">PAGNAN , Rogério e ROCHA, Marília. </w:t>
      </w:r>
      <w:r w:rsidRPr="00C95DB5">
        <w:rPr>
          <w:rFonts w:ascii="Times New Roman" w:hAnsi="Times New Roman"/>
          <w:sz w:val="24"/>
          <w:szCs w:val="24"/>
        </w:rPr>
        <w:t>Amigo de Lula é investigado por desvios</w:t>
      </w:r>
      <w:r w:rsidRPr="002A3A41">
        <w:rPr>
          <w:rFonts w:ascii="Times New Roman" w:hAnsi="Times New Roman"/>
          <w:sz w:val="24"/>
          <w:szCs w:val="24"/>
        </w:rPr>
        <w:t xml:space="preserve">. </w:t>
      </w:r>
      <w:r w:rsidRPr="00C95DB5">
        <w:rPr>
          <w:rFonts w:ascii="Times New Roman" w:hAnsi="Times New Roman"/>
          <w:i/>
          <w:sz w:val="24"/>
          <w:szCs w:val="24"/>
        </w:rPr>
        <w:t>Folha de São Paulo</w:t>
      </w:r>
      <w:r w:rsidRPr="002A3A41">
        <w:rPr>
          <w:rFonts w:ascii="Times New Roman" w:hAnsi="Times New Roman"/>
          <w:sz w:val="24"/>
          <w:szCs w:val="24"/>
        </w:rPr>
        <w:t>, 25/05/2011.</w:t>
      </w: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 xml:space="preserve">PAULA, Nice de. </w:t>
      </w:r>
      <w:r w:rsidRPr="00C95DB5">
        <w:rPr>
          <w:rFonts w:ascii="Times New Roman" w:hAnsi="Times New Roman"/>
          <w:sz w:val="24"/>
          <w:szCs w:val="24"/>
        </w:rPr>
        <w:t>Eduardo Eugênio é reeleito pela sétima vez</w:t>
      </w:r>
      <w:r w:rsidRPr="002A3A41">
        <w:rPr>
          <w:rFonts w:ascii="Times New Roman" w:hAnsi="Times New Roman"/>
          <w:i/>
          <w:sz w:val="24"/>
          <w:szCs w:val="24"/>
        </w:rPr>
        <w:t>.</w:t>
      </w:r>
      <w:r w:rsidRPr="00C95DB5">
        <w:rPr>
          <w:rFonts w:ascii="Times New Roman" w:hAnsi="Times New Roman"/>
          <w:i/>
          <w:sz w:val="24"/>
          <w:szCs w:val="24"/>
        </w:rPr>
        <w:t xml:space="preserve"> O Globo</w:t>
      </w:r>
      <w:r w:rsidRPr="002A3A41">
        <w:rPr>
          <w:rFonts w:ascii="Times New Roman" w:hAnsi="Times New Roman"/>
          <w:sz w:val="24"/>
          <w:szCs w:val="24"/>
        </w:rPr>
        <w:t>, 19/08/2013.</w:t>
      </w: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 xml:space="preserve">PEÑA, Bernardo de la e OLIVEIRA, Germano. </w:t>
      </w:r>
      <w:r w:rsidRPr="00C95DB5">
        <w:rPr>
          <w:rFonts w:ascii="Times New Roman" w:hAnsi="Times New Roman"/>
          <w:sz w:val="24"/>
          <w:szCs w:val="24"/>
        </w:rPr>
        <w:t xml:space="preserve">Ex-sócio de PC </w:t>
      </w:r>
      <w:r w:rsidR="00C95DB5">
        <w:rPr>
          <w:rFonts w:ascii="Times New Roman" w:hAnsi="Times New Roman"/>
          <w:sz w:val="24"/>
          <w:szCs w:val="24"/>
        </w:rPr>
        <w:t>F</w:t>
      </w:r>
      <w:r w:rsidRPr="00C95DB5">
        <w:rPr>
          <w:rFonts w:ascii="Times New Roman" w:hAnsi="Times New Roman"/>
          <w:sz w:val="24"/>
          <w:szCs w:val="24"/>
        </w:rPr>
        <w:t>arias na direção do Sebrae</w:t>
      </w:r>
      <w:r w:rsidRPr="002A3A41">
        <w:rPr>
          <w:rFonts w:ascii="Times New Roman" w:hAnsi="Times New Roman"/>
          <w:i/>
          <w:sz w:val="24"/>
          <w:szCs w:val="24"/>
        </w:rPr>
        <w:t xml:space="preserve">. </w:t>
      </w:r>
      <w:r w:rsidRPr="00C95DB5">
        <w:rPr>
          <w:rFonts w:ascii="Times New Roman" w:hAnsi="Times New Roman"/>
          <w:bCs/>
          <w:i/>
          <w:sz w:val="24"/>
          <w:szCs w:val="24"/>
        </w:rPr>
        <w:t xml:space="preserve">O </w:t>
      </w:r>
      <w:r w:rsidRPr="00C95DB5">
        <w:rPr>
          <w:rFonts w:ascii="Times New Roman" w:hAnsi="Times New Roman"/>
          <w:i/>
          <w:sz w:val="24"/>
          <w:szCs w:val="24"/>
        </w:rPr>
        <w:t>Globo</w:t>
      </w:r>
      <w:r w:rsidRPr="002A3A41">
        <w:rPr>
          <w:rFonts w:ascii="Times New Roman" w:hAnsi="Times New Roman"/>
          <w:sz w:val="24"/>
          <w:szCs w:val="24"/>
        </w:rPr>
        <w:t>, 04/04/2006.</w:t>
      </w:r>
    </w:p>
    <w:p w:rsidR="002A3A41" w:rsidRPr="002A3A41" w:rsidRDefault="002A3A41" w:rsidP="002A3A41">
      <w:pPr>
        <w:tabs>
          <w:tab w:val="left" w:pos="2418"/>
        </w:tabs>
        <w:rPr>
          <w:rFonts w:ascii="Times New Roman" w:hAnsi="Times New Roman"/>
          <w:sz w:val="24"/>
          <w:szCs w:val="24"/>
        </w:rPr>
      </w:pPr>
      <w:r w:rsidRPr="00C95DB5">
        <w:rPr>
          <w:rStyle w:val="CitaoHTML"/>
          <w:rFonts w:ascii="Times New Roman" w:hAnsi="Times New Roman"/>
          <w:i w:val="0"/>
          <w:sz w:val="24"/>
          <w:szCs w:val="24"/>
        </w:rPr>
        <w:t>Revista</w:t>
      </w:r>
      <w:r w:rsidRPr="002A3A41">
        <w:rPr>
          <w:rFonts w:ascii="Times New Roman" w:hAnsi="Times New Roman"/>
          <w:sz w:val="24"/>
          <w:szCs w:val="24"/>
        </w:rPr>
        <w:t xml:space="preserve">Balanço Anual 2004: a mais completa radiografia dos negócios do País. </w:t>
      </w:r>
      <w:r w:rsidRPr="002A3A41">
        <w:rPr>
          <w:rStyle w:val="CitaoHTML"/>
          <w:rFonts w:ascii="Times New Roman" w:hAnsi="Times New Roman"/>
          <w:sz w:val="24"/>
          <w:szCs w:val="24"/>
        </w:rPr>
        <w:t xml:space="preserve">GAZETA MERCANTIL. </w:t>
      </w:r>
      <w:r w:rsidRPr="002A3A41">
        <w:rPr>
          <w:rFonts w:ascii="Times New Roman" w:hAnsi="Times New Roman"/>
          <w:sz w:val="24"/>
          <w:szCs w:val="24"/>
        </w:rPr>
        <w:t>SP: Editora JB S.A., 2004.</w:t>
      </w:r>
    </w:p>
    <w:p w:rsidR="002A3A41" w:rsidRPr="002A3A41" w:rsidRDefault="002A3A41" w:rsidP="002A3A41">
      <w:pPr>
        <w:spacing w:after="0" w:line="240" w:lineRule="auto"/>
        <w:rPr>
          <w:rFonts w:ascii="Times New Roman" w:hAnsi="Times New Roman"/>
          <w:sz w:val="24"/>
          <w:szCs w:val="24"/>
        </w:rPr>
      </w:pPr>
      <w:r w:rsidRPr="002A3A41">
        <w:rPr>
          <w:rFonts w:ascii="Times New Roman" w:hAnsi="Times New Roman"/>
          <w:sz w:val="24"/>
          <w:szCs w:val="24"/>
        </w:rPr>
        <w:t xml:space="preserve">Revista IstoÉDinheiro. “Chega de prato pronto”. Novo presidente da </w:t>
      </w:r>
      <w:r w:rsidR="000834BC">
        <w:rPr>
          <w:rFonts w:ascii="Times New Roman" w:hAnsi="Times New Roman"/>
          <w:sz w:val="24"/>
          <w:szCs w:val="24"/>
        </w:rPr>
        <w:t>FIESP</w:t>
      </w:r>
      <w:r w:rsidRPr="002A3A41">
        <w:rPr>
          <w:rFonts w:ascii="Times New Roman" w:hAnsi="Times New Roman"/>
          <w:sz w:val="24"/>
          <w:szCs w:val="24"/>
        </w:rPr>
        <w:t xml:space="preserve"> diz que vai criar um movimento pelo crescimento, quer marcar presença em Brasília e promete buscar alianças para influir no processo de decisão econômica. Entrevista com a </w:t>
      </w:r>
      <w:r w:rsidRPr="00C95DB5">
        <w:rPr>
          <w:rFonts w:ascii="Times New Roman" w:hAnsi="Times New Roman"/>
          <w:i/>
          <w:sz w:val="24"/>
          <w:szCs w:val="24"/>
        </w:rPr>
        <w:t>IstoÉDinheiro</w:t>
      </w:r>
      <w:r w:rsidRPr="002A3A41">
        <w:rPr>
          <w:rFonts w:ascii="Times New Roman" w:hAnsi="Times New Roman"/>
          <w:sz w:val="24"/>
          <w:szCs w:val="24"/>
        </w:rPr>
        <w:t xml:space="preserve"> em 06/10/2004. Disponível em &lt;http://www.istoedinheiro.com.br/</w:t>
      </w:r>
    </w:p>
    <w:p w:rsidR="002A3A41" w:rsidRPr="002A3A41" w:rsidRDefault="002A3A41" w:rsidP="002A3A41">
      <w:pPr>
        <w:spacing w:line="240" w:lineRule="auto"/>
        <w:rPr>
          <w:rFonts w:ascii="Times New Roman" w:hAnsi="Times New Roman"/>
          <w:sz w:val="24"/>
          <w:szCs w:val="24"/>
        </w:rPr>
      </w:pPr>
      <w:r w:rsidRPr="002A3A41">
        <w:rPr>
          <w:rFonts w:ascii="Times New Roman" w:hAnsi="Times New Roman"/>
          <w:sz w:val="24"/>
          <w:szCs w:val="24"/>
        </w:rPr>
        <w:t>noticias/entrevistas/20041006/chega-prato-pronto/147623.shtml&gt;. Acesso em 14/08/2014.</w:t>
      </w:r>
    </w:p>
    <w:p w:rsidR="002A3A41" w:rsidRPr="002A3A41" w:rsidRDefault="002A3A41" w:rsidP="002A3A41">
      <w:pPr>
        <w:spacing w:after="0" w:line="240" w:lineRule="auto"/>
        <w:jc w:val="both"/>
        <w:rPr>
          <w:rFonts w:ascii="Times New Roman" w:hAnsi="Times New Roman"/>
          <w:color w:val="000000"/>
          <w:sz w:val="24"/>
          <w:szCs w:val="24"/>
        </w:rPr>
      </w:pPr>
      <w:r w:rsidRPr="002A3A41">
        <w:rPr>
          <w:rFonts w:ascii="Times New Roman" w:hAnsi="Times New Roman"/>
          <w:color w:val="000000"/>
          <w:sz w:val="24"/>
          <w:szCs w:val="24"/>
        </w:rPr>
        <w:t>Revista Poli: Saúde, Educação e Trabalho – jornalismo público para o fortalecimento da Educação Profissional em Saúde. Ano VI – nº 32, jan/fev 2014.</w:t>
      </w:r>
    </w:p>
    <w:p w:rsidR="002A3A41" w:rsidRPr="002A3A41" w:rsidRDefault="002A3A41" w:rsidP="002A3A41">
      <w:pPr>
        <w:spacing w:after="0" w:line="240" w:lineRule="auto"/>
        <w:jc w:val="both"/>
        <w:rPr>
          <w:rFonts w:ascii="Times New Roman" w:hAnsi="Times New Roman"/>
          <w:color w:val="000000"/>
          <w:sz w:val="24"/>
          <w:szCs w:val="24"/>
        </w:rPr>
      </w:pPr>
    </w:p>
    <w:p w:rsidR="002A3A41" w:rsidRPr="002A3A41" w:rsidRDefault="002A3A41" w:rsidP="002A3A41">
      <w:pPr>
        <w:spacing w:after="0" w:line="240" w:lineRule="auto"/>
        <w:jc w:val="both"/>
        <w:rPr>
          <w:rFonts w:ascii="Times New Roman" w:hAnsi="Times New Roman"/>
          <w:color w:val="000000"/>
          <w:sz w:val="24"/>
          <w:szCs w:val="24"/>
        </w:rPr>
      </w:pPr>
      <w:r w:rsidRPr="002A3A41">
        <w:rPr>
          <w:rFonts w:ascii="Times New Roman" w:hAnsi="Times New Roman"/>
          <w:sz w:val="24"/>
          <w:szCs w:val="24"/>
        </w:rPr>
        <w:t>Revista Poli</w:t>
      </w:r>
      <w:r w:rsidR="00C95DB5">
        <w:rPr>
          <w:rFonts w:ascii="Times New Roman" w:hAnsi="Times New Roman"/>
          <w:sz w:val="24"/>
          <w:szCs w:val="24"/>
        </w:rPr>
        <w:t>:</w:t>
      </w:r>
      <w:r w:rsidRPr="002A3A41">
        <w:rPr>
          <w:rFonts w:ascii="Times New Roman" w:hAnsi="Times New Roman"/>
          <w:sz w:val="24"/>
          <w:szCs w:val="24"/>
        </w:rPr>
        <w:t xml:space="preserve"> Saúde, Educação e Trabalho </w:t>
      </w:r>
      <w:r w:rsidRPr="002A3A41">
        <w:rPr>
          <w:rFonts w:ascii="Times New Roman" w:hAnsi="Times New Roman"/>
          <w:color w:val="000000"/>
          <w:sz w:val="24"/>
          <w:szCs w:val="24"/>
        </w:rPr>
        <w:t>– jornalismo público para o fortalecimento da Educação Profissional em Saúde</w:t>
      </w:r>
      <w:r w:rsidRPr="002A3A41">
        <w:rPr>
          <w:rFonts w:ascii="Times New Roman" w:hAnsi="Times New Roman"/>
          <w:sz w:val="24"/>
          <w:szCs w:val="24"/>
        </w:rPr>
        <w:t>. Ano VII, nº 37, nov/dez 2014.</w:t>
      </w:r>
    </w:p>
    <w:p w:rsidR="002A3A41" w:rsidRPr="002A3A41" w:rsidRDefault="002A3A41" w:rsidP="002A3A41">
      <w:pPr>
        <w:spacing w:before="240"/>
        <w:rPr>
          <w:rFonts w:ascii="Times New Roman" w:hAnsi="Times New Roman"/>
          <w:sz w:val="24"/>
          <w:szCs w:val="24"/>
        </w:rPr>
      </w:pPr>
      <w:r w:rsidRPr="002A3A41">
        <w:rPr>
          <w:rFonts w:ascii="Times New Roman" w:hAnsi="Times New Roman"/>
          <w:sz w:val="24"/>
          <w:szCs w:val="24"/>
        </w:rPr>
        <w:t>Revista Valor Grandes Grupos - 200 Maiores. Ano 3, Nº 3, Dezembro de 2004.</w:t>
      </w: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Revista Valor 1000 Maiores Empresas. Ano 4, Julho de 2004.</w:t>
      </w:r>
    </w:p>
    <w:p w:rsidR="002A3A41" w:rsidRPr="002A3A41" w:rsidRDefault="002A3A41" w:rsidP="002A3A41">
      <w:pPr>
        <w:rPr>
          <w:rFonts w:ascii="Times New Roman" w:hAnsi="Times New Roman"/>
          <w:sz w:val="24"/>
          <w:szCs w:val="24"/>
        </w:rPr>
      </w:pPr>
      <w:r w:rsidRPr="002A3A41">
        <w:rPr>
          <w:rFonts w:ascii="Times New Roman" w:hAnsi="Times New Roman"/>
          <w:sz w:val="24"/>
          <w:szCs w:val="24"/>
        </w:rPr>
        <w:t xml:space="preserve">Revista Valor 1000 Maiores Empresas. Ano 6, Agosto de 2006. </w:t>
      </w:r>
    </w:p>
    <w:p w:rsidR="002A3A41" w:rsidRPr="002A3A41" w:rsidRDefault="002A3A41" w:rsidP="002A3A41">
      <w:pPr>
        <w:autoSpaceDE w:val="0"/>
        <w:autoSpaceDN w:val="0"/>
        <w:adjustRightInd w:val="0"/>
        <w:spacing w:line="240" w:lineRule="auto"/>
        <w:rPr>
          <w:rFonts w:ascii="Times New Roman" w:hAnsi="Times New Roman"/>
          <w:sz w:val="24"/>
          <w:szCs w:val="24"/>
        </w:rPr>
      </w:pPr>
      <w:r w:rsidRPr="002A3A41">
        <w:rPr>
          <w:rFonts w:ascii="Times New Roman" w:hAnsi="Times New Roman"/>
          <w:sz w:val="24"/>
          <w:szCs w:val="24"/>
        </w:rPr>
        <w:t xml:space="preserve">SALEM, Armando V. </w:t>
      </w:r>
      <w:r w:rsidRPr="00C95DB5">
        <w:rPr>
          <w:rFonts w:ascii="Times New Roman" w:hAnsi="Times New Roman"/>
          <w:sz w:val="24"/>
          <w:szCs w:val="24"/>
        </w:rPr>
        <w:t>Enfim, a opção pelo crescimento</w:t>
      </w:r>
      <w:r w:rsidRPr="002A3A41">
        <w:rPr>
          <w:rFonts w:ascii="Times New Roman" w:hAnsi="Times New Roman"/>
          <w:sz w:val="24"/>
          <w:szCs w:val="24"/>
        </w:rPr>
        <w:t xml:space="preserve">. </w:t>
      </w:r>
      <w:r w:rsidRPr="00C95DB5">
        <w:rPr>
          <w:rFonts w:ascii="Times New Roman" w:hAnsi="Times New Roman"/>
          <w:i/>
          <w:sz w:val="24"/>
          <w:szCs w:val="24"/>
        </w:rPr>
        <w:t>Revista da Indústria</w:t>
      </w:r>
      <w:r w:rsidRPr="002A3A41">
        <w:rPr>
          <w:rFonts w:ascii="Times New Roman" w:hAnsi="Times New Roman"/>
          <w:sz w:val="24"/>
          <w:szCs w:val="24"/>
        </w:rPr>
        <w:t>, nº 125, fevereiro 2007.</w:t>
      </w:r>
    </w:p>
    <w:p w:rsidR="002A3A41" w:rsidRPr="002A3A41" w:rsidRDefault="002A3A41" w:rsidP="002A3A41">
      <w:pPr>
        <w:autoSpaceDE w:val="0"/>
        <w:autoSpaceDN w:val="0"/>
        <w:adjustRightInd w:val="0"/>
        <w:spacing w:line="240" w:lineRule="auto"/>
        <w:rPr>
          <w:rFonts w:ascii="Times New Roman" w:hAnsi="Times New Roman"/>
          <w:sz w:val="24"/>
          <w:szCs w:val="24"/>
        </w:rPr>
      </w:pPr>
      <w:r w:rsidRPr="002A3A41">
        <w:rPr>
          <w:rFonts w:ascii="Times New Roman" w:hAnsi="Times New Roman"/>
          <w:sz w:val="24"/>
          <w:szCs w:val="24"/>
        </w:rPr>
        <w:t xml:space="preserve">SECCO, Alexandre e PATURY, Felipe. </w:t>
      </w:r>
      <w:r w:rsidRPr="00C95DB5">
        <w:rPr>
          <w:rFonts w:ascii="Times New Roman" w:hAnsi="Times New Roman"/>
          <w:sz w:val="24"/>
          <w:szCs w:val="24"/>
        </w:rPr>
        <w:t>O campeão mundial do suco de laranja</w:t>
      </w:r>
      <w:r w:rsidRPr="002A3A41">
        <w:rPr>
          <w:rFonts w:ascii="Times New Roman" w:hAnsi="Times New Roman"/>
          <w:sz w:val="24"/>
          <w:szCs w:val="24"/>
        </w:rPr>
        <w:t xml:space="preserve">. </w:t>
      </w:r>
      <w:r w:rsidRPr="00C95DB5">
        <w:rPr>
          <w:rFonts w:ascii="Times New Roman" w:hAnsi="Times New Roman"/>
          <w:i/>
          <w:sz w:val="24"/>
          <w:szCs w:val="24"/>
        </w:rPr>
        <w:t>Revista Veja</w:t>
      </w:r>
      <w:r w:rsidRPr="002A3A41">
        <w:rPr>
          <w:rFonts w:ascii="Times New Roman" w:hAnsi="Times New Roman"/>
          <w:sz w:val="24"/>
          <w:szCs w:val="24"/>
        </w:rPr>
        <w:t>, Ed. 1802, 14/05/2003.</w:t>
      </w:r>
    </w:p>
    <w:p w:rsidR="00BF2FC7" w:rsidRDefault="002A3A41" w:rsidP="001F3779">
      <w:pPr>
        <w:autoSpaceDE w:val="0"/>
        <w:autoSpaceDN w:val="0"/>
        <w:adjustRightInd w:val="0"/>
        <w:spacing w:line="240" w:lineRule="auto"/>
        <w:rPr>
          <w:rFonts w:ascii="Times New Roman" w:hAnsi="Times New Roman"/>
          <w:sz w:val="24"/>
          <w:szCs w:val="24"/>
        </w:rPr>
      </w:pPr>
      <w:r w:rsidRPr="002A3A41">
        <w:rPr>
          <w:rFonts w:ascii="Times New Roman" w:hAnsi="Times New Roman"/>
          <w:sz w:val="24"/>
          <w:szCs w:val="24"/>
        </w:rPr>
        <w:t xml:space="preserve">VALLE, Sabrina e AMORIM, Daniela. </w:t>
      </w:r>
      <w:r w:rsidRPr="00C95DB5">
        <w:rPr>
          <w:rFonts w:ascii="Times New Roman" w:hAnsi="Times New Roman"/>
          <w:sz w:val="24"/>
          <w:szCs w:val="24"/>
        </w:rPr>
        <w:t>Exportar alimentos não é volta ao passado, diz ÚNICA</w:t>
      </w:r>
      <w:r w:rsidRPr="002A3A41">
        <w:rPr>
          <w:rFonts w:ascii="Times New Roman" w:hAnsi="Times New Roman"/>
          <w:sz w:val="24"/>
          <w:szCs w:val="24"/>
        </w:rPr>
        <w:t xml:space="preserve">. </w:t>
      </w:r>
      <w:r w:rsidRPr="00C95DB5">
        <w:rPr>
          <w:rFonts w:ascii="Times New Roman" w:hAnsi="Times New Roman"/>
          <w:i/>
          <w:sz w:val="24"/>
          <w:szCs w:val="24"/>
        </w:rPr>
        <w:t>Revista Veja</w:t>
      </w:r>
      <w:r w:rsidRPr="002A3A41">
        <w:rPr>
          <w:rFonts w:ascii="Times New Roman" w:hAnsi="Times New Roman"/>
          <w:sz w:val="24"/>
          <w:szCs w:val="24"/>
        </w:rPr>
        <w:t>, 19/08/2011.</w:t>
      </w:r>
    </w:p>
    <w:p w:rsidR="00AE55C1" w:rsidRDefault="00AE55C1" w:rsidP="001F3779">
      <w:pPr>
        <w:autoSpaceDE w:val="0"/>
        <w:autoSpaceDN w:val="0"/>
        <w:adjustRightInd w:val="0"/>
        <w:spacing w:line="240" w:lineRule="auto"/>
        <w:rPr>
          <w:rFonts w:ascii="Times New Roman" w:hAnsi="Times New Roman"/>
          <w:sz w:val="24"/>
          <w:szCs w:val="24"/>
        </w:rPr>
      </w:pPr>
    </w:p>
    <w:p w:rsidR="00AE55C1" w:rsidRDefault="00AE55C1" w:rsidP="001F3779">
      <w:pPr>
        <w:autoSpaceDE w:val="0"/>
        <w:autoSpaceDN w:val="0"/>
        <w:adjustRightInd w:val="0"/>
        <w:spacing w:line="240" w:lineRule="auto"/>
        <w:rPr>
          <w:rFonts w:ascii="Times New Roman" w:hAnsi="Times New Roman"/>
          <w:sz w:val="24"/>
          <w:szCs w:val="24"/>
        </w:rPr>
      </w:pPr>
    </w:p>
    <w:p w:rsidR="00AE55C1" w:rsidRDefault="00AE55C1" w:rsidP="001F3779">
      <w:pPr>
        <w:autoSpaceDE w:val="0"/>
        <w:autoSpaceDN w:val="0"/>
        <w:adjustRightInd w:val="0"/>
        <w:spacing w:line="240" w:lineRule="auto"/>
        <w:rPr>
          <w:rFonts w:ascii="Times New Roman" w:hAnsi="Times New Roman"/>
          <w:sz w:val="24"/>
          <w:szCs w:val="24"/>
        </w:rPr>
      </w:pPr>
    </w:p>
    <w:p w:rsidR="00AE55C1" w:rsidRDefault="00AE55C1" w:rsidP="001F3779">
      <w:pPr>
        <w:autoSpaceDE w:val="0"/>
        <w:autoSpaceDN w:val="0"/>
        <w:adjustRightInd w:val="0"/>
        <w:spacing w:line="240" w:lineRule="auto"/>
        <w:rPr>
          <w:rFonts w:ascii="Times New Roman" w:hAnsi="Times New Roman"/>
          <w:sz w:val="24"/>
          <w:szCs w:val="24"/>
        </w:rPr>
      </w:pPr>
    </w:p>
    <w:p w:rsidR="00AE55C1" w:rsidRDefault="00AE55C1" w:rsidP="001F3779">
      <w:pPr>
        <w:autoSpaceDE w:val="0"/>
        <w:autoSpaceDN w:val="0"/>
        <w:adjustRightInd w:val="0"/>
        <w:spacing w:line="240" w:lineRule="auto"/>
        <w:rPr>
          <w:rFonts w:ascii="Times New Roman" w:hAnsi="Times New Roman"/>
          <w:sz w:val="24"/>
          <w:szCs w:val="24"/>
        </w:rPr>
      </w:pPr>
    </w:p>
    <w:p w:rsidR="00AE55C1" w:rsidRDefault="00AE55C1" w:rsidP="001F3779">
      <w:pPr>
        <w:autoSpaceDE w:val="0"/>
        <w:autoSpaceDN w:val="0"/>
        <w:adjustRightInd w:val="0"/>
        <w:spacing w:line="240" w:lineRule="auto"/>
        <w:rPr>
          <w:rFonts w:ascii="Times New Roman" w:hAnsi="Times New Roman"/>
          <w:sz w:val="24"/>
          <w:szCs w:val="24"/>
        </w:rPr>
      </w:pPr>
    </w:p>
    <w:p w:rsidR="00AE55C1" w:rsidRDefault="00AE55C1" w:rsidP="001F3779">
      <w:pPr>
        <w:autoSpaceDE w:val="0"/>
        <w:autoSpaceDN w:val="0"/>
        <w:adjustRightInd w:val="0"/>
        <w:spacing w:line="240" w:lineRule="auto"/>
        <w:rPr>
          <w:rFonts w:ascii="Times New Roman" w:hAnsi="Times New Roman"/>
          <w:sz w:val="24"/>
          <w:szCs w:val="24"/>
        </w:rPr>
      </w:pPr>
    </w:p>
    <w:p w:rsidR="00AE55C1" w:rsidRDefault="00AE55C1" w:rsidP="001F3779">
      <w:pPr>
        <w:autoSpaceDE w:val="0"/>
        <w:autoSpaceDN w:val="0"/>
        <w:adjustRightInd w:val="0"/>
        <w:spacing w:line="240" w:lineRule="auto"/>
        <w:rPr>
          <w:rFonts w:ascii="Times New Roman" w:hAnsi="Times New Roman"/>
          <w:sz w:val="24"/>
          <w:szCs w:val="24"/>
        </w:rPr>
      </w:pPr>
    </w:p>
    <w:p w:rsidR="00AE55C1" w:rsidRDefault="00AE55C1" w:rsidP="001F3779">
      <w:pPr>
        <w:autoSpaceDE w:val="0"/>
        <w:autoSpaceDN w:val="0"/>
        <w:adjustRightInd w:val="0"/>
        <w:spacing w:line="240" w:lineRule="auto"/>
        <w:rPr>
          <w:rFonts w:ascii="Times New Roman" w:hAnsi="Times New Roman"/>
          <w:sz w:val="24"/>
          <w:szCs w:val="24"/>
        </w:rPr>
      </w:pPr>
    </w:p>
    <w:p w:rsidR="00AE55C1" w:rsidRDefault="00AE55C1" w:rsidP="001F3779">
      <w:pPr>
        <w:autoSpaceDE w:val="0"/>
        <w:autoSpaceDN w:val="0"/>
        <w:adjustRightInd w:val="0"/>
        <w:spacing w:line="240" w:lineRule="auto"/>
        <w:rPr>
          <w:rFonts w:ascii="Times New Roman" w:hAnsi="Times New Roman"/>
          <w:sz w:val="24"/>
          <w:szCs w:val="24"/>
        </w:rPr>
      </w:pPr>
    </w:p>
    <w:p w:rsidR="00AE55C1" w:rsidRDefault="00AE55C1">
      <w:pPr>
        <w:spacing w:after="0" w:line="240" w:lineRule="auto"/>
        <w:rPr>
          <w:rFonts w:ascii="Times New Roman" w:hAnsi="Times New Roman"/>
          <w:sz w:val="24"/>
          <w:szCs w:val="24"/>
        </w:rPr>
      </w:pPr>
      <w:r>
        <w:rPr>
          <w:rFonts w:ascii="Times New Roman" w:hAnsi="Times New Roman"/>
          <w:sz w:val="24"/>
          <w:szCs w:val="24"/>
        </w:rPr>
        <w:br w:type="page"/>
      </w:r>
    </w:p>
    <w:p w:rsidR="00A87CE6" w:rsidRDefault="00A87CE6" w:rsidP="00A87CE6">
      <w:pPr>
        <w:pStyle w:val="Cabealho"/>
        <w:jc w:val="both"/>
        <w:rPr>
          <w:rFonts w:ascii="Times New Roman" w:hAnsi="Times New Roman"/>
          <w:b/>
          <w:sz w:val="24"/>
          <w:szCs w:val="24"/>
        </w:rPr>
      </w:pPr>
      <w:r>
        <w:rPr>
          <w:rFonts w:ascii="Times New Roman" w:hAnsi="Times New Roman"/>
          <w:b/>
          <w:sz w:val="24"/>
          <w:szCs w:val="24"/>
        </w:rPr>
        <w:t>7.0 – ANEXOS</w:t>
      </w:r>
    </w:p>
    <w:p w:rsidR="00A87CE6" w:rsidRDefault="00A87CE6" w:rsidP="00A87CE6">
      <w:pPr>
        <w:pStyle w:val="Cabealho"/>
        <w:jc w:val="both"/>
        <w:rPr>
          <w:rFonts w:ascii="Times New Roman" w:hAnsi="Times New Roman"/>
          <w:b/>
          <w:sz w:val="24"/>
          <w:szCs w:val="24"/>
        </w:rPr>
      </w:pPr>
    </w:p>
    <w:p w:rsidR="00A87CE6" w:rsidRDefault="00A87CE6" w:rsidP="00A87CE6">
      <w:pPr>
        <w:pStyle w:val="Cabealho"/>
        <w:jc w:val="both"/>
        <w:rPr>
          <w:rFonts w:ascii="Times New Roman" w:hAnsi="Times New Roman"/>
          <w:b/>
          <w:sz w:val="24"/>
          <w:szCs w:val="24"/>
        </w:rPr>
      </w:pPr>
    </w:p>
    <w:p w:rsidR="00A87CE6" w:rsidRDefault="00A87CE6" w:rsidP="00A87CE6">
      <w:pPr>
        <w:pStyle w:val="Cabealho"/>
        <w:jc w:val="both"/>
        <w:rPr>
          <w:rFonts w:ascii="Times New Roman" w:hAnsi="Times New Roman"/>
          <w:b/>
          <w:sz w:val="24"/>
          <w:szCs w:val="24"/>
        </w:rPr>
      </w:pPr>
    </w:p>
    <w:p w:rsidR="00A87CE6" w:rsidRDefault="00A87CE6" w:rsidP="00A87CE6">
      <w:pPr>
        <w:pStyle w:val="Cabealho"/>
        <w:jc w:val="both"/>
        <w:rPr>
          <w:rFonts w:ascii="Times New Roman" w:hAnsi="Times New Roman"/>
          <w:b/>
          <w:sz w:val="24"/>
          <w:szCs w:val="24"/>
        </w:rPr>
      </w:pPr>
    </w:p>
    <w:p w:rsidR="00AE55C1" w:rsidRDefault="00B83E5D" w:rsidP="00AE55C1">
      <w:pPr>
        <w:pStyle w:val="Cabealho"/>
        <w:jc w:val="center"/>
        <w:rPr>
          <w:rFonts w:ascii="Times New Roman" w:hAnsi="Times New Roman"/>
          <w:b/>
          <w:sz w:val="24"/>
          <w:szCs w:val="24"/>
        </w:rPr>
      </w:pPr>
      <w:r>
        <w:rPr>
          <w:rFonts w:ascii="Times New Roman" w:hAnsi="Times New Roman"/>
          <w:b/>
          <w:sz w:val="24"/>
          <w:szCs w:val="24"/>
        </w:rPr>
        <w:t>ANEXO A</w:t>
      </w:r>
    </w:p>
    <w:p w:rsidR="00AE55C1" w:rsidRDefault="00AE55C1" w:rsidP="00AE55C1">
      <w:pPr>
        <w:pStyle w:val="Cabealho"/>
        <w:jc w:val="center"/>
        <w:rPr>
          <w:rFonts w:ascii="Times New Roman" w:hAnsi="Times New Roman"/>
          <w:b/>
          <w:sz w:val="24"/>
          <w:szCs w:val="24"/>
        </w:rPr>
      </w:pPr>
    </w:p>
    <w:p w:rsidR="00AE55C1" w:rsidRPr="00B379D9" w:rsidRDefault="00AE55C1" w:rsidP="00AE55C1">
      <w:pPr>
        <w:pStyle w:val="Cabealho"/>
        <w:jc w:val="center"/>
        <w:rPr>
          <w:rFonts w:ascii="Times New Roman" w:hAnsi="Times New Roman"/>
          <w:b/>
          <w:sz w:val="24"/>
          <w:szCs w:val="24"/>
        </w:rPr>
      </w:pPr>
      <w:r w:rsidRPr="00B379D9">
        <w:rPr>
          <w:rFonts w:ascii="Times New Roman" w:hAnsi="Times New Roman"/>
          <w:b/>
          <w:sz w:val="24"/>
          <w:szCs w:val="24"/>
        </w:rPr>
        <w:t>Vinculações dos Conselheiros-Empresários com os demais órgãos da Sociedade Política</w:t>
      </w:r>
      <w:r>
        <w:rPr>
          <w:rFonts w:ascii="Times New Roman" w:hAnsi="Times New Roman"/>
          <w:b/>
          <w:sz w:val="24"/>
          <w:szCs w:val="24"/>
        </w:rPr>
        <w:t xml:space="preserve"> (por conselheiro)</w:t>
      </w:r>
    </w:p>
    <w:p w:rsidR="00AE55C1" w:rsidRPr="006D6913" w:rsidRDefault="00AE55C1" w:rsidP="00AE55C1">
      <w:pPr>
        <w:pStyle w:val="Cabealho"/>
      </w:pPr>
    </w:p>
    <w:tbl>
      <w:tblPr>
        <w:tblW w:w="4960" w:type="pct"/>
        <w:tblInd w:w="-3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3020"/>
        <w:gridCol w:w="6193"/>
      </w:tblGrid>
      <w:tr w:rsidR="00AE55C1" w:rsidRPr="008211FD" w:rsidTr="00AE55C1">
        <w:tc>
          <w:tcPr>
            <w:tcW w:w="1639" w:type="pct"/>
            <w:tcBorders>
              <w:top w:val="single" w:sz="8" w:space="0" w:color="4F81BD"/>
              <w:left w:val="single" w:sz="8" w:space="0" w:color="4F81BD"/>
              <w:bottom w:val="single" w:sz="18" w:space="0" w:color="4F81BD"/>
              <w:right w:val="single" w:sz="8" w:space="0" w:color="4F81BD"/>
            </w:tcBorders>
          </w:tcPr>
          <w:p w:rsidR="00AE55C1" w:rsidRPr="008211FD" w:rsidRDefault="00AE55C1" w:rsidP="00AE55C1">
            <w:pPr>
              <w:spacing w:after="0" w:line="240" w:lineRule="auto"/>
              <w:rPr>
                <w:rFonts w:ascii="Times New Roman" w:eastAsia="Times New Roman" w:hAnsi="Times New Roman"/>
                <w:b/>
                <w:bCs/>
                <w:sz w:val="20"/>
                <w:szCs w:val="20"/>
              </w:rPr>
            </w:pPr>
            <w:r w:rsidRPr="008211FD">
              <w:rPr>
                <w:rFonts w:ascii="Times New Roman" w:eastAsia="Times New Roman" w:hAnsi="Times New Roman"/>
                <w:b/>
                <w:bCs/>
                <w:sz w:val="20"/>
                <w:szCs w:val="20"/>
              </w:rPr>
              <w:t>Conselheiros-Empresários</w:t>
            </w:r>
          </w:p>
        </w:tc>
        <w:tc>
          <w:tcPr>
            <w:tcW w:w="3361" w:type="pct"/>
            <w:tcBorders>
              <w:top w:val="single" w:sz="8" w:space="0" w:color="4F81BD"/>
              <w:left w:val="single" w:sz="8" w:space="0" w:color="4F81BD"/>
              <w:bottom w:val="single" w:sz="18" w:space="0" w:color="4F81BD"/>
              <w:right w:val="single" w:sz="8" w:space="0" w:color="4F81BD"/>
            </w:tcBorders>
          </w:tcPr>
          <w:p w:rsidR="00AE55C1" w:rsidRPr="008211FD" w:rsidRDefault="00AE55C1" w:rsidP="00AE55C1">
            <w:pPr>
              <w:spacing w:after="0" w:line="240" w:lineRule="auto"/>
              <w:jc w:val="both"/>
              <w:rPr>
                <w:rFonts w:ascii="Times New Roman" w:eastAsia="Times New Roman" w:hAnsi="Times New Roman"/>
                <w:b/>
                <w:bCs/>
                <w:sz w:val="20"/>
                <w:szCs w:val="20"/>
              </w:rPr>
            </w:pPr>
            <w:r w:rsidRPr="008211FD">
              <w:rPr>
                <w:rFonts w:ascii="Times New Roman" w:eastAsia="Times New Roman" w:hAnsi="Times New Roman"/>
                <w:b/>
                <w:bCs/>
                <w:sz w:val="20"/>
                <w:szCs w:val="20"/>
              </w:rPr>
              <w:t>Vinculações ao Estado restrito</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spacing w:after="0" w:line="240" w:lineRule="auto"/>
              <w:rPr>
                <w:rFonts w:ascii="Times New Roman" w:eastAsia="Times New Roman" w:hAnsi="Times New Roman"/>
                <w:b/>
                <w:bCs/>
                <w:sz w:val="20"/>
                <w:szCs w:val="20"/>
              </w:rPr>
            </w:pPr>
            <w:r w:rsidRPr="007E2439">
              <w:rPr>
                <w:rFonts w:ascii="Times New Roman" w:eastAsia="Times New Roman" w:hAnsi="Times New Roman"/>
                <w:b/>
                <w:bCs/>
                <w:sz w:val="20"/>
                <w:szCs w:val="20"/>
              </w:rPr>
              <w:t>Antoninho Trevisan</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pStyle w:val="DecimalAligned"/>
              <w:tabs>
                <w:tab w:val="clear" w:pos="360"/>
                <w:tab w:val="decimal" w:pos="0"/>
              </w:tabs>
              <w:spacing w:after="0" w:line="240" w:lineRule="auto"/>
              <w:jc w:val="both"/>
              <w:rPr>
                <w:rFonts w:ascii="Times New Roman" w:hAnsi="Times New Roman"/>
                <w:b/>
                <w:sz w:val="20"/>
                <w:szCs w:val="20"/>
              </w:rPr>
            </w:pPr>
            <w:r w:rsidRPr="008211FD">
              <w:rPr>
                <w:rFonts w:ascii="Times New Roman" w:hAnsi="Times New Roman"/>
                <w:sz w:val="20"/>
                <w:szCs w:val="20"/>
                <w:lang w:val="pt-PT"/>
              </w:rPr>
              <w:t>Presidente do Conselho do Programa da Qualidade no Serviço Público, vinculado ao Ministério do Planejamento, Orçamento e Gestão.</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Antonio Carlos Valente da Silva</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pStyle w:val="pleft"/>
              <w:spacing w:before="0" w:beforeAutospacing="0" w:after="0" w:afterAutospacing="0"/>
              <w:jc w:val="both"/>
              <w:rPr>
                <w:b/>
                <w:color w:val="000000"/>
                <w:sz w:val="20"/>
                <w:szCs w:val="20"/>
              </w:rPr>
            </w:pPr>
            <w:r w:rsidRPr="008211FD">
              <w:rPr>
                <w:sz w:val="20"/>
                <w:szCs w:val="20"/>
              </w:rPr>
              <w:t xml:space="preserve">Vice-presidente da ANATEL (2001-2004). </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pStyle w:val="NormalWeb"/>
              <w:spacing w:before="0" w:beforeAutospacing="0" w:after="0" w:afterAutospacing="0"/>
              <w:jc w:val="both"/>
              <w:rPr>
                <w:b/>
                <w:bCs/>
                <w:sz w:val="20"/>
                <w:szCs w:val="20"/>
              </w:rPr>
            </w:pPr>
            <w:r>
              <w:rPr>
                <w:b/>
                <w:bCs/>
                <w:sz w:val="20"/>
                <w:szCs w:val="20"/>
              </w:rPr>
              <w:t>Antônio Gil</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pStyle w:val="pleft"/>
              <w:spacing w:before="0" w:beforeAutospacing="0" w:after="0" w:afterAutospacing="0"/>
              <w:jc w:val="both"/>
              <w:rPr>
                <w:sz w:val="20"/>
                <w:szCs w:val="20"/>
              </w:rPr>
            </w:pPr>
            <w:r w:rsidRPr="008211FD">
              <w:rPr>
                <w:color w:val="000000"/>
                <w:sz w:val="20"/>
                <w:szCs w:val="20"/>
              </w:rPr>
              <w:t>Conselho Consultivo do Setor Privado (CONEX) da CAMEX.</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spacing w:after="0" w:line="240" w:lineRule="auto"/>
              <w:rPr>
                <w:rFonts w:ascii="Times New Roman" w:eastAsia="Times New Roman" w:hAnsi="Times New Roman"/>
                <w:b/>
                <w:bCs/>
                <w:sz w:val="20"/>
                <w:szCs w:val="20"/>
              </w:rPr>
            </w:pPr>
            <w:r w:rsidRPr="007E2439">
              <w:rPr>
                <w:rFonts w:ascii="Times New Roman" w:eastAsia="Times New Roman" w:hAnsi="Times New Roman"/>
                <w:b/>
                <w:bCs/>
                <w:sz w:val="20"/>
                <w:szCs w:val="20"/>
              </w:rPr>
              <w:t>Benjamin Steinbruch</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spacing w:after="0" w:line="240" w:lineRule="auto"/>
              <w:jc w:val="both"/>
              <w:rPr>
                <w:rFonts w:ascii="Times New Roman" w:hAnsi="Times New Roman"/>
                <w:b/>
                <w:color w:val="000000"/>
                <w:sz w:val="20"/>
                <w:szCs w:val="20"/>
              </w:rPr>
            </w:pPr>
            <w:r w:rsidRPr="008211FD">
              <w:rPr>
                <w:rFonts w:ascii="Times New Roman" w:hAnsi="Times New Roman"/>
                <w:color w:val="000000"/>
                <w:sz w:val="20"/>
                <w:szCs w:val="20"/>
              </w:rPr>
              <w:t xml:space="preserve">Conselhos de Administração do BNDES, Petrobrás e CETESB. </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spacing w:after="0" w:line="240" w:lineRule="auto"/>
              <w:rPr>
                <w:rFonts w:ascii="Times New Roman" w:eastAsia="Times New Roman" w:hAnsi="Times New Roman"/>
                <w:b/>
                <w:bCs/>
                <w:sz w:val="20"/>
                <w:szCs w:val="20"/>
              </w:rPr>
            </w:pPr>
            <w:r w:rsidRPr="007E2439">
              <w:rPr>
                <w:rFonts w:ascii="Times New Roman" w:eastAsia="Times New Roman" w:hAnsi="Times New Roman"/>
                <w:b/>
                <w:bCs/>
                <w:sz w:val="20"/>
                <w:szCs w:val="20"/>
              </w:rPr>
              <w:t>Cláudio Elias Conz</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pStyle w:val="pleft"/>
              <w:spacing w:after="0" w:afterAutospacing="0"/>
              <w:jc w:val="both"/>
              <w:rPr>
                <w:b/>
                <w:color w:val="FF0000"/>
                <w:sz w:val="20"/>
                <w:szCs w:val="20"/>
              </w:rPr>
            </w:pPr>
            <w:r w:rsidRPr="008211FD">
              <w:rPr>
                <w:sz w:val="20"/>
                <w:szCs w:val="20"/>
              </w:rPr>
              <w:t>É membro do Grupo de Acompanhamento da Crise, junto ao Ministério da Fazenda. Membro do Conselho Curador do FGTS representando a Confederação Nacional do Comércio (CNC).</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270917" w:rsidRDefault="00AE55C1" w:rsidP="00AE55C1">
            <w:pPr>
              <w:spacing w:after="0" w:line="240" w:lineRule="auto"/>
              <w:rPr>
                <w:rFonts w:ascii="Times New Roman" w:eastAsia="Times New Roman" w:hAnsi="Times New Roman"/>
                <w:b/>
                <w:bCs/>
                <w:sz w:val="20"/>
                <w:szCs w:val="20"/>
              </w:rPr>
            </w:pPr>
            <w:r w:rsidRPr="00270917">
              <w:rPr>
                <w:rFonts w:ascii="Times New Roman" w:hAnsi="Times New Roman"/>
                <w:b/>
                <w:sz w:val="20"/>
                <w:szCs w:val="20"/>
              </w:rPr>
              <w:t>Cledorvino Bellini</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pStyle w:val="pleft"/>
              <w:spacing w:after="0" w:afterAutospacing="0"/>
              <w:jc w:val="both"/>
              <w:rPr>
                <w:sz w:val="20"/>
                <w:szCs w:val="20"/>
              </w:rPr>
            </w:pPr>
            <w:r w:rsidRPr="008211FD">
              <w:rPr>
                <w:color w:val="000000"/>
                <w:sz w:val="20"/>
                <w:szCs w:val="20"/>
              </w:rPr>
              <w:t>Conselho Consultivo do Setor Privado (CONEX) da CAMEX.</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4E4884" w:rsidRDefault="00AE55C1" w:rsidP="00AE55C1">
            <w:pPr>
              <w:spacing w:after="0" w:line="240" w:lineRule="auto"/>
              <w:rPr>
                <w:rFonts w:ascii="Times New Roman" w:eastAsia="Times New Roman" w:hAnsi="Times New Roman"/>
                <w:b/>
                <w:bCs/>
                <w:sz w:val="20"/>
                <w:szCs w:val="20"/>
              </w:rPr>
            </w:pPr>
            <w:r>
              <w:rPr>
                <w:rFonts w:ascii="Times New Roman" w:eastAsia="Times New Roman" w:hAnsi="Times New Roman"/>
                <w:b/>
                <w:bCs/>
                <w:sz w:val="20"/>
                <w:szCs w:val="20"/>
              </w:rPr>
              <w:t>Daniel Feffer</w:t>
            </w:r>
          </w:p>
        </w:tc>
        <w:tc>
          <w:tcPr>
            <w:tcW w:w="3361" w:type="pct"/>
            <w:tcBorders>
              <w:top w:val="single" w:sz="8" w:space="0" w:color="4F81BD"/>
              <w:left w:val="single" w:sz="8" w:space="0" w:color="4F81BD"/>
              <w:bottom w:val="single" w:sz="8" w:space="0" w:color="4F81BD"/>
              <w:right w:val="single" w:sz="8" w:space="0" w:color="4F81BD"/>
            </w:tcBorders>
          </w:tcPr>
          <w:p w:rsidR="00AE55C1" w:rsidRPr="004E4884" w:rsidRDefault="00AE55C1" w:rsidP="00AE55C1">
            <w:pPr>
              <w:pStyle w:val="pleft"/>
              <w:spacing w:after="0" w:afterAutospacing="0"/>
              <w:jc w:val="both"/>
              <w:rPr>
                <w:sz w:val="20"/>
                <w:szCs w:val="20"/>
              </w:rPr>
            </w:pPr>
            <w:r w:rsidRPr="004E4884">
              <w:rPr>
                <w:sz w:val="20"/>
                <w:szCs w:val="20"/>
              </w:rPr>
              <w:t>Membro do Conselho Deliberativo da ABDI</w:t>
            </w:r>
            <w:r>
              <w:rPr>
                <w:sz w:val="20"/>
                <w:szCs w:val="20"/>
              </w:rPr>
              <w:t>.</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Eduardo Eugênio Gouvêa Vieira</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spacing w:after="0" w:line="240" w:lineRule="auto"/>
              <w:jc w:val="both"/>
              <w:rPr>
                <w:rFonts w:ascii="Times New Roman" w:hAnsi="Times New Roman"/>
                <w:b/>
                <w:color w:val="000000"/>
                <w:sz w:val="20"/>
                <w:szCs w:val="20"/>
              </w:rPr>
            </w:pPr>
            <w:r w:rsidRPr="008211FD">
              <w:rPr>
                <w:rFonts w:ascii="Times New Roman" w:hAnsi="Times New Roman"/>
                <w:color w:val="000000"/>
                <w:sz w:val="20"/>
                <w:szCs w:val="20"/>
              </w:rPr>
              <w:t>Integra o Conselho de Administração do BNDES</w:t>
            </w:r>
            <w:r>
              <w:rPr>
                <w:rFonts w:ascii="Times New Roman" w:hAnsi="Times New Roman"/>
                <w:color w:val="000000"/>
                <w:sz w:val="20"/>
                <w:szCs w:val="20"/>
              </w:rPr>
              <w:t>.</w:t>
            </w:r>
          </w:p>
          <w:p w:rsidR="00AE55C1" w:rsidRPr="008211FD" w:rsidRDefault="00AE55C1" w:rsidP="00AE55C1">
            <w:pPr>
              <w:spacing w:after="0" w:line="240" w:lineRule="auto"/>
              <w:jc w:val="both"/>
              <w:rPr>
                <w:rFonts w:ascii="Times New Roman" w:hAnsi="Times New Roman"/>
                <w:b/>
                <w:color w:val="000000"/>
                <w:sz w:val="20"/>
                <w:szCs w:val="20"/>
              </w:rPr>
            </w:pP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Eugênio Emílio Staub</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spacing w:after="0" w:line="240" w:lineRule="auto"/>
              <w:jc w:val="both"/>
              <w:rPr>
                <w:rFonts w:ascii="Times New Roman" w:hAnsi="Times New Roman"/>
                <w:color w:val="000000"/>
                <w:sz w:val="20"/>
                <w:szCs w:val="20"/>
              </w:rPr>
            </w:pPr>
            <w:r w:rsidRPr="008211FD">
              <w:rPr>
                <w:rFonts w:ascii="Times New Roman" w:hAnsi="Times New Roman"/>
                <w:color w:val="000000"/>
                <w:sz w:val="20"/>
                <w:szCs w:val="20"/>
              </w:rPr>
              <w:t xml:space="preserve">Membro do Conselho Nacional de Desenvolvimento Industrial (CNDI). </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Fábio Coletti Barbosa</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pStyle w:val="NormalWeb"/>
              <w:spacing w:before="0" w:beforeAutospacing="0" w:after="0" w:afterAutospacing="0"/>
              <w:jc w:val="both"/>
              <w:rPr>
                <w:color w:val="000000"/>
                <w:sz w:val="20"/>
                <w:szCs w:val="20"/>
              </w:rPr>
            </w:pPr>
            <w:r w:rsidRPr="008211FD">
              <w:rPr>
                <w:sz w:val="20"/>
                <w:szCs w:val="20"/>
                <w:lang w:val="pt-PT"/>
              </w:rPr>
              <w:t xml:space="preserve">Membro do Conselho de Administração da Petrobrás (2003-2011). </w:t>
            </w:r>
          </w:p>
          <w:p w:rsidR="00AE55C1" w:rsidRPr="008211FD" w:rsidRDefault="00AE55C1" w:rsidP="00AE55C1">
            <w:pPr>
              <w:spacing w:after="100" w:afterAutospacing="1" w:line="240" w:lineRule="auto"/>
              <w:rPr>
                <w:rFonts w:ascii="Times New Roman" w:hAnsi="Times New Roman"/>
                <w:color w:val="000000"/>
                <w:sz w:val="20"/>
                <w:szCs w:val="20"/>
              </w:rPr>
            </w:pP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Fernando Xavier Ferreira</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pStyle w:val="Default"/>
              <w:jc w:val="both"/>
              <w:rPr>
                <w:sz w:val="20"/>
                <w:szCs w:val="20"/>
              </w:rPr>
            </w:pPr>
            <w:r w:rsidRPr="008211FD">
              <w:rPr>
                <w:sz w:val="20"/>
                <w:szCs w:val="20"/>
              </w:rPr>
              <w:t xml:space="preserve">Diretor geral Brasileiro da Itaipu Binacional e Presidente da Telepar; Foi Presidente da Telebrás e Secretario Executivo do Ministério das Comunicações do no governo FHC. </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Horácio Piva</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spacing w:after="0" w:line="240" w:lineRule="auto"/>
              <w:jc w:val="both"/>
              <w:rPr>
                <w:rFonts w:ascii="Times New Roman" w:hAnsi="Times New Roman"/>
                <w:b/>
                <w:color w:val="000000"/>
                <w:sz w:val="20"/>
                <w:szCs w:val="20"/>
              </w:rPr>
            </w:pPr>
            <w:r w:rsidRPr="008211FD">
              <w:rPr>
                <w:rFonts w:ascii="Times New Roman" w:hAnsi="Times New Roman"/>
                <w:sz w:val="20"/>
                <w:szCs w:val="20"/>
              </w:rPr>
              <w:t>Tornou-se membro dos conselhos da FAPESP e da Orquestra Sinfônica do Estado de São Paulo (OSESP).</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Humberto Eustáquio César Mota</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spacing w:before="100" w:beforeAutospacing="1" w:after="0" w:line="240" w:lineRule="auto"/>
              <w:jc w:val="both"/>
              <w:rPr>
                <w:rFonts w:ascii="Times New Roman" w:hAnsi="Times New Roman"/>
                <w:b/>
                <w:sz w:val="20"/>
                <w:szCs w:val="20"/>
              </w:rPr>
            </w:pPr>
            <w:r w:rsidRPr="008211FD">
              <w:rPr>
                <w:rFonts w:ascii="Times New Roman" w:hAnsi="Times New Roman"/>
                <w:sz w:val="20"/>
                <w:szCs w:val="20"/>
              </w:rPr>
              <w:t>Membro do Conselho Consultivo da ANAC. Foi Secretário de Estado de Desenvolvimento Econômico do Estado do Rio de Janeiro, Presidente da Empresa Brasileira de Correios e Telégrafos, Chefe de Gabinete da Secretaria de Planejamento do Governo do Estado de Minas Gerais, Assessor Especial do Ministro de Estado da Fazenda, Fundador e Presidente da Agência Rio - Promoção, Desenvolvimento e Meio Ambiente e Presidente do Conselho de Administração da Companhia de Desenvolvimento Industrial do Rio de Janeiro.</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Ivo Rosset</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spacing w:after="0" w:line="240" w:lineRule="auto"/>
              <w:jc w:val="both"/>
              <w:rPr>
                <w:rFonts w:ascii="Times New Roman" w:hAnsi="Times New Roman"/>
                <w:b/>
                <w:color w:val="000000"/>
                <w:sz w:val="20"/>
                <w:szCs w:val="20"/>
              </w:rPr>
            </w:pPr>
            <w:r w:rsidRPr="008211FD">
              <w:rPr>
                <w:rFonts w:ascii="Times New Roman" w:hAnsi="Times New Roman"/>
                <w:color w:val="000000"/>
                <w:sz w:val="20"/>
                <w:szCs w:val="20"/>
              </w:rPr>
              <w:t>Membro do Conselho Nacional de Desenvolvimento Industrial (CNDI).</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spacing w:after="0" w:line="240" w:lineRule="auto"/>
              <w:rPr>
                <w:rFonts w:ascii="Times New Roman" w:eastAsia="Times New Roman" w:hAnsi="Times New Roman"/>
                <w:b/>
                <w:bCs/>
                <w:sz w:val="20"/>
                <w:szCs w:val="20"/>
              </w:rPr>
            </w:pPr>
            <w:r w:rsidRPr="007E2439">
              <w:rPr>
                <w:rFonts w:ascii="Times New Roman" w:eastAsia="Times New Roman" w:hAnsi="Times New Roman"/>
                <w:b/>
                <w:bCs/>
                <w:sz w:val="20"/>
                <w:szCs w:val="20"/>
              </w:rPr>
              <w:t>João Elísio Ferraz de Campos</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spacing w:before="100" w:beforeAutospacing="1" w:after="0" w:line="240" w:lineRule="auto"/>
              <w:jc w:val="both"/>
              <w:rPr>
                <w:rFonts w:ascii="Times New Roman" w:hAnsi="Times New Roman"/>
                <w:sz w:val="20"/>
                <w:szCs w:val="20"/>
              </w:rPr>
            </w:pPr>
            <w:r w:rsidRPr="008211FD">
              <w:rPr>
                <w:rFonts w:ascii="Times New Roman" w:hAnsi="Times New Roman"/>
                <w:sz w:val="20"/>
                <w:szCs w:val="20"/>
              </w:rPr>
              <w:t>Foi Superintendente da Fundação Educacional do Paraná - FUNDEPAR, Secretário de Administração, Deputado Estadual pela ARENA, Vice-Governador, acumulando o cargo de Presidente do Banco de Desenvolvimento do Paraná S/A - BADEP, Secretário de Finanças, vindo a ser finalmente Governador do Estado do Paraná.</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Jorge Gerdau Johannpeter</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pStyle w:val="DecimalAligned"/>
              <w:tabs>
                <w:tab w:val="clear" w:pos="360"/>
                <w:tab w:val="decimal" w:pos="0"/>
              </w:tabs>
              <w:spacing w:after="0" w:line="240" w:lineRule="auto"/>
              <w:jc w:val="both"/>
              <w:rPr>
                <w:rFonts w:ascii="Times New Roman" w:hAnsi="Times New Roman"/>
                <w:color w:val="000000"/>
                <w:sz w:val="20"/>
                <w:szCs w:val="20"/>
              </w:rPr>
            </w:pPr>
            <w:r w:rsidRPr="008211FD">
              <w:rPr>
                <w:rFonts w:ascii="Times New Roman" w:hAnsi="Times New Roman"/>
                <w:color w:val="000000"/>
                <w:sz w:val="20"/>
                <w:szCs w:val="20"/>
              </w:rPr>
              <w:t xml:space="preserve">Membro do Conselho de Administração e Comitê de Sucessão e Remuneração da Petrobras, Membro do Conselho Nacional de Desenvolvimento Industrial (CNDI). Membro do Conselho de Ciência e Tecnologia (MCT). Coordenador da Câmara de Gestão e Planejamento do Governo Federal. Presidente do Conselho do Prêmio Qualidade do Governo Federal. </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José Carlos Gomes Carvalho</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spacing w:after="0" w:line="240" w:lineRule="auto"/>
              <w:jc w:val="both"/>
              <w:rPr>
                <w:rFonts w:ascii="Times New Roman" w:hAnsi="Times New Roman"/>
                <w:b/>
                <w:color w:val="FF0000"/>
                <w:sz w:val="20"/>
                <w:szCs w:val="20"/>
                <w:lang w:val="pt-PT"/>
              </w:rPr>
            </w:pPr>
            <w:r w:rsidRPr="008211FD">
              <w:rPr>
                <w:rFonts w:ascii="Times New Roman" w:hAnsi="Times New Roman"/>
                <w:sz w:val="20"/>
                <w:szCs w:val="20"/>
              </w:rPr>
              <w:t xml:space="preserve">Foi Senador da República, Vice-Prefeito de Curitiba, Secretário de Estado do Trabalho e Relações do Emprego, Secretário de Estado da Indústria e Comércio. </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Joseph Couri</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spacing w:after="0" w:line="240" w:lineRule="auto"/>
              <w:jc w:val="both"/>
              <w:rPr>
                <w:rFonts w:ascii="Times New Roman" w:hAnsi="Times New Roman"/>
                <w:b/>
                <w:color w:val="000000"/>
                <w:sz w:val="20"/>
                <w:szCs w:val="20"/>
              </w:rPr>
            </w:pPr>
            <w:r w:rsidRPr="008211FD">
              <w:rPr>
                <w:rFonts w:ascii="Times New Roman" w:hAnsi="Times New Roman"/>
                <w:color w:val="000000"/>
                <w:sz w:val="20"/>
                <w:szCs w:val="20"/>
              </w:rPr>
              <w:t xml:space="preserve">Faz parte do Fórum Permanente da Micro e Pequena Empresa do MDIC e participou do Fórum Nacional do Trabalho, vinculado ao MTE. </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José Mendo Mizael de Souza</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pStyle w:val="NormalWeb"/>
              <w:spacing w:before="0" w:beforeAutospacing="0" w:after="0" w:afterAutospacing="0"/>
              <w:jc w:val="both"/>
              <w:rPr>
                <w:sz w:val="20"/>
                <w:szCs w:val="20"/>
              </w:rPr>
            </w:pPr>
            <w:r w:rsidRPr="008211FD">
              <w:rPr>
                <w:sz w:val="20"/>
                <w:szCs w:val="20"/>
              </w:rPr>
              <w:t>Foi Diretor do Banco de Desenvolvimento de Minas Gerais – BDMG.</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spacing w:after="0" w:line="240" w:lineRule="auto"/>
              <w:rPr>
                <w:rFonts w:ascii="Times New Roman" w:eastAsia="Times New Roman" w:hAnsi="Times New Roman"/>
                <w:b/>
                <w:bCs/>
                <w:sz w:val="20"/>
                <w:szCs w:val="20"/>
              </w:rPr>
            </w:pPr>
            <w:r w:rsidRPr="007E2439">
              <w:rPr>
                <w:rFonts w:ascii="Times New Roman" w:eastAsia="Times New Roman" w:hAnsi="Times New Roman"/>
                <w:b/>
                <w:bCs/>
                <w:sz w:val="20"/>
                <w:szCs w:val="20"/>
              </w:rPr>
              <w:t>Luiz Aubert Neto</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spacing w:before="100" w:beforeAutospacing="1" w:after="0" w:line="240" w:lineRule="auto"/>
              <w:jc w:val="both"/>
              <w:rPr>
                <w:rFonts w:ascii="Times New Roman" w:hAnsi="Times New Roman"/>
                <w:sz w:val="20"/>
                <w:szCs w:val="20"/>
              </w:rPr>
            </w:pPr>
            <w:r w:rsidRPr="008211FD">
              <w:rPr>
                <w:rFonts w:ascii="Times New Roman" w:hAnsi="Times New Roman"/>
                <w:sz w:val="20"/>
                <w:szCs w:val="20"/>
              </w:rPr>
              <w:t>Membro da Junta FINAME do BNDES, Conselheiro do CONEX - Conselho Consultivo do Setor Privado da CAMEX, Membro do Conselho de Agronegócio - CONSAGRO do MAPA - Ministério da Agricultura, Pecuária e Abastecimento.</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Luiz Carlos Delben Leite</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spacing w:after="0" w:line="240" w:lineRule="auto"/>
              <w:jc w:val="both"/>
              <w:rPr>
                <w:rFonts w:ascii="Times New Roman" w:hAnsi="Times New Roman"/>
                <w:sz w:val="20"/>
                <w:szCs w:val="20"/>
              </w:rPr>
            </w:pPr>
            <w:r w:rsidRPr="008211FD">
              <w:rPr>
                <w:rFonts w:ascii="Times New Roman" w:hAnsi="Times New Roman"/>
                <w:color w:val="000000"/>
                <w:sz w:val="20"/>
                <w:szCs w:val="20"/>
              </w:rPr>
              <w:t>Presidente do BNDES (1993). Membro do Conselho Monetário Nacional (1993). Membro do Conselho Administrativo das Empresas Energéticas do Estado de São Paulo - CESP – (1994). Membro do Conselho Nacional de Desenvolvimento Industrial (CNDI).</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Marcelo Odebrecht</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spacing w:after="0" w:line="240" w:lineRule="auto"/>
              <w:jc w:val="both"/>
              <w:rPr>
                <w:rFonts w:ascii="Times New Roman" w:hAnsi="Times New Roman"/>
                <w:color w:val="000000"/>
                <w:sz w:val="20"/>
                <w:szCs w:val="20"/>
              </w:rPr>
            </w:pPr>
            <w:r w:rsidRPr="008211FD">
              <w:rPr>
                <w:rFonts w:ascii="Times New Roman" w:hAnsi="Times New Roman"/>
                <w:color w:val="000000"/>
                <w:sz w:val="20"/>
                <w:szCs w:val="20"/>
              </w:rPr>
              <w:t>Conselho Consultivo do Setor Privado (CONEX) da CAMEX.</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pStyle w:val="NormalWeb"/>
              <w:spacing w:before="0" w:beforeAutospacing="0" w:after="0" w:afterAutospacing="0"/>
              <w:jc w:val="both"/>
              <w:rPr>
                <w:b/>
                <w:bCs/>
                <w:sz w:val="20"/>
                <w:szCs w:val="20"/>
              </w:rPr>
            </w:pPr>
            <w:r>
              <w:rPr>
                <w:b/>
                <w:bCs/>
                <w:sz w:val="20"/>
                <w:szCs w:val="20"/>
              </w:rPr>
              <w:t>Marcos Jank</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spacing w:after="0" w:line="240" w:lineRule="auto"/>
              <w:jc w:val="both"/>
              <w:rPr>
                <w:rFonts w:ascii="Times New Roman" w:hAnsi="Times New Roman"/>
                <w:color w:val="000000"/>
                <w:sz w:val="20"/>
                <w:szCs w:val="20"/>
              </w:rPr>
            </w:pPr>
            <w:r w:rsidRPr="008211FD">
              <w:rPr>
                <w:rFonts w:ascii="Times New Roman" w:hAnsi="Times New Roman"/>
                <w:color w:val="000000"/>
                <w:sz w:val="20"/>
                <w:szCs w:val="20"/>
              </w:rPr>
              <w:t>Conselho Consultivo do Setor Privado (CONEX) da CAMEX.</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spacing w:after="0" w:line="240" w:lineRule="auto"/>
              <w:rPr>
                <w:rFonts w:ascii="Times New Roman" w:eastAsia="Times New Roman" w:hAnsi="Times New Roman"/>
                <w:b/>
                <w:bCs/>
                <w:sz w:val="20"/>
                <w:szCs w:val="20"/>
              </w:rPr>
            </w:pPr>
            <w:r w:rsidRPr="007E2439">
              <w:rPr>
                <w:rFonts w:ascii="Times New Roman" w:eastAsia="Times New Roman" w:hAnsi="Times New Roman"/>
                <w:b/>
                <w:bCs/>
                <w:sz w:val="20"/>
                <w:szCs w:val="20"/>
              </w:rPr>
              <w:t>Maria Elvira Salles Ferreira</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spacing w:after="0" w:afterAutospacing="1" w:line="240" w:lineRule="auto"/>
              <w:jc w:val="both"/>
              <w:rPr>
                <w:rFonts w:ascii="Times New Roman" w:hAnsi="Times New Roman"/>
                <w:sz w:val="20"/>
                <w:szCs w:val="20"/>
              </w:rPr>
            </w:pPr>
            <w:r w:rsidRPr="008211FD">
              <w:rPr>
                <w:rFonts w:ascii="Times New Roman" w:hAnsi="Times New Roman"/>
                <w:sz w:val="20"/>
                <w:szCs w:val="20"/>
              </w:rPr>
              <w:t xml:space="preserve">Membro do Conselho Nacional dos Direitos da Mulher. Foi secretária estadual de turismo no governo de Aécio Neves e deputada estadual e federal pelo PMDB-MG. </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Maurício Botelho</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spacing w:after="0" w:line="240" w:lineRule="auto"/>
              <w:jc w:val="both"/>
              <w:rPr>
                <w:rFonts w:ascii="Times New Roman" w:hAnsi="Times New Roman"/>
                <w:b/>
                <w:sz w:val="20"/>
                <w:szCs w:val="20"/>
              </w:rPr>
            </w:pPr>
            <w:r w:rsidRPr="008211FD">
              <w:rPr>
                <w:rFonts w:ascii="Times New Roman" w:hAnsi="Times New Roman"/>
                <w:sz w:val="20"/>
                <w:szCs w:val="20"/>
              </w:rPr>
              <w:t xml:space="preserve">Membro do Conselho Nacional de Desenvolvimento Industrial (CNDI) e </w:t>
            </w:r>
            <w:r w:rsidRPr="008211FD">
              <w:rPr>
                <w:rFonts w:ascii="Times New Roman" w:hAnsi="Times New Roman"/>
                <w:color w:val="000000"/>
                <w:sz w:val="20"/>
                <w:szCs w:val="20"/>
              </w:rPr>
              <w:t>Conselho Consultivo do Setor Privado (CONEX) da CAMEX.</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Mauro Knijniki</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spacing w:after="0" w:line="240" w:lineRule="auto"/>
              <w:jc w:val="both"/>
              <w:rPr>
                <w:rFonts w:ascii="Times New Roman" w:hAnsi="Times New Roman"/>
                <w:color w:val="000000"/>
                <w:sz w:val="20"/>
                <w:szCs w:val="20"/>
              </w:rPr>
            </w:pPr>
            <w:r w:rsidRPr="008211FD">
              <w:rPr>
                <w:rFonts w:ascii="Times New Roman" w:hAnsi="Times New Roman"/>
                <w:color w:val="000000"/>
                <w:sz w:val="20"/>
                <w:szCs w:val="20"/>
              </w:rPr>
              <w:t>Vice-Presidente do BRDE; Secretário da Fazenda do Estado do RS; Presidente do Conselho de Administração do Banrisul; Presidente da Junta de Coordenação Financeira do Estado do RS.</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Miguel João Jorge Filho</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autoSpaceDE w:val="0"/>
              <w:autoSpaceDN w:val="0"/>
              <w:adjustRightInd w:val="0"/>
              <w:spacing w:after="0" w:line="240" w:lineRule="auto"/>
              <w:jc w:val="both"/>
              <w:rPr>
                <w:rFonts w:ascii="Times New Roman" w:hAnsi="Times New Roman"/>
                <w:b/>
                <w:sz w:val="20"/>
                <w:szCs w:val="20"/>
              </w:rPr>
            </w:pPr>
            <w:r w:rsidRPr="008211FD">
              <w:rPr>
                <w:rFonts w:ascii="Times New Roman" w:hAnsi="Times New Roman"/>
                <w:iCs/>
                <w:color w:val="000000"/>
                <w:sz w:val="20"/>
                <w:szCs w:val="20"/>
              </w:rPr>
              <w:t>Entre 2007 e 2010 foi Ministro de Estado (MDIC).</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Oded Grajew</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pStyle w:val="pleft"/>
              <w:spacing w:before="0" w:beforeAutospacing="0"/>
              <w:jc w:val="both"/>
              <w:rPr>
                <w:b/>
                <w:color w:val="000000"/>
                <w:sz w:val="20"/>
                <w:szCs w:val="20"/>
              </w:rPr>
            </w:pPr>
            <w:r w:rsidRPr="008211FD">
              <w:rPr>
                <w:sz w:val="20"/>
                <w:szCs w:val="20"/>
              </w:rPr>
              <w:t>Foi assessor especial do Presidente da República (2003).</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Olavo Machado Júnior</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spacing w:after="0" w:line="240" w:lineRule="auto"/>
              <w:jc w:val="both"/>
              <w:rPr>
                <w:rFonts w:ascii="Times New Roman" w:hAnsi="Times New Roman"/>
                <w:sz w:val="20"/>
                <w:szCs w:val="20"/>
              </w:rPr>
            </w:pPr>
            <w:r w:rsidRPr="008211FD">
              <w:rPr>
                <w:rFonts w:ascii="Times New Roman" w:hAnsi="Times New Roman"/>
                <w:sz w:val="20"/>
                <w:szCs w:val="20"/>
              </w:rPr>
              <w:t>No setor público, foi presidente da Fundação Centro Tecnológico de Minas Gerais (CETEC/MG), Secretário-Adjunto da Indústria e Comércio do Estado de Minas Gerais e membro do Conselho Curador da Fundação de Amparo à Pesquisa de Minas Gerais (FAPEMIG).</w:t>
            </w:r>
            <w:r w:rsidRPr="004674DB">
              <w:rPr>
                <w:rFonts w:ascii="Times New Roman" w:hAnsi="Times New Roman"/>
                <w:sz w:val="20"/>
                <w:szCs w:val="20"/>
              </w:rPr>
              <w:t>Membro do Conselho Deliberativo da ABDI</w:t>
            </w:r>
            <w:r>
              <w:rPr>
                <w:rFonts w:ascii="Times New Roman" w:hAnsi="Times New Roman"/>
                <w:sz w:val="20"/>
                <w:szCs w:val="20"/>
              </w:rPr>
              <w:t>.</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Paulo Godoy</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pStyle w:val="pleft"/>
              <w:spacing w:after="0" w:afterAutospacing="0"/>
              <w:jc w:val="both"/>
              <w:rPr>
                <w:sz w:val="20"/>
                <w:szCs w:val="20"/>
              </w:rPr>
            </w:pPr>
            <w:r w:rsidRPr="008211FD">
              <w:rPr>
                <w:sz w:val="20"/>
                <w:szCs w:val="20"/>
              </w:rPr>
              <w:t>CNDI - Conselho Nacional para o Desenvolvimento Industrial - (Governo Federal); INVESTE SÃO PAULO - Membro do Conselho de Administração (Governo do Estado de São Paulo).</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Paulo Skaf</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pStyle w:val="pleft"/>
              <w:spacing w:after="0" w:afterAutospacing="0"/>
              <w:jc w:val="both"/>
              <w:rPr>
                <w:sz w:val="20"/>
                <w:szCs w:val="20"/>
              </w:rPr>
            </w:pPr>
            <w:r w:rsidRPr="008211FD">
              <w:rPr>
                <w:sz w:val="20"/>
                <w:szCs w:val="20"/>
              </w:rPr>
              <w:t>Membro do Conselho Administração do BNDES.</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Paulo Simão</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spacing w:after="0" w:line="240" w:lineRule="auto"/>
              <w:jc w:val="both"/>
              <w:rPr>
                <w:rFonts w:ascii="Times New Roman" w:hAnsi="Times New Roman"/>
                <w:sz w:val="20"/>
                <w:szCs w:val="20"/>
              </w:rPr>
            </w:pPr>
            <w:r w:rsidRPr="008211FD">
              <w:rPr>
                <w:rFonts w:ascii="Times New Roman" w:hAnsi="Times New Roman"/>
                <w:sz w:val="20"/>
                <w:szCs w:val="20"/>
              </w:rPr>
              <w:t>Presidente da Empresa Mineira de Turismo-TURMINAS (1995-1998). Presidente do PSD/MG.</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Pedro Luiz Teruel</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pStyle w:val="NormalWeb"/>
              <w:spacing w:before="0" w:beforeAutospacing="0" w:after="0" w:afterAutospacing="0"/>
              <w:jc w:val="both"/>
              <w:rPr>
                <w:color w:val="000000"/>
                <w:sz w:val="20"/>
                <w:szCs w:val="20"/>
              </w:rPr>
            </w:pPr>
            <w:r w:rsidRPr="008211FD">
              <w:rPr>
                <w:sz w:val="20"/>
                <w:szCs w:val="20"/>
              </w:rPr>
              <w:t>Como deputado estadual do MS, na atual Legislatura, integra as Frentes Parlamentares de Defesa do Meio Ambiente e pelo Desenvolvimento Sustentável, de Apoio ao Agronegócio e ao Cooperativismo, em Prol da Educação Física, Esporte e Lazer, e em Apoio à Indústria.  Foi Secretário de Estado de Habitação e Infraestrutura do MS. É filiado ao PT.</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Raymundo Magliano Filho</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spacing w:after="0" w:line="240" w:lineRule="auto"/>
              <w:jc w:val="both"/>
              <w:rPr>
                <w:rFonts w:ascii="Times New Roman" w:hAnsi="Times New Roman"/>
                <w:b/>
                <w:sz w:val="20"/>
                <w:szCs w:val="20"/>
              </w:rPr>
            </w:pPr>
            <w:r w:rsidRPr="008211FD">
              <w:rPr>
                <w:rFonts w:ascii="Times New Roman" w:hAnsi="Times New Roman"/>
                <w:color w:val="000000"/>
                <w:sz w:val="20"/>
                <w:szCs w:val="20"/>
              </w:rPr>
              <w:t>Membro titular do Conselho de Recursos do Sistema Financeiro Nacional (</w:t>
            </w:r>
            <w:smartTag w:uri="urn:schemas-microsoft-com:office:smarttags" w:element="metricconverter">
              <w:smartTagPr>
                <w:attr w:name="ProductID" w:val="1997 a"/>
              </w:smartTagPr>
              <w:r w:rsidRPr="008211FD">
                <w:rPr>
                  <w:rFonts w:ascii="Times New Roman" w:hAnsi="Times New Roman"/>
                  <w:color w:val="000000"/>
                  <w:sz w:val="20"/>
                  <w:szCs w:val="20"/>
                </w:rPr>
                <w:t>1997 a</w:t>
              </w:r>
            </w:smartTag>
            <w:r w:rsidRPr="008211FD">
              <w:rPr>
                <w:rFonts w:ascii="Times New Roman" w:hAnsi="Times New Roman"/>
                <w:color w:val="000000"/>
                <w:sz w:val="20"/>
                <w:szCs w:val="20"/>
              </w:rPr>
              <w:t xml:space="preserve"> 2001). </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Rinaldo Campo Soares</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pStyle w:val="Default"/>
              <w:jc w:val="both"/>
              <w:rPr>
                <w:sz w:val="20"/>
                <w:szCs w:val="20"/>
              </w:rPr>
            </w:pPr>
            <w:r w:rsidRPr="008211FD">
              <w:rPr>
                <w:rFonts w:eastAsia="Times New Roman"/>
                <w:sz w:val="20"/>
                <w:szCs w:val="20"/>
                <w:lang w:eastAsia="pt-BR"/>
              </w:rPr>
              <w:t>Foi membro do Comitê Empresarial Permanente do Ministério das Relações Exteriores.</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Robson Braga de Andrade</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spacing w:after="0" w:line="240" w:lineRule="auto"/>
              <w:jc w:val="both"/>
              <w:rPr>
                <w:rFonts w:ascii="Times New Roman" w:hAnsi="Times New Roman"/>
                <w:sz w:val="20"/>
                <w:szCs w:val="20"/>
              </w:rPr>
            </w:pPr>
            <w:r w:rsidRPr="008211FD">
              <w:rPr>
                <w:rFonts w:ascii="Times New Roman" w:hAnsi="Times New Roman"/>
                <w:color w:val="000000"/>
                <w:sz w:val="20"/>
                <w:szCs w:val="20"/>
              </w:rPr>
              <w:t>Membro do Conselho de Desenvolvimento Econômico e Social do Estado de Minas Gerais. Conselho Consultivo do Setor Privado (CONEX) da CAMEX.</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shd w:val="clear" w:color="auto" w:fill="D3DFEE"/>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Rodrigo Loures</w:t>
            </w:r>
          </w:p>
        </w:tc>
        <w:tc>
          <w:tcPr>
            <w:tcW w:w="3361" w:type="pct"/>
            <w:tcBorders>
              <w:top w:val="single" w:sz="8" w:space="0" w:color="4F81BD"/>
              <w:left w:val="single" w:sz="8" w:space="0" w:color="4F81BD"/>
              <w:bottom w:val="single" w:sz="8" w:space="0" w:color="4F81BD"/>
              <w:right w:val="single" w:sz="8" w:space="0" w:color="4F81BD"/>
            </w:tcBorders>
            <w:shd w:val="clear" w:color="auto" w:fill="D3DFEE"/>
          </w:tcPr>
          <w:p w:rsidR="00AE55C1" w:rsidRPr="008211FD" w:rsidRDefault="00AE55C1" w:rsidP="00AE55C1">
            <w:pPr>
              <w:spacing w:after="0" w:line="240" w:lineRule="auto"/>
              <w:jc w:val="both"/>
              <w:rPr>
                <w:rFonts w:ascii="Times New Roman" w:hAnsi="Times New Roman"/>
                <w:b/>
                <w:color w:val="000000"/>
                <w:sz w:val="20"/>
                <w:szCs w:val="20"/>
              </w:rPr>
            </w:pPr>
            <w:r w:rsidRPr="008211FD">
              <w:rPr>
                <w:rFonts w:ascii="Times New Roman" w:hAnsi="Times New Roman"/>
                <w:color w:val="000000"/>
                <w:sz w:val="20"/>
                <w:szCs w:val="20"/>
              </w:rPr>
              <w:t xml:space="preserve">Integra o CCT - Conselho Nacional de Ciência e Tecnologia da Presidência da República, o Conselho Diretor do Fundo Nacional de Desenvolvimento Científico e Tecnológico - FNDCT, do MCT e representa a CNI no Conselho Deliberativo da ABDI - Agência Brasileira de Desenvolvimento Industrial. </w:t>
            </w:r>
          </w:p>
        </w:tc>
      </w:tr>
      <w:tr w:rsidR="00AE55C1" w:rsidRPr="008211FD" w:rsidTr="00AE55C1">
        <w:tc>
          <w:tcPr>
            <w:tcW w:w="1639" w:type="pct"/>
            <w:tcBorders>
              <w:top w:val="single" w:sz="8" w:space="0" w:color="4F81BD"/>
              <w:left w:val="single" w:sz="8" w:space="0" w:color="4F81BD"/>
              <w:bottom w:val="single" w:sz="8" w:space="0" w:color="4F81BD"/>
              <w:right w:val="single" w:sz="8" w:space="0" w:color="4F81BD"/>
            </w:tcBorders>
          </w:tcPr>
          <w:p w:rsidR="00AE55C1" w:rsidRPr="007E2439" w:rsidRDefault="00AE55C1" w:rsidP="00AE55C1">
            <w:pPr>
              <w:pStyle w:val="NormalWeb"/>
              <w:spacing w:before="0" w:beforeAutospacing="0" w:after="0" w:afterAutospacing="0"/>
              <w:jc w:val="both"/>
              <w:rPr>
                <w:b/>
                <w:bCs/>
                <w:sz w:val="20"/>
                <w:szCs w:val="20"/>
              </w:rPr>
            </w:pPr>
            <w:r w:rsidRPr="007E2439">
              <w:rPr>
                <w:b/>
                <w:bCs/>
                <w:sz w:val="20"/>
                <w:szCs w:val="20"/>
              </w:rPr>
              <w:t>Roger Agneli</w:t>
            </w:r>
          </w:p>
        </w:tc>
        <w:tc>
          <w:tcPr>
            <w:tcW w:w="3361" w:type="pct"/>
            <w:tcBorders>
              <w:top w:val="single" w:sz="8" w:space="0" w:color="4F81BD"/>
              <w:left w:val="single" w:sz="8" w:space="0" w:color="4F81BD"/>
              <w:bottom w:val="single" w:sz="8" w:space="0" w:color="4F81BD"/>
              <w:right w:val="single" w:sz="8" w:space="0" w:color="4F81BD"/>
            </w:tcBorders>
          </w:tcPr>
          <w:p w:rsidR="00AE55C1" w:rsidRPr="008211FD" w:rsidRDefault="00AE55C1" w:rsidP="00AE55C1">
            <w:pPr>
              <w:spacing w:after="0" w:line="240" w:lineRule="auto"/>
              <w:jc w:val="both"/>
              <w:rPr>
                <w:rFonts w:ascii="Times New Roman" w:hAnsi="Times New Roman"/>
                <w:color w:val="000000"/>
                <w:sz w:val="20"/>
                <w:szCs w:val="20"/>
              </w:rPr>
            </w:pPr>
            <w:r w:rsidRPr="008211FD">
              <w:rPr>
                <w:rFonts w:ascii="Times New Roman" w:hAnsi="Times New Roman"/>
                <w:color w:val="000000"/>
                <w:sz w:val="20"/>
                <w:szCs w:val="20"/>
              </w:rPr>
              <w:t>Membro do Conselho de Administração da Petrobrás. Conselho Consultivo do Setor Privado (CONEX) da CAMEX.</w:t>
            </w:r>
          </w:p>
        </w:tc>
      </w:tr>
    </w:tbl>
    <w:p w:rsidR="00AE55C1" w:rsidRPr="00705D00" w:rsidRDefault="00705D00" w:rsidP="00705D00">
      <w:pPr>
        <w:pStyle w:val="Cabealho"/>
        <w:rPr>
          <w:rFonts w:ascii="Times New Roman" w:hAnsi="Times New Roman"/>
          <w:sz w:val="18"/>
          <w:szCs w:val="18"/>
        </w:rPr>
      </w:pPr>
      <w:r>
        <w:rPr>
          <w:rFonts w:ascii="Times New Roman" w:hAnsi="Times New Roman"/>
          <w:b/>
          <w:sz w:val="18"/>
          <w:szCs w:val="18"/>
        </w:rPr>
        <w:t xml:space="preserve">Elaboração própria: Fontes: </w:t>
      </w:r>
      <w:r>
        <w:rPr>
          <w:rFonts w:ascii="Times New Roman" w:hAnsi="Times New Roman"/>
          <w:sz w:val="18"/>
          <w:szCs w:val="18"/>
        </w:rPr>
        <w:t>sites do CDES (www.cdes.gov.br) e pesquisas na internet.</w:t>
      </w:r>
    </w:p>
    <w:p w:rsidR="00AE55C1" w:rsidRDefault="00AE55C1" w:rsidP="00AE55C1"/>
    <w:p w:rsidR="00AE55C1" w:rsidRDefault="00AE55C1" w:rsidP="00AE55C1">
      <w:pPr>
        <w:tabs>
          <w:tab w:val="center" w:pos="4252"/>
        </w:tabs>
        <w:spacing w:after="0" w:line="240" w:lineRule="auto"/>
      </w:pPr>
    </w:p>
    <w:p w:rsidR="00FD6968" w:rsidRDefault="00FD6968" w:rsidP="00AE55C1">
      <w:pPr>
        <w:tabs>
          <w:tab w:val="center" w:pos="4252"/>
        </w:tabs>
        <w:spacing w:after="0" w:line="240" w:lineRule="auto"/>
      </w:pPr>
    </w:p>
    <w:p w:rsidR="002D332C" w:rsidRDefault="00FD6968" w:rsidP="002E6389">
      <w:pPr>
        <w:spacing w:after="0" w:line="240" w:lineRule="auto"/>
      </w:pPr>
      <w:r>
        <w:br w:type="page"/>
      </w:r>
    </w:p>
    <w:p w:rsidR="005C0211" w:rsidRDefault="005C0211" w:rsidP="002D332C">
      <w:pPr>
        <w:spacing w:after="0" w:line="240" w:lineRule="auto"/>
        <w:jc w:val="center"/>
        <w:rPr>
          <w:rFonts w:ascii="Times New Roman" w:hAnsi="Times New Roman"/>
          <w:b/>
          <w:sz w:val="24"/>
          <w:szCs w:val="24"/>
        </w:rPr>
        <w:sectPr w:rsidR="005C0211" w:rsidSect="002E6389">
          <w:headerReference w:type="default" r:id="rId46"/>
          <w:footerReference w:type="default" r:id="rId47"/>
          <w:pgSz w:w="11906" w:h="16838" w:code="9"/>
          <w:pgMar w:top="1701" w:right="1134" w:bottom="1134" w:left="1701" w:header="709" w:footer="709" w:gutter="0"/>
          <w:pgNumType w:start="1"/>
          <w:cols w:space="708"/>
          <w:docGrid w:linePitch="360"/>
        </w:sectPr>
      </w:pPr>
    </w:p>
    <w:p w:rsidR="002D332C" w:rsidRPr="002D332C" w:rsidRDefault="00B83E5D" w:rsidP="002D332C">
      <w:pPr>
        <w:spacing w:after="0" w:line="240" w:lineRule="auto"/>
        <w:jc w:val="center"/>
        <w:rPr>
          <w:rFonts w:ascii="Times New Roman" w:hAnsi="Times New Roman"/>
          <w:b/>
          <w:sz w:val="24"/>
          <w:szCs w:val="24"/>
        </w:rPr>
      </w:pPr>
      <w:r>
        <w:rPr>
          <w:rFonts w:ascii="Times New Roman" w:hAnsi="Times New Roman"/>
          <w:b/>
          <w:sz w:val="24"/>
          <w:szCs w:val="24"/>
        </w:rPr>
        <w:t>ANEXO B</w:t>
      </w:r>
    </w:p>
    <w:p w:rsidR="002D332C" w:rsidRDefault="002D332C" w:rsidP="002E6389">
      <w:pPr>
        <w:spacing w:after="0" w:line="240" w:lineRule="auto"/>
      </w:pPr>
    </w:p>
    <w:p w:rsidR="00AE55C1" w:rsidRPr="00A87CE6" w:rsidRDefault="00A87CE6" w:rsidP="00A87CE6">
      <w:pPr>
        <w:spacing w:line="240" w:lineRule="auto"/>
        <w:jc w:val="center"/>
        <w:rPr>
          <w:rFonts w:ascii="Times New Roman" w:hAnsi="Times New Roman"/>
          <w:b/>
          <w:sz w:val="24"/>
          <w:szCs w:val="24"/>
        </w:rPr>
      </w:pPr>
      <w:r>
        <w:rPr>
          <w:rFonts w:ascii="Times New Roman" w:hAnsi="Times New Roman"/>
          <w:b/>
          <w:sz w:val="24"/>
          <w:szCs w:val="24"/>
        </w:rPr>
        <w:t>Presença do Empresariado (e de seus Prepostos) no Conselho de Desenvolvimento Econômico e Social (</w:t>
      </w:r>
      <w:r w:rsidR="004A0803">
        <w:rPr>
          <w:rFonts w:ascii="Times New Roman" w:hAnsi="Times New Roman"/>
          <w:b/>
          <w:sz w:val="24"/>
          <w:szCs w:val="24"/>
        </w:rPr>
        <w:t>ingresso</w:t>
      </w:r>
      <w:r w:rsidR="003E7B44">
        <w:rPr>
          <w:rFonts w:ascii="Times New Roman" w:hAnsi="Times New Roman"/>
          <w:b/>
          <w:sz w:val="24"/>
          <w:szCs w:val="24"/>
        </w:rPr>
        <w:t>s</w:t>
      </w:r>
      <w:r w:rsidR="004A0803">
        <w:rPr>
          <w:rFonts w:ascii="Times New Roman" w:hAnsi="Times New Roman"/>
          <w:b/>
          <w:sz w:val="24"/>
          <w:szCs w:val="24"/>
        </w:rPr>
        <w:t xml:space="preserve"> em </w:t>
      </w:r>
      <w:r>
        <w:rPr>
          <w:rFonts w:ascii="Times New Roman" w:hAnsi="Times New Roman"/>
          <w:b/>
          <w:sz w:val="24"/>
          <w:szCs w:val="24"/>
        </w:rPr>
        <w:t>2003)</w:t>
      </w:r>
    </w:p>
    <w:p w:rsidR="00AE55C1" w:rsidRPr="00966B19" w:rsidRDefault="00AE55C1" w:rsidP="00AE55C1">
      <w:pPr>
        <w:pStyle w:val="Cabealho"/>
        <w:rPr>
          <w:rFonts w:ascii="Times New Roman" w:hAnsi="Times New Roman"/>
          <w:sz w:val="20"/>
          <w:szCs w:val="20"/>
        </w:rPr>
      </w:pPr>
    </w:p>
    <w:tbl>
      <w:tblPr>
        <w:tblStyle w:val="GradeClara-nfase11"/>
        <w:tblW w:w="5234" w:type="pct"/>
        <w:tblInd w:w="-459" w:type="dxa"/>
        <w:tblLayout w:type="fixed"/>
        <w:tblLook w:val="04A0"/>
      </w:tblPr>
      <w:tblGrid>
        <w:gridCol w:w="2977"/>
        <w:gridCol w:w="9073"/>
        <w:gridCol w:w="2834"/>
      </w:tblGrid>
      <w:tr w:rsidR="00AE55C1" w:rsidRPr="00966B19" w:rsidTr="00E776C4">
        <w:trPr>
          <w:cnfStyle w:val="100000000000"/>
        </w:trPr>
        <w:tc>
          <w:tcPr>
            <w:cnfStyle w:val="001000000000"/>
            <w:tcW w:w="1000" w:type="pct"/>
          </w:tcPr>
          <w:p w:rsidR="00AE55C1" w:rsidRPr="00966B19" w:rsidRDefault="00AE55C1" w:rsidP="00112763">
            <w:pPr>
              <w:rPr>
                <w:rFonts w:ascii="Times New Roman" w:hAnsi="Times New Roman"/>
                <w:sz w:val="20"/>
                <w:szCs w:val="20"/>
              </w:rPr>
            </w:pPr>
            <w:r w:rsidRPr="00966B19">
              <w:rPr>
                <w:rFonts w:ascii="Times New Roman" w:hAnsi="Times New Roman"/>
                <w:sz w:val="20"/>
                <w:szCs w:val="20"/>
              </w:rPr>
              <w:t>Conselheiros-Empresários</w:t>
            </w:r>
          </w:p>
        </w:tc>
        <w:tc>
          <w:tcPr>
            <w:tcW w:w="3048" w:type="pct"/>
          </w:tcPr>
          <w:p w:rsidR="00AE55C1" w:rsidRPr="00966B19" w:rsidRDefault="00AE55C1" w:rsidP="00AE55C1">
            <w:pPr>
              <w:jc w:val="both"/>
              <w:cnfStyle w:val="100000000000"/>
              <w:rPr>
                <w:rFonts w:ascii="Times New Roman" w:hAnsi="Times New Roman"/>
                <w:sz w:val="20"/>
                <w:szCs w:val="20"/>
              </w:rPr>
            </w:pPr>
            <w:r w:rsidRPr="00966B19">
              <w:rPr>
                <w:rFonts w:ascii="Times New Roman" w:hAnsi="Times New Roman"/>
                <w:sz w:val="20"/>
                <w:szCs w:val="20"/>
              </w:rPr>
              <w:t>Trajetórias e Vinculações</w:t>
            </w:r>
          </w:p>
        </w:tc>
        <w:tc>
          <w:tcPr>
            <w:tcW w:w="953" w:type="pct"/>
          </w:tcPr>
          <w:p w:rsidR="00AE55C1" w:rsidRPr="00966B19" w:rsidRDefault="00AE55C1" w:rsidP="003D747C">
            <w:pPr>
              <w:pStyle w:val="DecimalAligned"/>
              <w:tabs>
                <w:tab w:val="clear" w:pos="360"/>
              </w:tabs>
              <w:spacing w:after="0" w:line="240" w:lineRule="auto"/>
              <w:jc w:val="center"/>
              <w:cnfStyle w:val="100000000000"/>
              <w:rPr>
                <w:rFonts w:ascii="Times New Roman" w:hAnsi="Times New Roman"/>
                <w:sz w:val="20"/>
                <w:szCs w:val="20"/>
              </w:rPr>
            </w:pPr>
            <w:r w:rsidRPr="00966B19">
              <w:rPr>
                <w:rFonts w:ascii="Times New Roman" w:hAnsi="Times New Roman"/>
                <w:sz w:val="20"/>
                <w:szCs w:val="20"/>
              </w:rPr>
              <w:t>Atividades Principais</w:t>
            </w:r>
            <w:r w:rsidRPr="00966B19">
              <w:rPr>
                <w:rStyle w:val="Refdenotadefim"/>
                <w:rFonts w:ascii="Times New Roman" w:hAnsi="Times New Roman"/>
                <w:sz w:val="20"/>
                <w:szCs w:val="20"/>
              </w:rPr>
              <w:endnoteReference w:id="2"/>
            </w:r>
            <w:r w:rsidRPr="00966B19">
              <w:rPr>
                <w:rFonts w:ascii="Times New Roman" w:hAnsi="Times New Roman"/>
                <w:sz w:val="20"/>
                <w:szCs w:val="20"/>
              </w:rPr>
              <w:t xml:space="preserve"> e Tipos de Associações </w:t>
            </w:r>
          </w:p>
        </w:tc>
      </w:tr>
      <w:tr w:rsidR="00AE55C1" w:rsidRPr="00966B19" w:rsidTr="00E776C4">
        <w:trPr>
          <w:cnfStyle w:val="000000100000"/>
        </w:trPr>
        <w:tc>
          <w:tcPr>
            <w:cnfStyle w:val="001000000000"/>
            <w:tcW w:w="1000"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1) Abílio Diniz</w:t>
            </w:r>
          </w:p>
        </w:tc>
        <w:tc>
          <w:tcPr>
            <w:tcW w:w="3048" w:type="pct"/>
          </w:tcPr>
          <w:p w:rsidR="004A0803" w:rsidRDefault="00AE55C1" w:rsidP="004A0803">
            <w:pPr>
              <w:pStyle w:val="NormalWeb"/>
              <w:spacing w:before="0" w:beforeAutospacing="0" w:after="0" w:afterAutospacing="0"/>
              <w:jc w:val="both"/>
              <w:cnfStyle w:val="000000100000"/>
              <w:rPr>
                <w:color w:val="000000"/>
                <w:sz w:val="20"/>
                <w:szCs w:val="20"/>
              </w:rPr>
            </w:pPr>
            <w:r w:rsidRPr="00966B19">
              <w:rPr>
                <w:sz w:val="20"/>
                <w:szCs w:val="20"/>
                <w:lang w:val="pt-PT"/>
              </w:rPr>
              <w:t xml:space="preserve">Dono da </w:t>
            </w:r>
            <w:hyperlink r:id="rId48" w:tooltip="Companhia Brasileira de Distribuição" w:history="1">
              <w:r w:rsidRPr="004A0803">
                <w:rPr>
                  <w:rStyle w:val="Hyperlink"/>
                  <w:color w:val="auto"/>
                  <w:sz w:val="20"/>
                  <w:szCs w:val="20"/>
                  <w:u w:val="none"/>
                  <w:lang w:val="pt-PT"/>
                </w:rPr>
                <w:t>Companhia Brasileira de Distribuição</w:t>
              </w:r>
            </w:hyperlink>
            <w:r w:rsidRPr="004A0803">
              <w:rPr>
                <w:sz w:val="20"/>
                <w:szCs w:val="20"/>
                <w:lang w:val="pt-PT"/>
              </w:rPr>
              <w:t xml:space="preserve">, que inclui as bandeiras de Varejo Alimentar, Pão de Açúcar e Extra, de Atacarejo, Assaí e de Eletro, </w:t>
            </w:r>
            <w:hyperlink r:id="rId49" w:tooltip="Ponto Frio" w:history="1">
              <w:r w:rsidRPr="004A0803">
                <w:rPr>
                  <w:rStyle w:val="Hyperlink"/>
                  <w:color w:val="auto"/>
                  <w:sz w:val="20"/>
                  <w:szCs w:val="20"/>
                  <w:u w:val="none"/>
                  <w:lang w:val="pt-PT"/>
                </w:rPr>
                <w:t>Ponto Frio</w:t>
              </w:r>
            </w:hyperlink>
            <w:r w:rsidRPr="00966B19">
              <w:rPr>
                <w:sz w:val="20"/>
                <w:szCs w:val="20"/>
                <w:lang w:val="pt-PT"/>
              </w:rPr>
              <w:t xml:space="preserve"> (Globex). Tornou-se também sócio majoritário das </w:t>
            </w:r>
            <w:hyperlink r:id="rId50" w:tooltip="Casas Bahia" w:history="1">
              <w:r w:rsidRPr="004A0803">
                <w:rPr>
                  <w:rStyle w:val="Hyperlink"/>
                  <w:color w:val="auto"/>
                  <w:sz w:val="20"/>
                  <w:szCs w:val="20"/>
                  <w:u w:val="none"/>
                  <w:lang w:val="pt-PT"/>
                </w:rPr>
                <w:t>Casas Bahia</w:t>
              </w:r>
            </w:hyperlink>
            <w:r w:rsidRPr="004A0803">
              <w:rPr>
                <w:sz w:val="20"/>
                <w:szCs w:val="20"/>
                <w:lang w:val="pt-PT"/>
              </w:rPr>
              <w:t>,</w:t>
            </w:r>
            <w:r w:rsidRPr="00966B19">
              <w:rPr>
                <w:sz w:val="20"/>
                <w:szCs w:val="20"/>
                <w:lang w:val="pt-PT"/>
              </w:rPr>
              <w:t xml:space="preserve"> através da sua controlada Globex S/A. M</w:t>
            </w:r>
            <w:r w:rsidRPr="00966B19">
              <w:rPr>
                <w:sz w:val="20"/>
                <w:szCs w:val="20"/>
              </w:rPr>
              <w:t>embro do Conselho do Groupe Casino, varejista francês.</w:t>
            </w:r>
            <w:r w:rsidRPr="00966B19">
              <w:rPr>
                <w:color w:val="000000"/>
                <w:sz w:val="20"/>
                <w:szCs w:val="20"/>
              </w:rPr>
              <w:t xml:space="preserve"> Foi</w:t>
            </w:r>
            <w:r w:rsidR="004A0803">
              <w:rPr>
                <w:color w:val="000000"/>
                <w:sz w:val="20"/>
                <w:szCs w:val="20"/>
              </w:rPr>
              <w:t xml:space="preserve"> um dos fundadores da Associação Brasileira de Supermercados (ABRAS). </w:t>
            </w:r>
            <w:r w:rsidRPr="00966B19">
              <w:rPr>
                <w:color w:val="000000"/>
                <w:sz w:val="20"/>
                <w:szCs w:val="20"/>
              </w:rPr>
              <w:t>Membro do Conselho Superior Estratégico da FIESP</w:t>
            </w:r>
            <w:r w:rsidR="004A0803">
              <w:rPr>
                <w:color w:val="000000"/>
                <w:sz w:val="20"/>
                <w:szCs w:val="20"/>
              </w:rPr>
              <w:t xml:space="preserve">. </w:t>
            </w:r>
          </w:p>
          <w:p w:rsidR="004A0803" w:rsidRDefault="004A0803" w:rsidP="004A0803">
            <w:pPr>
              <w:pStyle w:val="NormalWeb"/>
              <w:spacing w:before="0" w:beforeAutospacing="0" w:after="0" w:afterAutospacing="0"/>
              <w:jc w:val="both"/>
              <w:cnfStyle w:val="000000100000"/>
              <w:rPr>
                <w:color w:val="000000"/>
                <w:sz w:val="20"/>
                <w:szCs w:val="20"/>
              </w:rPr>
            </w:pPr>
            <w:r w:rsidRPr="004A0803">
              <w:rPr>
                <w:b/>
                <w:color w:val="000000"/>
                <w:sz w:val="20"/>
                <w:szCs w:val="20"/>
              </w:rPr>
              <w:t>Período: desde 13/02/2003</w:t>
            </w:r>
          </w:p>
          <w:p w:rsidR="00AE55C1" w:rsidRPr="004A0803" w:rsidRDefault="00AE55C1" w:rsidP="004A0803">
            <w:pPr>
              <w:pStyle w:val="NormalWeb"/>
              <w:spacing w:before="0" w:beforeAutospacing="0" w:after="0" w:afterAutospacing="0"/>
              <w:jc w:val="both"/>
              <w:cnfStyle w:val="000000100000"/>
              <w:rPr>
                <w:color w:val="434242"/>
                <w:sz w:val="20"/>
                <w:szCs w:val="20"/>
              </w:rPr>
            </w:pPr>
          </w:p>
        </w:tc>
        <w:tc>
          <w:tcPr>
            <w:tcW w:w="953" w:type="pct"/>
          </w:tcPr>
          <w:p w:rsidR="00AE55C1" w:rsidRPr="00966B19" w:rsidRDefault="00AE55C1" w:rsidP="00AE55C1">
            <w:pPr>
              <w:pStyle w:val="DecimalAligned"/>
              <w:tabs>
                <w:tab w:val="clear" w:pos="360"/>
                <w:tab w:val="left" w:pos="1361"/>
              </w:tabs>
              <w:spacing w:after="0" w:line="240" w:lineRule="auto"/>
              <w:jc w:val="center"/>
              <w:cnfStyle w:val="000000100000"/>
              <w:rPr>
                <w:rFonts w:ascii="Times New Roman" w:hAnsi="Times New Roman"/>
                <w:color w:val="000000"/>
                <w:sz w:val="20"/>
                <w:szCs w:val="20"/>
              </w:rPr>
            </w:pPr>
            <w:r w:rsidRPr="00966B19">
              <w:rPr>
                <w:rFonts w:ascii="Times New Roman" w:hAnsi="Times New Roman"/>
                <w:color w:val="000000"/>
                <w:sz w:val="20"/>
                <w:szCs w:val="20"/>
              </w:rPr>
              <w:t>Comércio varejista e atacadista.</w:t>
            </w:r>
          </w:p>
          <w:p w:rsidR="00AE55C1" w:rsidRPr="00966B19" w:rsidRDefault="00AE55C1" w:rsidP="00AE55C1">
            <w:pPr>
              <w:pStyle w:val="DecimalAligned"/>
              <w:tabs>
                <w:tab w:val="clear" w:pos="360"/>
                <w:tab w:val="left" w:pos="1361"/>
              </w:tabs>
              <w:spacing w:after="0" w:line="240" w:lineRule="auto"/>
              <w:jc w:val="center"/>
              <w:cnfStyle w:val="000000100000"/>
              <w:rPr>
                <w:rFonts w:ascii="Times New Roman" w:hAnsi="Times New Roman"/>
                <w:color w:val="000000"/>
                <w:sz w:val="20"/>
                <w:szCs w:val="20"/>
              </w:rPr>
            </w:pPr>
            <w:r w:rsidRPr="00966B19">
              <w:rPr>
                <w:rFonts w:ascii="Times New Roman" w:hAnsi="Times New Roman"/>
                <w:color w:val="000000"/>
                <w:sz w:val="20"/>
                <w:szCs w:val="20"/>
              </w:rPr>
              <w:t>Associações corporativas e setoriais.</w:t>
            </w:r>
          </w:p>
          <w:p w:rsidR="00AE55C1" w:rsidRPr="00966B19" w:rsidRDefault="00AE55C1" w:rsidP="00AE55C1">
            <w:pPr>
              <w:pStyle w:val="DecimalAligned"/>
              <w:tabs>
                <w:tab w:val="clear" w:pos="360"/>
                <w:tab w:val="left" w:pos="1361"/>
              </w:tabs>
              <w:spacing w:after="0" w:line="240" w:lineRule="auto"/>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2) Alain Juan Pablo Belda</w:t>
            </w:r>
          </w:p>
        </w:tc>
        <w:tc>
          <w:tcPr>
            <w:tcW w:w="3048" w:type="pct"/>
          </w:tcPr>
          <w:p w:rsidR="00AE55C1" w:rsidRPr="00112763" w:rsidRDefault="00AE55C1" w:rsidP="00112763">
            <w:pPr>
              <w:spacing w:after="0"/>
              <w:jc w:val="both"/>
              <w:cnfStyle w:val="000000010000"/>
              <w:rPr>
                <w:rFonts w:ascii="Times New Roman" w:hAnsi="Times New Roman"/>
                <w:sz w:val="20"/>
                <w:szCs w:val="20"/>
              </w:rPr>
            </w:pPr>
            <w:r w:rsidRPr="00112763">
              <w:rPr>
                <w:rFonts w:ascii="Times New Roman" w:hAnsi="Times New Roman"/>
                <w:sz w:val="20"/>
                <w:szCs w:val="20"/>
              </w:rPr>
              <w:t>Administrador de Empresas, graduado pela Universidade Presbiteriana Mackenzie, trabalhou quatro décadas no Grupo Alcoa desde 1969, quando foi contratado pela subsidiária brasileira. Exerceu vários cargos na área financeira e de planejamento até ser nomeado Presidente da Alcoa Alumínio em 1979, assumindo a Vice Presidência da Alcoa na América Latina entre 1982 e 1991 e a Presidência entre 1991 e 1994, quando passou à Vice-Presidência Executiva da Alcoa Inc. Foi o principal executivo da Alcoa Inc. no período de maio de 1999 a maio de 2008, quando foi guindado a Presidente do Conselho de Administração.</w:t>
            </w:r>
          </w:p>
          <w:p w:rsidR="00AE55C1" w:rsidRPr="006E37A5" w:rsidRDefault="00AE55C1" w:rsidP="00AE55C1">
            <w:pPr>
              <w:shd w:val="clear" w:color="auto" w:fill="FFFFFF"/>
              <w:spacing w:line="255" w:lineRule="atLeast"/>
              <w:jc w:val="both"/>
              <w:cnfStyle w:val="000000010000"/>
              <w:rPr>
                <w:rFonts w:ascii="Times New Roman" w:hAnsi="Times New Roman"/>
                <w:b/>
                <w:sz w:val="20"/>
                <w:szCs w:val="20"/>
              </w:rPr>
            </w:pPr>
            <w:r w:rsidRPr="006E37A5">
              <w:rPr>
                <w:rFonts w:ascii="Times New Roman" w:hAnsi="Times New Roman"/>
                <w:b/>
                <w:sz w:val="20"/>
                <w:szCs w:val="20"/>
              </w:rPr>
              <w:t>Período: 13/02/2003 a 04/09/2003</w:t>
            </w:r>
          </w:p>
        </w:tc>
        <w:tc>
          <w:tcPr>
            <w:tcW w:w="953" w:type="pct"/>
          </w:tcPr>
          <w:p w:rsidR="00AE55C1" w:rsidRPr="00966B19" w:rsidRDefault="00AE55C1" w:rsidP="00AE55C1">
            <w:pPr>
              <w:pStyle w:val="DecimalAligned"/>
              <w:tabs>
                <w:tab w:val="clear" w:pos="360"/>
              </w:tabs>
              <w:spacing w:after="0" w:line="240" w:lineRule="auto"/>
              <w:jc w:val="center"/>
              <w:cnfStyle w:val="000000010000"/>
              <w:rPr>
                <w:rFonts w:ascii="Times New Roman" w:hAnsi="Times New Roman"/>
                <w:sz w:val="20"/>
                <w:szCs w:val="20"/>
              </w:rPr>
            </w:pPr>
            <w:r w:rsidRPr="00966B19">
              <w:rPr>
                <w:rFonts w:ascii="Times New Roman" w:hAnsi="Times New Roman"/>
                <w:sz w:val="20"/>
                <w:szCs w:val="20"/>
              </w:rPr>
              <w:t>Mineração e produção de alumínio.</w:t>
            </w:r>
          </w:p>
          <w:p w:rsidR="00AE55C1" w:rsidRPr="00966B19" w:rsidRDefault="00AE55C1" w:rsidP="00AE55C1">
            <w:pPr>
              <w:pStyle w:val="DecimalAligned"/>
              <w:tabs>
                <w:tab w:val="clear" w:pos="360"/>
              </w:tabs>
              <w:spacing w:line="240" w:lineRule="auto"/>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0"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 xml:space="preserve">3) </w:t>
            </w:r>
            <w:r w:rsidRPr="00966B19">
              <w:rPr>
                <w:rFonts w:ascii="Times New Roman" w:hAnsi="Times New Roman"/>
                <w:b w:val="0"/>
                <w:color w:val="000000"/>
                <w:sz w:val="20"/>
                <w:szCs w:val="20"/>
              </w:rPr>
              <w:t xml:space="preserve">Amarílio Proença de Macêdo </w:t>
            </w:r>
          </w:p>
        </w:tc>
        <w:tc>
          <w:tcPr>
            <w:tcW w:w="3048" w:type="pct"/>
          </w:tcPr>
          <w:p w:rsidR="00AE55C1" w:rsidRPr="00966B19" w:rsidRDefault="00AE55C1" w:rsidP="00AE55C1">
            <w:pPr>
              <w:spacing w:after="0"/>
              <w:jc w:val="both"/>
              <w:cnfStyle w:val="000000100000"/>
              <w:rPr>
                <w:rFonts w:ascii="Times New Roman" w:hAnsi="Times New Roman"/>
                <w:sz w:val="20"/>
                <w:szCs w:val="20"/>
              </w:rPr>
            </w:pPr>
            <w:r w:rsidRPr="00966B19">
              <w:rPr>
                <w:rFonts w:ascii="Times New Roman" w:hAnsi="Times New Roman"/>
                <w:color w:val="000000"/>
                <w:sz w:val="20"/>
                <w:szCs w:val="20"/>
              </w:rPr>
              <w:t>Diretor-Presidente da J. Macêdo S/A, maior grupo nacional de moagem de trigo. Fundador do Instituto Equatorial de Cultura Contemporânea/Ceará, do Pacto de Cooperação/ Ceará e Co-fundador do Movimento Visão Brasil/S. Paulo. Ex-conselheiro da FIESP-Federação das Indústrias do Estado de S. Paulo e da FIEC-Federação das Indústrias do Estado do Ceará, é Conselheiro fundador do ‘-Instituto de Estudos para o Desenvolvimento Industrial e Conselheiro do Conselho Nacional de Desenvolvimento Industrial - CNDI. Também é Membro do Comitê Gestor da Reserva da Biosfera da Mata Atlântica/Ceará. Recebeu o Prêmio Cidadania do PNBE-Pensamento Nacional das Bases Empresariais e o Troféu Cidadania, FIEC-Federação das Indústrias do Estado do Ceará. Foi um dos fundadores do PSDB. Fundador do Instituto de Relações Universidade-Empresa (Uniemp). M</w:t>
            </w:r>
            <w:r w:rsidRPr="00966B19">
              <w:rPr>
                <w:rFonts w:ascii="Times New Roman" w:hAnsi="Times New Roman"/>
                <w:sz w:val="20"/>
                <w:szCs w:val="20"/>
              </w:rPr>
              <w:t>embro do Instituto Fernand Braudel de economia mundial.  Presidente da Associação de Moinhos de Trigo do Ceará. Presidente do SINDTRIGO – Sindicato das Indústrias do Trigo nos Estados do PA, PB, CE e RN.</w:t>
            </w:r>
          </w:p>
          <w:p w:rsidR="00AE55C1" w:rsidRPr="00966B19" w:rsidRDefault="00AE55C1" w:rsidP="00AE55C1">
            <w:pPr>
              <w:jc w:val="both"/>
              <w:cnfStyle w:val="000000100000"/>
              <w:rPr>
                <w:rFonts w:ascii="Times New Roman" w:hAnsi="Times New Roman"/>
                <w:b/>
                <w:sz w:val="20"/>
                <w:szCs w:val="20"/>
              </w:rPr>
            </w:pPr>
            <w:r w:rsidRPr="00966B19">
              <w:rPr>
                <w:rFonts w:ascii="Times New Roman" w:hAnsi="Times New Roman"/>
                <w:b/>
                <w:sz w:val="20"/>
                <w:szCs w:val="20"/>
              </w:rPr>
              <w:t>Período: desde 12/06/2003</w:t>
            </w:r>
          </w:p>
        </w:tc>
        <w:tc>
          <w:tcPr>
            <w:tcW w:w="953" w:type="pct"/>
          </w:tcPr>
          <w:p w:rsidR="00AE55C1" w:rsidRPr="00966B19" w:rsidRDefault="00AE55C1" w:rsidP="00AE55C1">
            <w:pPr>
              <w:pStyle w:val="DecimalAligned"/>
              <w:tabs>
                <w:tab w:val="clear" w:pos="360"/>
                <w:tab w:val="decimal" w:pos="46"/>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 xml:space="preserve">Indústria de alimentos. Associações corporativas e societais. </w:t>
            </w:r>
          </w:p>
          <w:p w:rsidR="00AE55C1" w:rsidRPr="00966B19" w:rsidRDefault="00AE55C1" w:rsidP="00AE55C1">
            <w:pPr>
              <w:pStyle w:val="DecimalAligned"/>
              <w:tabs>
                <w:tab w:val="clear" w:pos="360"/>
                <w:tab w:val="decimal" w:pos="46"/>
              </w:tabs>
              <w:spacing w:line="240" w:lineRule="auto"/>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4) Antoninho Trevisan</w:t>
            </w:r>
          </w:p>
        </w:tc>
        <w:tc>
          <w:tcPr>
            <w:tcW w:w="3048" w:type="pct"/>
          </w:tcPr>
          <w:p w:rsidR="00AE55C1" w:rsidRPr="00966B19" w:rsidRDefault="00AE55C1" w:rsidP="00AE55C1">
            <w:pPr>
              <w:pStyle w:val="DecimalAligned"/>
              <w:tabs>
                <w:tab w:val="clear" w:pos="360"/>
                <w:tab w:val="decimal" w:pos="0"/>
              </w:tabs>
              <w:spacing w:after="0" w:line="240" w:lineRule="auto"/>
              <w:jc w:val="both"/>
              <w:cnfStyle w:val="000000010000"/>
              <w:rPr>
                <w:rFonts w:ascii="Times New Roman" w:hAnsi="Times New Roman"/>
                <w:color w:val="000000"/>
                <w:sz w:val="20"/>
                <w:szCs w:val="20"/>
              </w:rPr>
            </w:pPr>
            <w:r w:rsidRPr="00966B19">
              <w:rPr>
                <w:rFonts w:ascii="Times New Roman" w:hAnsi="Times New Roman"/>
                <w:color w:val="000000"/>
                <w:sz w:val="20"/>
                <w:szCs w:val="20"/>
              </w:rPr>
              <w:t xml:space="preserve">Presidente da Trevisan Escola de Negócios e do conselho Consultivo da BDO-Trevisan Auditores. Em 1999 deu início a Faculdade Trevisan (Trevisan Escola de Negócios), que se tornou referência nacional em gestão empresarial e ciências contábeis. É presidente da Academia Brasileira de Ciências Contábeis e membro da ANE - Academia Nacional de Economia. É membro do Centro de Integração Empresa-Escola e da Comissão de Arbitragem da BMF&amp;Bovespa. É membro do Conselho de Altos Estudos de Finanças e Tributação da Associação Comercial de São Paulo e do Conselho Superior de Economia da FIESP. Fundou e preside a ONG Ação Fome Zero dedicada à merenda Escolar. Possui mais de 300 artigos e trabalhos publicados em revistas e jornais do Brasil e do exterior; é autor do livro Empresários do Futuro. Membro do Conselho Titular – Representante da Sociedade Civil do Movimento Brasil Competitivo. </w:t>
            </w:r>
            <w:r w:rsidRPr="00966B19">
              <w:rPr>
                <w:rFonts w:ascii="Times New Roman" w:hAnsi="Times New Roman"/>
                <w:sz w:val="20"/>
                <w:szCs w:val="20"/>
                <w:lang w:val="pt-PT"/>
              </w:rPr>
              <w:t>Presidente do Conselho do Programa da Qualidade no Serviço Público, vinculado ao Ministério do Planejamento, Orçamento e Gestão.</w:t>
            </w:r>
          </w:p>
          <w:p w:rsidR="00AE55C1" w:rsidRPr="00966B19" w:rsidRDefault="00AE55C1" w:rsidP="00AE55C1">
            <w:pPr>
              <w:pStyle w:val="DecimalAligned"/>
              <w:jc w:val="both"/>
              <w:cnfStyle w:val="000000010000"/>
              <w:rPr>
                <w:rFonts w:ascii="Times New Roman" w:hAnsi="Times New Roman"/>
                <w:b/>
                <w:sz w:val="20"/>
                <w:szCs w:val="20"/>
              </w:rPr>
            </w:pPr>
            <w:r w:rsidRPr="00966B19">
              <w:rPr>
                <w:rFonts w:ascii="Times New Roman" w:hAnsi="Times New Roman"/>
                <w:b/>
                <w:sz w:val="20"/>
                <w:szCs w:val="20"/>
              </w:rPr>
              <w:t>Período: desde 13/02/2003</w:t>
            </w:r>
          </w:p>
        </w:tc>
        <w:tc>
          <w:tcPr>
            <w:tcW w:w="953" w:type="pct"/>
          </w:tcPr>
          <w:p w:rsidR="00AE55C1" w:rsidRPr="00966B19" w:rsidRDefault="00AE55C1" w:rsidP="00AE55C1">
            <w:pPr>
              <w:pStyle w:val="DecimalAligned"/>
              <w:tabs>
                <w:tab w:val="clear" w:pos="360"/>
                <w:tab w:val="decimal" w:pos="46"/>
              </w:tabs>
              <w:spacing w:after="0" w:line="240" w:lineRule="auto"/>
              <w:jc w:val="center"/>
              <w:cnfStyle w:val="000000010000"/>
              <w:rPr>
                <w:rFonts w:ascii="Times New Roman" w:hAnsi="Times New Roman"/>
                <w:sz w:val="20"/>
                <w:szCs w:val="20"/>
              </w:rPr>
            </w:pPr>
            <w:r w:rsidRPr="00966B19">
              <w:rPr>
                <w:rFonts w:ascii="Times New Roman" w:hAnsi="Times New Roman"/>
                <w:sz w:val="20"/>
                <w:szCs w:val="20"/>
              </w:rPr>
              <w:t>Consultoria empresarial.</w:t>
            </w:r>
          </w:p>
          <w:p w:rsidR="00AE55C1" w:rsidRPr="00966B19" w:rsidRDefault="00AE55C1" w:rsidP="00AE55C1">
            <w:pPr>
              <w:pStyle w:val="DecimalAligned"/>
              <w:tabs>
                <w:tab w:val="clear" w:pos="360"/>
                <w:tab w:val="decimal" w:pos="46"/>
              </w:tabs>
              <w:spacing w:after="0" w:line="240" w:lineRule="auto"/>
              <w:jc w:val="center"/>
              <w:cnfStyle w:val="000000010000"/>
              <w:rPr>
                <w:rFonts w:ascii="Times New Roman" w:hAnsi="Times New Roman"/>
                <w:sz w:val="20"/>
                <w:szCs w:val="20"/>
              </w:rPr>
            </w:pPr>
            <w:r w:rsidRPr="00966B19">
              <w:rPr>
                <w:rFonts w:ascii="Times New Roman" w:hAnsi="Times New Roman"/>
                <w:sz w:val="20"/>
                <w:szCs w:val="20"/>
              </w:rPr>
              <w:t>Vinculações com o Estado restrito.</w:t>
            </w:r>
          </w:p>
          <w:p w:rsidR="00AE55C1" w:rsidRPr="00966B19" w:rsidRDefault="00AE55C1" w:rsidP="00AE55C1">
            <w:pPr>
              <w:pStyle w:val="DecimalAligned"/>
              <w:tabs>
                <w:tab w:val="clear" w:pos="360"/>
                <w:tab w:val="decimal" w:pos="46"/>
              </w:tabs>
              <w:spacing w:after="0" w:line="240" w:lineRule="auto"/>
              <w:jc w:val="center"/>
              <w:cnfStyle w:val="000000010000"/>
              <w:rPr>
                <w:rFonts w:ascii="Times New Roman" w:hAnsi="Times New Roman"/>
                <w:sz w:val="20"/>
                <w:szCs w:val="20"/>
              </w:rPr>
            </w:pPr>
            <w:r w:rsidRPr="00966B19">
              <w:rPr>
                <w:rFonts w:ascii="Times New Roman" w:hAnsi="Times New Roman"/>
                <w:sz w:val="20"/>
                <w:szCs w:val="20"/>
              </w:rPr>
              <w:t>Setor financeiro. Associações corporativas, setoriais e societais.</w:t>
            </w:r>
          </w:p>
          <w:p w:rsidR="00AE55C1" w:rsidRPr="00966B19" w:rsidRDefault="00AE55C1" w:rsidP="00AE55C1">
            <w:pPr>
              <w:pStyle w:val="DecimalAligned"/>
              <w:tabs>
                <w:tab w:val="clear" w:pos="360"/>
                <w:tab w:val="decimal" w:pos="46"/>
              </w:tabs>
              <w:spacing w:line="240" w:lineRule="auto"/>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0"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5) Benjamin Steinbruch</w:t>
            </w:r>
          </w:p>
        </w:tc>
        <w:tc>
          <w:tcPr>
            <w:tcW w:w="3048" w:type="pct"/>
          </w:tcPr>
          <w:p w:rsidR="00AE55C1" w:rsidRPr="00966B19" w:rsidRDefault="00AE55C1" w:rsidP="00AE55C1">
            <w:pPr>
              <w:spacing w:after="0"/>
              <w:jc w:val="both"/>
              <w:cnfStyle w:val="000000100000"/>
              <w:rPr>
                <w:rFonts w:ascii="Times New Roman" w:hAnsi="Times New Roman"/>
                <w:color w:val="000000"/>
                <w:sz w:val="20"/>
                <w:szCs w:val="20"/>
              </w:rPr>
            </w:pPr>
            <w:r w:rsidRPr="00966B19">
              <w:rPr>
                <w:rFonts w:ascii="Times New Roman" w:hAnsi="Times New Roman"/>
                <w:color w:val="000000"/>
                <w:sz w:val="20"/>
                <w:szCs w:val="20"/>
              </w:rPr>
              <w:t xml:space="preserve">Presidente da Companhia Siderúrgica Nacional. Presidente do Grupo Vicunha. Em 1995 foi eleito presidente do Conselho de Administração da CSN. Presidiu o Conselho de Administração da Vale durante três anos; foi presidente dos Conselhos de Administração da Light e da Metropolitana, além de participar dos Conselhos de Administração do BNDES, Petrobrás e CETESB. Proprietário do Banco Fibra. Membro do Conselho do IEDI. Membro do Conselho Superior Estratégico da FIESP (hoje é vice-presidente). </w:t>
            </w:r>
          </w:p>
          <w:p w:rsidR="00AE55C1" w:rsidRPr="00966B19" w:rsidRDefault="00AE55C1" w:rsidP="00AE55C1">
            <w:pPr>
              <w:jc w:val="both"/>
              <w:cnfStyle w:val="000000100000"/>
              <w:rPr>
                <w:rFonts w:ascii="Times New Roman" w:hAnsi="Times New Roman"/>
                <w:b/>
                <w:color w:val="000000"/>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 13/02/2003 a 13/05/2007</w:t>
            </w:r>
          </w:p>
        </w:tc>
        <w:tc>
          <w:tcPr>
            <w:tcW w:w="953" w:type="pct"/>
          </w:tcPr>
          <w:p w:rsidR="00AE55C1" w:rsidRPr="00966B19" w:rsidRDefault="00AE55C1" w:rsidP="00AE55C1">
            <w:pPr>
              <w:pStyle w:val="DecimalAligned"/>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Metalurgia e Siderurgia. Setor Têxtil. Setor Financeiro. Vinculações com o Estado restrito. Associações corporativas e societais.</w:t>
            </w:r>
          </w:p>
          <w:p w:rsidR="00AE55C1" w:rsidRPr="00966B19" w:rsidRDefault="00AE55C1" w:rsidP="00AE55C1">
            <w:pPr>
              <w:pStyle w:val="DecimalAligned"/>
              <w:spacing w:after="0" w:line="240" w:lineRule="auto"/>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6) Cosette Alves</w:t>
            </w:r>
          </w:p>
        </w:tc>
        <w:tc>
          <w:tcPr>
            <w:tcW w:w="3048" w:type="pct"/>
          </w:tcPr>
          <w:p w:rsidR="00AE55C1" w:rsidRPr="00966B19" w:rsidRDefault="00AE55C1" w:rsidP="00AE55C1">
            <w:pPr>
              <w:pStyle w:val="DecimalAligned"/>
              <w:tabs>
                <w:tab w:val="clear" w:pos="360"/>
                <w:tab w:val="decimal" w:pos="0"/>
              </w:tabs>
              <w:spacing w:after="0" w:line="240" w:lineRule="auto"/>
              <w:jc w:val="both"/>
              <w:cnfStyle w:val="000000010000"/>
              <w:rPr>
                <w:rFonts w:ascii="Times New Roman" w:hAnsi="Times New Roman"/>
                <w:sz w:val="20"/>
                <w:szCs w:val="20"/>
              </w:rPr>
            </w:pPr>
            <w:r w:rsidRPr="00966B19">
              <w:rPr>
                <w:rFonts w:ascii="Times New Roman" w:hAnsi="Times New Roman"/>
                <w:sz w:val="20"/>
                <w:szCs w:val="20"/>
              </w:rPr>
              <w:t>Empresária, ex-proprietária do Mappin. Presidente da Fundação Inter-Americana de Cultura e Desenvolvimento e do Conselho de Administração do Museu da Imagem e do Som de São Paulo. Membro do Conselho de Empresários da América Latina (CEAL). Presidente da CDEA Participações LTDA. Membro fundador da Academia Brasileira de Cinema.</w:t>
            </w:r>
          </w:p>
          <w:p w:rsidR="00AE55C1" w:rsidRPr="006E37A5" w:rsidRDefault="00AE55C1" w:rsidP="00AE55C1">
            <w:pPr>
              <w:pStyle w:val="DecimalAligned"/>
              <w:tabs>
                <w:tab w:val="clear" w:pos="360"/>
                <w:tab w:val="decimal" w:pos="0"/>
              </w:tabs>
              <w:spacing w:line="240" w:lineRule="auto"/>
              <w:jc w:val="both"/>
              <w:cnfStyle w:val="000000010000"/>
              <w:rPr>
                <w:rFonts w:ascii="Times New Roman" w:hAnsi="Times New Roman"/>
                <w:sz w:val="20"/>
                <w:szCs w:val="20"/>
              </w:rPr>
            </w:pPr>
            <w:r w:rsidRPr="006E37A5">
              <w:rPr>
                <w:rFonts w:ascii="Times New Roman" w:hAnsi="Times New Roman"/>
                <w:b/>
                <w:sz w:val="20"/>
                <w:szCs w:val="20"/>
              </w:rPr>
              <w:t>Período: de 13/02/2003 a 28/07/2004</w:t>
            </w:r>
          </w:p>
        </w:tc>
        <w:tc>
          <w:tcPr>
            <w:tcW w:w="953"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Comércio varejista. Associações societais.</w:t>
            </w:r>
          </w:p>
          <w:p w:rsidR="00AE55C1" w:rsidRPr="00966B19" w:rsidRDefault="00AE55C1" w:rsidP="00AE55C1">
            <w:pPr>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7) Daniel Feffer</w:t>
            </w:r>
          </w:p>
        </w:tc>
        <w:tc>
          <w:tcPr>
            <w:tcW w:w="3048" w:type="pct"/>
          </w:tcPr>
          <w:p w:rsidR="00AE55C1" w:rsidRPr="00966B19" w:rsidRDefault="00AE55C1" w:rsidP="00AE55C1">
            <w:pPr>
              <w:pStyle w:val="DecimalAligned"/>
              <w:tabs>
                <w:tab w:val="clear" w:pos="360"/>
                <w:tab w:val="decimal" w:pos="0"/>
              </w:tabs>
              <w:spacing w:after="0" w:line="240" w:lineRule="auto"/>
              <w:jc w:val="both"/>
              <w:cnfStyle w:val="000000100000"/>
              <w:rPr>
                <w:rFonts w:ascii="Times New Roman" w:hAnsi="Times New Roman"/>
                <w:color w:val="000000"/>
                <w:sz w:val="20"/>
                <w:szCs w:val="20"/>
              </w:rPr>
            </w:pPr>
            <w:r w:rsidRPr="00966B19">
              <w:rPr>
                <w:rFonts w:ascii="Times New Roman" w:hAnsi="Times New Roman"/>
                <w:color w:val="000000"/>
                <w:sz w:val="20"/>
                <w:szCs w:val="20"/>
              </w:rPr>
              <w:t xml:space="preserve">Vice-Presidente Corporativo da Suzano Holding S/A e Membro do Conselho de Administração da Suzano Papel e Celulose, Conselheiro Quotista da MDS Corretora e Administradora de Seguros. Presidente da Fundação Filantrópica Arymax, além de ter presença em vários Conselhos de empresas. Presidente do Instituto Ecofuturo, Membro do Conselho do Instituto Ethos de Responsabilidade Social, Membro do Conselho da FIESP, Membro do Conselho da TNC - The Natural Conservancy; Membro Fundador do Conselho de Governança e Fundador do Movimento Todos Pela Educação, Membro do Conselho do MBC - Movimento Brasil Competitivo, Membro do Conselho do IEDI - Instituto de Estudos para o Desenvolvimento Industrial. Membro da Câmara de Mantenedor do Instituto Millenium. </w:t>
            </w:r>
            <w:r w:rsidRPr="00966B19">
              <w:rPr>
                <w:rFonts w:ascii="Times New Roman" w:hAnsi="Times New Roman"/>
                <w:sz w:val="20"/>
                <w:szCs w:val="20"/>
              </w:rPr>
              <w:t>Membro do Conselho Deliberativo da ABDI (MDIC).</w:t>
            </w:r>
          </w:p>
          <w:p w:rsidR="00AE55C1" w:rsidRPr="00966B19" w:rsidRDefault="00AE55C1" w:rsidP="00AE55C1">
            <w:pPr>
              <w:jc w:val="both"/>
              <w:cnfStyle w:val="000000100000"/>
              <w:rPr>
                <w:rFonts w:ascii="Times New Roman" w:hAnsi="Times New Roman"/>
                <w:b/>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desde 13/02/2003</w:t>
            </w:r>
          </w:p>
        </w:tc>
        <w:tc>
          <w:tcPr>
            <w:tcW w:w="953"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Indústria de Papel e Celulose. Setor Financeiro. Vinculação com o Estado restrito. Associações corporativas e societais.</w:t>
            </w:r>
          </w:p>
          <w:p w:rsidR="00AE55C1" w:rsidRPr="00966B19" w:rsidRDefault="00AE55C1" w:rsidP="00AE55C1">
            <w:pPr>
              <w:pStyle w:val="DecimalAligned"/>
              <w:tabs>
                <w:tab w:val="clear" w:pos="360"/>
              </w:tabs>
              <w:spacing w:line="240" w:lineRule="auto"/>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8) Eduardo Eugênio Gouvêa Vieira</w:t>
            </w:r>
          </w:p>
        </w:tc>
        <w:tc>
          <w:tcPr>
            <w:tcW w:w="3048" w:type="pct"/>
          </w:tcPr>
          <w:p w:rsidR="00AE55C1" w:rsidRPr="00966B19" w:rsidRDefault="00AE55C1" w:rsidP="00AE55C1">
            <w:pPr>
              <w:spacing w:after="0"/>
              <w:jc w:val="both"/>
              <w:cnfStyle w:val="000000010000"/>
              <w:rPr>
                <w:rFonts w:ascii="Times New Roman" w:hAnsi="Times New Roman"/>
                <w:color w:val="000000"/>
                <w:sz w:val="20"/>
                <w:szCs w:val="20"/>
              </w:rPr>
            </w:pPr>
            <w:r w:rsidRPr="00966B19">
              <w:rPr>
                <w:rFonts w:ascii="Times New Roman" w:hAnsi="Times New Roman"/>
                <w:color w:val="000000"/>
                <w:sz w:val="20"/>
                <w:szCs w:val="20"/>
              </w:rPr>
              <w:t xml:space="preserve">Ocupa nas Empresas Petróleo Ipiranga o cargo de Membro do Conselho Superior. Presidente de Sistema da Federação das Indústrias do Estado do Rio de Janeiro – Firjan e Presidente do Centro Industrial do Rio de Janeiro (Cirjan). Também integra o Conselho de Administração do BNDES. Foi membro dos Conselhos de Administração do Banco Sogeral S.A. e Boa Esperança S.A. Foi presidente da Associação Brasileira da Indústria Química e Derivados (Abiquim). No setor químico foi presidente do Cons. de Adm. da Cia Petroquímica do Sul (Copesul), da Ipiranga Petroquímica, SA, da Petroquim SA, da Prochrom Indústrias Químicas SA, da Carbonatos do Nordeste SA, da Associação Brasileira da Indústria da Química Fina (ABINFINA). Delegado do Sindicato da Indústria de Produtos Químicos para Fins Industriais do Estado do Rio de Janeiro (SINQUIRJ), Vice-presidente da Associação Petroquímica Latino-Americana (APLA) e presidente do Conselho Permanente de Política Econômica da CNI. Foi coordenador do PNBE e vice-presidente da Associação Comercial do Rio de Janeiro. Membro do Conselho Consultivo da Associação Saúde Criança. Vice-presidente da </w:t>
            </w:r>
            <w:r w:rsidRPr="00966B19">
              <w:rPr>
                <w:rFonts w:ascii="Times New Roman" w:hAnsi="Times New Roman"/>
                <w:sz w:val="20"/>
                <w:szCs w:val="20"/>
              </w:rPr>
              <w:t>Sociedade Brasileira pró-inovação tecnológica (PROTEC). Foi um dos coordenadores do PNBE.</w:t>
            </w:r>
          </w:p>
          <w:p w:rsidR="00AE55C1" w:rsidRPr="00966B19" w:rsidRDefault="00AE55C1" w:rsidP="00AE55C1">
            <w:pPr>
              <w:jc w:val="both"/>
              <w:cnfStyle w:val="000000010000"/>
              <w:rPr>
                <w:rFonts w:ascii="Times New Roman" w:hAnsi="Times New Roman"/>
                <w:b/>
                <w:color w:val="000000"/>
                <w:sz w:val="20"/>
                <w:szCs w:val="20"/>
              </w:rPr>
            </w:pPr>
            <w:r w:rsidRPr="00966B19">
              <w:rPr>
                <w:rFonts w:ascii="Times New Roman" w:hAnsi="Times New Roman"/>
                <w:b/>
                <w:sz w:val="20"/>
                <w:szCs w:val="20"/>
              </w:rPr>
              <w:t>Período: de 13/02/2003 a 13/05/2007</w:t>
            </w:r>
          </w:p>
        </w:tc>
        <w:tc>
          <w:tcPr>
            <w:tcW w:w="953"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Indústria petroquímica. Setor financeiro.  Vinculações com o Estado restrito.</w:t>
            </w:r>
          </w:p>
          <w:p w:rsidR="00AE55C1" w:rsidRPr="00966B19" w:rsidRDefault="00AE55C1" w:rsidP="00AE55C1">
            <w:pPr>
              <w:pStyle w:val="DecimalAligned"/>
              <w:tabs>
                <w:tab w:val="clear" w:pos="360"/>
              </w:tabs>
              <w:spacing w:after="0" w:line="240" w:lineRule="auto"/>
              <w:jc w:val="center"/>
              <w:cnfStyle w:val="000000010000"/>
              <w:rPr>
                <w:rFonts w:ascii="Times New Roman" w:hAnsi="Times New Roman"/>
                <w:sz w:val="20"/>
                <w:szCs w:val="20"/>
              </w:rPr>
            </w:pPr>
            <w:r w:rsidRPr="00966B19">
              <w:rPr>
                <w:rFonts w:ascii="Times New Roman" w:hAnsi="Times New Roman"/>
                <w:sz w:val="20"/>
                <w:szCs w:val="20"/>
              </w:rPr>
              <w:t>Associações corporativas, setoriais e societais.</w:t>
            </w:r>
          </w:p>
          <w:p w:rsidR="00AE55C1" w:rsidRPr="00966B19" w:rsidRDefault="00AE55C1" w:rsidP="00AE55C1">
            <w:pPr>
              <w:pStyle w:val="DecimalAligned"/>
              <w:tabs>
                <w:tab w:val="clear" w:pos="360"/>
              </w:tabs>
              <w:spacing w:line="240" w:lineRule="auto"/>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9) Eugênio Emílio Staub</w:t>
            </w:r>
          </w:p>
        </w:tc>
        <w:tc>
          <w:tcPr>
            <w:tcW w:w="3048" w:type="pct"/>
          </w:tcPr>
          <w:p w:rsidR="00AE55C1" w:rsidRPr="00966B19" w:rsidRDefault="00AE55C1" w:rsidP="00AE55C1">
            <w:pPr>
              <w:spacing w:after="0"/>
              <w:jc w:val="both"/>
              <w:cnfStyle w:val="000000100000"/>
              <w:rPr>
                <w:rFonts w:ascii="Times New Roman" w:hAnsi="Times New Roman"/>
                <w:color w:val="000000"/>
                <w:sz w:val="20"/>
                <w:szCs w:val="20"/>
              </w:rPr>
            </w:pPr>
            <w:r w:rsidRPr="00966B19">
              <w:rPr>
                <w:rFonts w:ascii="Times New Roman" w:hAnsi="Times New Roman"/>
                <w:color w:val="000000"/>
                <w:sz w:val="20"/>
                <w:szCs w:val="20"/>
              </w:rPr>
              <w:t xml:space="preserve">Presidente da Gradiente. Foi Presidente IEDI - Instituto de Estudos para o Desenvolvimento Industrial e atual membro do Conselho; Fundador, primeiro Presidente e atual membro do Conselho da Eletros (Associação Nacional dos Fabricantes de Produtos Eletro-Eletrônicos) e é ainda membro do CEAL (Conselho de Empresários da América Latina). Membro do Conselho Nacional de Desenvolvimento Industrial (CNDI). Foi membro </w:t>
            </w:r>
            <w:r w:rsidRPr="00966B19">
              <w:rPr>
                <w:rFonts w:ascii="Times New Roman" w:hAnsi="Times New Roman"/>
                <w:sz w:val="20"/>
                <w:szCs w:val="20"/>
              </w:rPr>
              <w:t>Consultivo da Accenture e da FIESP.</w:t>
            </w:r>
          </w:p>
          <w:p w:rsidR="00AE55C1" w:rsidRPr="00966B19" w:rsidRDefault="00AE55C1" w:rsidP="004A0803">
            <w:pPr>
              <w:spacing w:after="0"/>
              <w:jc w:val="both"/>
              <w:cnfStyle w:val="000000100000"/>
              <w:rPr>
                <w:rFonts w:ascii="Times New Roman" w:hAnsi="Times New Roman"/>
                <w:color w:val="000000"/>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 13/02/2003 a 13/05/2007</w:t>
            </w:r>
          </w:p>
        </w:tc>
        <w:tc>
          <w:tcPr>
            <w:tcW w:w="953" w:type="pct"/>
          </w:tcPr>
          <w:p w:rsidR="00AE55C1" w:rsidRPr="00966B19" w:rsidRDefault="00AE55C1" w:rsidP="004A0803">
            <w:pPr>
              <w:spacing w:after="0"/>
              <w:jc w:val="center"/>
              <w:cnfStyle w:val="000000100000"/>
              <w:rPr>
                <w:rFonts w:ascii="Times New Roman" w:hAnsi="Times New Roman"/>
                <w:sz w:val="20"/>
                <w:szCs w:val="20"/>
              </w:rPr>
            </w:pPr>
            <w:r w:rsidRPr="00966B19">
              <w:rPr>
                <w:rFonts w:ascii="Times New Roman" w:hAnsi="Times New Roman"/>
                <w:sz w:val="20"/>
                <w:szCs w:val="20"/>
              </w:rPr>
              <w:t>Fabricação de eletroeletrônicos. Vinculações com o Estado restrito. Associações corporativas, setoriais e societais.</w:t>
            </w:r>
          </w:p>
          <w:p w:rsidR="00AE55C1" w:rsidRPr="00966B19" w:rsidRDefault="00AE55C1" w:rsidP="00AE55C1">
            <w:pPr>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10) Fábio Coletti Barbosa</w:t>
            </w:r>
          </w:p>
        </w:tc>
        <w:tc>
          <w:tcPr>
            <w:tcW w:w="3048" w:type="pct"/>
          </w:tcPr>
          <w:p w:rsidR="00AE55C1" w:rsidRPr="00966B19" w:rsidRDefault="00AE55C1" w:rsidP="00AE55C1">
            <w:pPr>
              <w:pStyle w:val="NormalWeb"/>
              <w:spacing w:before="0" w:beforeAutospacing="0" w:after="0" w:afterAutospacing="0"/>
              <w:jc w:val="both"/>
              <w:cnfStyle w:val="000000010000"/>
              <w:rPr>
                <w:color w:val="000000"/>
                <w:sz w:val="20"/>
                <w:szCs w:val="20"/>
              </w:rPr>
            </w:pPr>
            <w:r w:rsidRPr="00966B19">
              <w:rPr>
                <w:color w:val="000000"/>
                <w:sz w:val="20"/>
                <w:szCs w:val="20"/>
              </w:rPr>
              <w:t xml:space="preserve">Presidente da FEBRABAN. Membro do Conselho de Administração da Petrobrás. Presidente do Banco ABN AMRO no Brasil (1996). Presidente do Banco Real (1998). Presidente do Grupo Santander Brasil, formado pelo Banco Santander e o Banco Real (2008). A partir de 1986 passou 7 anos no Citibank, tendo atuado nas áreas de Controle, Planejamento, Tesouraria e Corporate Finance. De </w:t>
            </w:r>
            <w:smartTag w:uri="urn:schemas-microsoft-com:office:smarttags" w:element="metricconverter">
              <w:smartTagPr>
                <w:attr w:name="ProductID" w:val="1993 a"/>
              </w:smartTagPr>
              <w:r w:rsidRPr="00966B19">
                <w:rPr>
                  <w:color w:val="000000"/>
                  <w:sz w:val="20"/>
                  <w:szCs w:val="20"/>
                </w:rPr>
                <w:t>1993 a</w:t>
              </w:r>
            </w:smartTag>
            <w:r w:rsidRPr="00966B19">
              <w:rPr>
                <w:color w:val="000000"/>
                <w:sz w:val="20"/>
                <w:szCs w:val="20"/>
              </w:rPr>
              <w:t xml:space="preserve"> 1995 foi Presidente da LTCB Latin America Ltda (uma subsidiária Brasileira do The Long Term Credit Bank of Japan). Professor na Fundação Getúlio Vargas, nas áreas de Mercado de Futuro e Derivativos. Membro </w:t>
            </w:r>
            <w:r w:rsidRPr="00966B19">
              <w:rPr>
                <w:sz w:val="20"/>
                <w:szCs w:val="20"/>
              </w:rPr>
              <w:t xml:space="preserve">do </w:t>
            </w:r>
            <w:hyperlink r:id="rId51" w:history="1">
              <w:r w:rsidRPr="004A0803">
                <w:rPr>
                  <w:rStyle w:val="Hyperlink"/>
                  <w:color w:val="auto"/>
                  <w:sz w:val="20"/>
                  <w:szCs w:val="20"/>
                  <w:u w:val="none"/>
                  <w:lang w:val="pt-PT"/>
                </w:rPr>
                <w:t>Instituto Empreender Endeavor</w:t>
              </w:r>
            </w:hyperlink>
            <w:r w:rsidRPr="00966B19">
              <w:rPr>
                <w:sz w:val="20"/>
                <w:szCs w:val="20"/>
                <w:lang w:val="pt-PT"/>
              </w:rPr>
              <w:t xml:space="preserve"> (ONG que estimula o empreendedorismo). Presidente do Conselho Deliberativo da Associação Brasileira de Bancos Internacionais (ABBI). Membro do Conselho de Administração da Petrobrás (2003-2011). </w:t>
            </w:r>
            <w:r w:rsidRPr="00966B19">
              <w:rPr>
                <w:color w:val="000000"/>
                <w:sz w:val="20"/>
                <w:szCs w:val="20"/>
              </w:rPr>
              <w:t>Membro do Conselho de Governança e Fundador do Movimento Todos pela Educação.</w:t>
            </w:r>
          </w:p>
          <w:p w:rsidR="004A0803" w:rsidRPr="004A0803" w:rsidRDefault="00AE55C1" w:rsidP="004A0803">
            <w:pPr>
              <w:spacing w:after="100" w:afterAutospacing="1"/>
              <w:cnfStyle w:val="000000010000"/>
              <w:rPr>
                <w:rFonts w:ascii="Times New Roman" w:hAnsi="Times New Roman"/>
                <w:b/>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desde 13/02/2003</w:t>
            </w:r>
          </w:p>
        </w:tc>
        <w:tc>
          <w:tcPr>
            <w:tcW w:w="953"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Setor Financeiro/Bancário.</w:t>
            </w:r>
          </w:p>
          <w:p w:rsidR="00AE55C1" w:rsidRPr="00966B19" w:rsidRDefault="00AE55C1" w:rsidP="004A0803">
            <w:pPr>
              <w:spacing w:after="0"/>
              <w:jc w:val="center"/>
              <w:cnfStyle w:val="000000010000"/>
              <w:rPr>
                <w:rFonts w:ascii="Times New Roman" w:hAnsi="Times New Roman"/>
                <w:sz w:val="20"/>
                <w:szCs w:val="20"/>
              </w:rPr>
            </w:pPr>
            <w:r w:rsidRPr="00966B19">
              <w:rPr>
                <w:rFonts w:ascii="Times New Roman" w:hAnsi="Times New Roman"/>
                <w:sz w:val="20"/>
                <w:szCs w:val="20"/>
              </w:rPr>
              <w:t>Vinculações com o Estado restrito. Associações corporativas, setoriais e societais.</w:t>
            </w:r>
          </w:p>
          <w:p w:rsidR="00AE55C1" w:rsidRPr="00966B19" w:rsidRDefault="00AE55C1" w:rsidP="00AE55C1">
            <w:pPr>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0"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11) Fernando Roberto Moreira Salles</w:t>
            </w:r>
          </w:p>
        </w:tc>
        <w:tc>
          <w:tcPr>
            <w:tcW w:w="3048" w:type="pct"/>
          </w:tcPr>
          <w:p w:rsidR="00AE55C1" w:rsidRDefault="00AE55C1" w:rsidP="009871FB">
            <w:pPr>
              <w:spacing w:after="0"/>
              <w:cnfStyle w:val="000000100000"/>
              <w:rPr>
                <w:rFonts w:ascii="Times New Roman" w:hAnsi="Times New Roman"/>
                <w:sz w:val="20"/>
                <w:szCs w:val="20"/>
              </w:rPr>
            </w:pPr>
            <w:r w:rsidRPr="009871FB">
              <w:rPr>
                <w:rFonts w:ascii="Times New Roman" w:hAnsi="Times New Roman"/>
                <w:sz w:val="20"/>
                <w:szCs w:val="20"/>
              </w:rPr>
              <w:t>Diretor da CBMM - Companhia Brasileira de Metalurgia e Mineração, da Companhia das letras e Presidente do Instituto Moreira Salles</w:t>
            </w:r>
            <w:r w:rsidR="004A0803">
              <w:rPr>
                <w:rFonts w:ascii="Times New Roman" w:hAnsi="Times New Roman"/>
                <w:sz w:val="20"/>
                <w:szCs w:val="20"/>
              </w:rPr>
              <w:t>. Vice-Presidente do Conselho de Administração da E. Johnston Representação e Participações S.A (2005-2009). Presidente do Conselho de Administração da Brasil Warrant Administração de bens e Empresas S.A. desde 1988; Diretor Superintendente da Editora Scharcz Ltda desde 1988.</w:t>
            </w:r>
            <w:r w:rsidRPr="009871FB">
              <w:rPr>
                <w:rFonts w:ascii="Times New Roman" w:hAnsi="Times New Roman"/>
                <w:sz w:val="20"/>
                <w:szCs w:val="20"/>
              </w:rPr>
              <w:t>Membro dos conselhos de administração da Fundação Getúlio Vargas, da Fundação Roberto Marinho, da Fundação Abrinq pelos Direitos das crianças e de Vitae - Apoio à Cultura, Educação e Promoção Social.</w:t>
            </w:r>
          </w:p>
          <w:p w:rsidR="00AE55C1" w:rsidRPr="009871FB" w:rsidRDefault="004A0803" w:rsidP="004A0803">
            <w:pPr>
              <w:cnfStyle w:val="000000100000"/>
              <w:rPr>
                <w:rFonts w:ascii="Times New Roman" w:hAnsi="Times New Roman"/>
                <w:sz w:val="20"/>
                <w:szCs w:val="20"/>
              </w:rPr>
            </w:pPr>
            <w:r w:rsidRPr="004A0803">
              <w:rPr>
                <w:rFonts w:ascii="Times New Roman" w:hAnsi="Times New Roman"/>
                <w:b/>
                <w:sz w:val="20"/>
                <w:szCs w:val="20"/>
              </w:rPr>
              <w:t xml:space="preserve">Período: </w:t>
            </w:r>
            <w:r w:rsidR="00AE55C1" w:rsidRPr="009871FB">
              <w:rPr>
                <w:rFonts w:ascii="Times New Roman" w:hAnsi="Times New Roman"/>
                <w:b/>
                <w:sz w:val="20"/>
                <w:szCs w:val="20"/>
              </w:rPr>
              <w:t>de 13/02/2003 a 13/05/2007</w:t>
            </w:r>
          </w:p>
        </w:tc>
        <w:tc>
          <w:tcPr>
            <w:tcW w:w="953" w:type="pct"/>
          </w:tcPr>
          <w:p w:rsidR="00AE55C1" w:rsidRPr="00966B19" w:rsidRDefault="00AE55C1" w:rsidP="00AE55C1">
            <w:pPr>
              <w:pStyle w:val="NormalWeb"/>
              <w:spacing w:before="0" w:beforeAutospacing="0" w:after="0" w:afterAutospacing="0"/>
              <w:jc w:val="center"/>
              <w:cnfStyle w:val="000000100000"/>
              <w:rPr>
                <w:sz w:val="20"/>
                <w:szCs w:val="20"/>
              </w:rPr>
            </w:pPr>
            <w:r w:rsidRPr="00966B19">
              <w:rPr>
                <w:sz w:val="20"/>
                <w:szCs w:val="20"/>
              </w:rPr>
              <w:t>Mineração e Metalurgia. Setor Financeiro/Bancário. Associações corporativas e societais.</w:t>
            </w:r>
          </w:p>
          <w:p w:rsidR="00AE55C1" w:rsidRPr="00966B19" w:rsidRDefault="00AE55C1" w:rsidP="00AE55C1">
            <w:pPr>
              <w:pStyle w:val="NormalWeb"/>
              <w:spacing w:before="0" w:beforeAutospacing="0" w:after="0" w:afterAutospacing="0"/>
              <w:jc w:val="center"/>
              <w:cnfStyle w:val="000000100000"/>
              <w:rPr>
                <w:sz w:val="20"/>
                <w:szCs w:val="20"/>
              </w:rPr>
            </w:pPr>
          </w:p>
          <w:p w:rsidR="00AE55C1" w:rsidRPr="00966B19" w:rsidRDefault="00AE55C1" w:rsidP="00AE55C1">
            <w:pPr>
              <w:pStyle w:val="NormalWeb"/>
              <w:spacing w:before="0" w:beforeAutospacing="0" w:after="0" w:afterAutospacing="0"/>
              <w:jc w:val="center"/>
              <w:cnfStyle w:val="000000100000"/>
              <w:rPr>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12) Fernando Xavier Ferreira</w:t>
            </w:r>
          </w:p>
        </w:tc>
        <w:tc>
          <w:tcPr>
            <w:tcW w:w="3048" w:type="pct"/>
          </w:tcPr>
          <w:p w:rsidR="00AE55C1" w:rsidRPr="00966B19" w:rsidRDefault="00AE55C1" w:rsidP="00AE55C1">
            <w:pPr>
              <w:pStyle w:val="Default"/>
              <w:jc w:val="both"/>
              <w:cnfStyle w:val="000000010000"/>
              <w:rPr>
                <w:sz w:val="20"/>
                <w:szCs w:val="20"/>
              </w:rPr>
            </w:pPr>
            <w:r w:rsidRPr="00966B19">
              <w:rPr>
                <w:sz w:val="20"/>
                <w:szCs w:val="20"/>
              </w:rPr>
              <w:t>Presidente do Grupo Telefônica do Brasil. Membro do Comitê Latino Americano da Bolsa de Nova York (NYSE) e da Comissão Global de Infraestrutura de Informação (GIIC). Diretor-superintendente da Companhia de Cimento Itambé, Diretor geral Brasileiro da Itaipu Binacional e Presidente da Telepar; Foi Presidente da Telebrás no governo FHC; Secretario Executivo do Ministério das Comunicações do mesmo governo; Membro do Conselho de Administração da Embratel, da Telerj e da Telesp o qual assumiu a presidência do conselho de Administração (já adquirida pela Telefónica de España no Brasil); Tornou-se o principal executivo da Telefónica de España no Brasil e também presidente da Tele Sudeste Celular Participações; Presidente da Northern Telecom do Brasil e da Interunion Tradiong S.A.; Presidente do Conselho Superior de Infraestrutura da FIESP – COINFA; Membro do Conselho de Administração da Triunfo Participações e Investimentos. Membro do Conselho de Administração da Sociedade de Cultura Artística; Presidente do Conselho Curador da Fundação Telefónica. Membro da Diretoria da Associação Brasileira de Infraestrutura e Indústrias de Base</w:t>
            </w:r>
            <w:r w:rsidRPr="00966B19">
              <w:rPr>
                <w:color w:val="000000" w:themeColor="text1" w:themeShade="BF"/>
                <w:sz w:val="20"/>
                <w:szCs w:val="20"/>
              </w:rPr>
              <w:t xml:space="preserve"> (ABDIB); Membro do Conselho de Administração do Grupo Ouro Verde. Membro do Conselho Consultivo da Associação de Assistência à Criança Deficiente (AACD); Presidente do Conselho de Administração da Vivo.</w:t>
            </w:r>
          </w:p>
          <w:p w:rsidR="00AE55C1" w:rsidRPr="00966B19" w:rsidRDefault="00AE55C1" w:rsidP="00AE55C1">
            <w:pPr>
              <w:pStyle w:val="NormalWeb"/>
              <w:spacing w:before="0" w:beforeAutospacing="0" w:after="240" w:afterAutospacing="0"/>
              <w:jc w:val="both"/>
              <w:cnfStyle w:val="000000010000"/>
              <w:rPr>
                <w:sz w:val="20"/>
                <w:szCs w:val="20"/>
              </w:rPr>
            </w:pPr>
            <w:r w:rsidRPr="00966B19">
              <w:rPr>
                <w:b/>
                <w:color w:val="000000"/>
                <w:sz w:val="20"/>
                <w:szCs w:val="20"/>
              </w:rPr>
              <w:t xml:space="preserve">Período: </w:t>
            </w:r>
            <w:r w:rsidRPr="00966B19">
              <w:rPr>
                <w:b/>
                <w:sz w:val="20"/>
                <w:szCs w:val="20"/>
              </w:rPr>
              <w:t>de 13/02/2003 a 13/05/2007</w:t>
            </w:r>
          </w:p>
        </w:tc>
        <w:tc>
          <w:tcPr>
            <w:tcW w:w="953"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Setor de Telecomunicações.  Setor Financeiro. Vinculações com o Estado restrito.</w:t>
            </w:r>
          </w:p>
          <w:p w:rsidR="00AE55C1" w:rsidRPr="00966B19" w:rsidRDefault="00AE55C1" w:rsidP="00AE55C1">
            <w:pPr>
              <w:pStyle w:val="NormalWeb"/>
              <w:spacing w:before="0" w:beforeAutospacing="0" w:after="0" w:afterAutospacing="0"/>
              <w:jc w:val="center"/>
              <w:cnfStyle w:val="000000010000"/>
              <w:rPr>
                <w:sz w:val="20"/>
                <w:szCs w:val="20"/>
              </w:rPr>
            </w:pPr>
            <w:r w:rsidRPr="00966B19">
              <w:rPr>
                <w:sz w:val="20"/>
                <w:szCs w:val="20"/>
              </w:rPr>
              <w:t>Associações corporativas e societais.</w:t>
            </w:r>
          </w:p>
          <w:p w:rsidR="00AE55C1" w:rsidRPr="00966B19" w:rsidRDefault="00AE55C1" w:rsidP="00AE55C1">
            <w:pPr>
              <w:pStyle w:val="NormalWeb"/>
              <w:spacing w:before="0" w:beforeAutospacing="0" w:after="0" w:afterAutospacing="0"/>
              <w:jc w:val="center"/>
              <w:cnfStyle w:val="000000010000"/>
              <w:rPr>
                <w:sz w:val="20"/>
                <w:szCs w:val="20"/>
              </w:rPr>
            </w:pPr>
          </w:p>
        </w:tc>
      </w:tr>
      <w:tr w:rsidR="00AE55C1" w:rsidRPr="00966B19" w:rsidTr="00E776C4">
        <w:trPr>
          <w:cnfStyle w:val="000000100000"/>
        </w:trPr>
        <w:tc>
          <w:tcPr>
            <w:cnfStyle w:val="001000000000"/>
            <w:tcW w:w="1000"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13) Gabriel Ferreira</w:t>
            </w:r>
          </w:p>
        </w:tc>
        <w:tc>
          <w:tcPr>
            <w:tcW w:w="3048" w:type="pct"/>
          </w:tcPr>
          <w:p w:rsidR="00AE55C1" w:rsidRPr="00966B19" w:rsidRDefault="00AE55C1" w:rsidP="00AE55C1">
            <w:pPr>
              <w:spacing w:after="0"/>
              <w:jc w:val="both"/>
              <w:cnfStyle w:val="000000100000"/>
              <w:rPr>
                <w:rFonts w:ascii="Times New Roman" w:hAnsi="Times New Roman"/>
                <w:color w:val="000000"/>
                <w:sz w:val="20"/>
                <w:szCs w:val="20"/>
              </w:rPr>
            </w:pPr>
            <w:r w:rsidRPr="00966B19">
              <w:rPr>
                <w:rFonts w:ascii="Times New Roman" w:hAnsi="Times New Roman"/>
                <w:color w:val="000000"/>
                <w:sz w:val="20"/>
                <w:szCs w:val="20"/>
              </w:rPr>
              <w:t>Membro do Conselho de Administração do Unibanco – União de Bancos Brasileiros S.A., da Unibanco AIG Seguros S.A., da BWU Comércio e Entretenimento Ltda., do Instituto Unibanco; Membro do Conselho de Administração e Diretor Executivo do Instituto Moreira Salles; Membro do Conselho de Administração e Diretor da E.Johnston Representação e Participações S.A.; Diretor da E. Johnston Participações Ltda. Atua, ainda, nas seguintes empresas: (i) Presidente da CNF – Confederação Nacional das Instituições Financeiras e da CONSIF – Confederação Nacional do Sistema Financeiro; (ii) Presidente do Conselho de Administração da Investe Brasil – Agência Promotora de Investimentos; (iii) Membro do Conselho Consultivo da BM&amp;F, Bolsa de Mercadorias e Futuro; e (iv) Membro do Conselho Deliberativo do Apoio Fome Zero. Foi Presidente da Febraban.</w:t>
            </w:r>
          </w:p>
          <w:p w:rsidR="00AE55C1" w:rsidRPr="00966B19" w:rsidRDefault="00AE55C1" w:rsidP="00AE55C1">
            <w:pPr>
              <w:spacing w:after="100" w:afterAutospacing="1"/>
              <w:jc w:val="both"/>
              <w:cnfStyle w:val="000000100000"/>
              <w:rPr>
                <w:rFonts w:ascii="Times New Roman" w:hAnsi="Times New Roman"/>
                <w:b/>
                <w:color w:val="FF0000"/>
                <w:sz w:val="20"/>
                <w:szCs w:val="20"/>
              </w:rPr>
            </w:pPr>
            <w:r w:rsidRPr="00966B19">
              <w:rPr>
                <w:rFonts w:ascii="Times New Roman" w:hAnsi="Times New Roman"/>
                <w:b/>
                <w:sz w:val="20"/>
                <w:szCs w:val="20"/>
              </w:rPr>
              <w:t>Período: de 13/02/2003 a 25/08/2009</w:t>
            </w:r>
          </w:p>
        </w:tc>
        <w:tc>
          <w:tcPr>
            <w:tcW w:w="953"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Setor Financeiro/Bancário. Associações corporativas e societais.</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14) Gustavo Carlos Marin Garat</w:t>
            </w:r>
          </w:p>
        </w:tc>
        <w:tc>
          <w:tcPr>
            <w:tcW w:w="3048" w:type="pct"/>
          </w:tcPr>
          <w:p w:rsidR="00AE55C1" w:rsidRPr="00966B19" w:rsidRDefault="00AE55C1" w:rsidP="00AE55C1">
            <w:pPr>
              <w:spacing w:after="0"/>
              <w:jc w:val="both"/>
              <w:cnfStyle w:val="000000010000"/>
              <w:rPr>
                <w:rFonts w:ascii="Times New Roman" w:hAnsi="Times New Roman"/>
                <w:color w:val="000000"/>
                <w:sz w:val="20"/>
                <w:szCs w:val="20"/>
              </w:rPr>
            </w:pPr>
            <w:r w:rsidRPr="00966B19">
              <w:rPr>
                <w:rFonts w:ascii="Times New Roman" w:hAnsi="Times New Roman"/>
                <w:color w:val="000000"/>
                <w:sz w:val="20"/>
                <w:szCs w:val="20"/>
                <w:lang w:val="en-US"/>
              </w:rPr>
              <w:t xml:space="preserve">Executivo do Corporate &amp; Investment Bank and Consumer Bank no Citbank Brasil. </w:t>
            </w:r>
            <w:r w:rsidRPr="00966B19">
              <w:rPr>
                <w:rFonts w:ascii="Times New Roman" w:hAnsi="Times New Roman"/>
                <w:color w:val="000000"/>
                <w:sz w:val="20"/>
                <w:szCs w:val="20"/>
              </w:rPr>
              <w:t>Assumiu essa posição em março de 1998. Marin começou sua carreira no Citibank Uruguai em 1981 na área de Corporate Banking, ocupado varias funções na organização. Entre 1993 e 1995, Gustavo Marin foi o Presidente do Citibank Paraguai. Durante esses anos, foi Presidente da Associação de Bancos do Paraguai. Em 1996, tornou-se Presidente do Citibank no Peru. Diretor da FEBRABAN.</w:t>
            </w:r>
          </w:p>
          <w:p w:rsidR="00AE55C1" w:rsidRPr="00966B19" w:rsidRDefault="00AE55C1" w:rsidP="00AE55C1">
            <w:pPr>
              <w:spacing w:after="100" w:afterAutospacing="1"/>
              <w:cnfStyle w:val="000000010000"/>
              <w:rPr>
                <w:rFonts w:ascii="Times New Roman" w:hAnsi="Times New Roman"/>
                <w:b/>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 13/02/2003 a 13/05/2007</w:t>
            </w:r>
          </w:p>
        </w:tc>
        <w:tc>
          <w:tcPr>
            <w:tcW w:w="953" w:type="pct"/>
          </w:tcPr>
          <w:p w:rsidR="00AE55C1" w:rsidRPr="00966B19" w:rsidRDefault="00AE55C1" w:rsidP="004A0803">
            <w:pPr>
              <w:spacing w:after="0"/>
              <w:jc w:val="center"/>
              <w:cnfStyle w:val="000000010000"/>
              <w:rPr>
                <w:rFonts w:ascii="Times New Roman" w:hAnsi="Times New Roman"/>
                <w:sz w:val="20"/>
                <w:szCs w:val="20"/>
              </w:rPr>
            </w:pPr>
            <w:r w:rsidRPr="00966B19">
              <w:rPr>
                <w:rFonts w:ascii="Times New Roman" w:hAnsi="Times New Roman"/>
                <w:sz w:val="20"/>
                <w:szCs w:val="20"/>
              </w:rPr>
              <w:t>Setor Financeiro/Bancário. Associações corporativas.</w:t>
            </w:r>
          </w:p>
          <w:p w:rsidR="00AE55C1" w:rsidRPr="00966B19" w:rsidRDefault="00AE55C1" w:rsidP="00AE55C1">
            <w:pPr>
              <w:jc w:val="center"/>
              <w:cnfStyle w:val="000000010000"/>
              <w:rPr>
                <w:rFonts w:ascii="Times New Roman" w:hAnsi="Times New Roman"/>
                <w:sz w:val="20"/>
                <w:szCs w:val="20"/>
                <w:lang w:val="pt-PT"/>
              </w:rPr>
            </w:pP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15) Horácio Piva</w:t>
            </w:r>
          </w:p>
        </w:tc>
        <w:tc>
          <w:tcPr>
            <w:tcW w:w="3048" w:type="pct"/>
          </w:tcPr>
          <w:p w:rsidR="00AE55C1" w:rsidRPr="00966B19" w:rsidRDefault="00AE55C1" w:rsidP="00AE55C1">
            <w:pPr>
              <w:spacing w:after="0"/>
              <w:jc w:val="both"/>
              <w:cnfStyle w:val="000000100000"/>
              <w:rPr>
                <w:rFonts w:ascii="Times New Roman" w:hAnsi="Times New Roman"/>
                <w:sz w:val="20"/>
                <w:szCs w:val="20"/>
              </w:rPr>
            </w:pPr>
            <w:r w:rsidRPr="00966B19">
              <w:rPr>
                <w:rFonts w:ascii="Times New Roman" w:hAnsi="Times New Roman"/>
                <w:color w:val="000000"/>
                <w:sz w:val="20"/>
                <w:szCs w:val="20"/>
              </w:rPr>
              <w:t xml:space="preserve">Acionista e membro do Conselho </w:t>
            </w:r>
            <w:r w:rsidRPr="00966B19">
              <w:rPr>
                <w:rFonts w:ascii="Times New Roman" w:hAnsi="Times New Roman"/>
                <w:sz w:val="20"/>
                <w:szCs w:val="20"/>
              </w:rPr>
              <w:t>de Administração da Klabin S/A, Presidente dos Conselhos da Bracelpa- Associação Brasileira de Papel e Celulose e da AACD – Associação de Assistência à Criança Deficiente.</w:t>
            </w:r>
            <w:r w:rsidRPr="00966B19">
              <w:rPr>
                <w:rFonts w:ascii="Times New Roman" w:hAnsi="Times New Roman"/>
                <w:sz w:val="20"/>
                <w:szCs w:val="20"/>
                <w:lang w:val="pt-PT"/>
              </w:rPr>
              <w:t xml:space="preserve"> Ex-presidente da </w:t>
            </w:r>
            <w:hyperlink r:id="rId52" w:tooltip="Fiesp" w:history="1">
              <w:r w:rsidRPr="003E7B44">
                <w:rPr>
                  <w:rStyle w:val="Hyperlink"/>
                  <w:rFonts w:ascii="Times New Roman" w:hAnsi="Times New Roman"/>
                  <w:color w:val="auto"/>
                  <w:sz w:val="20"/>
                  <w:szCs w:val="20"/>
                  <w:u w:val="none"/>
                  <w:lang w:val="pt-PT"/>
                </w:rPr>
                <w:t>Fiesp</w:t>
              </w:r>
            </w:hyperlink>
            <w:r w:rsidRPr="00966B19">
              <w:rPr>
                <w:rFonts w:ascii="Times New Roman" w:hAnsi="Times New Roman"/>
                <w:sz w:val="20"/>
                <w:szCs w:val="20"/>
                <w:lang w:val="pt-PT"/>
              </w:rPr>
              <w:t xml:space="preserve">- Federação das Indústrias do Estado de São Paulo. Presidiu também o </w:t>
            </w:r>
            <w:hyperlink r:id="rId53" w:tooltip="Sebrae" w:history="1">
              <w:r w:rsidRPr="003E7B44">
                <w:rPr>
                  <w:rStyle w:val="Hyperlink"/>
                  <w:rFonts w:ascii="Times New Roman" w:hAnsi="Times New Roman"/>
                  <w:color w:val="auto"/>
                  <w:sz w:val="20"/>
                  <w:szCs w:val="20"/>
                  <w:u w:val="none"/>
                  <w:lang w:val="pt-PT"/>
                </w:rPr>
                <w:t>Sebrae</w:t>
              </w:r>
            </w:hyperlink>
            <w:r w:rsidRPr="00966B19">
              <w:rPr>
                <w:rFonts w:ascii="Times New Roman" w:hAnsi="Times New Roman"/>
                <w:sz w:val="20"/>
                <w:szCs w:val="20"/>
                <w:lang w:val="pt-PT"/>
              </w:rPr>
              <w:t xml:space="preserve">. Foi presidente do Conselho da </w:t>
            </w:r>
            <w:hyperlink r:id="rId54" w:tooltip="Bracelpa" w:history="1">
              <w:r w:rsidRPr="003E7B44">
                <w:rPr>
                  <w:rStyle w:val="Hyperlink"/>
                  <w:rFonts w:ascii="Times New Roman" w:hAnsi="Times New Roman"/>
                  <w:color w:val="auto"/>
                  <w:sz w:val="20"/>
                  <w:szCs w:val="20"/>
                  <w:u w:val="none"/>
                  <w:lang w:val="pt-PT"/>
                </w:rPr>
                <w:t>Bracelpa</w:t>
              </w:r>
            </w:hyperlink>
            <w:r w:rsidRPr="00966B19">
              <w:rPr>
                <w:rFonts w:ascii="Times New Roman" w:hAnsi="Times New Roman"/>
                <w:sz w:val="20"/>
                <w:szCs w:val="20"/>
                <w:lang w:val="pt-PT"/>
              </w:rPr>
              <w:t xml:space="preserve"> - Associação Brasileira de Papel e Celulose até 2011. Participou do Conselho da Semco S/A e da BTSP. Presidiu o Instituto DNA Brasil e o Conselho Temático de Economia da </w:t>
            </w:r>
            <w:hyperlink r:id="rId55" w:tooltip="CNI" w:history="1">
              <w:r w:rsidRPr="003E7B44">
                <w:rPr>
                  <w:rStyle w:val="Hyperlink"/>
                  <w:rFonts w:ascii="Times New Roman" w:hAnsi="Times New Roman"/>
                  <w:color w:val="auto"/>
                  <w:sz w:val="20"/>
                  <w:szCs w:val="20"/>
                  <w:u w:val="none"/>
                  <w:lang w:val="pt-PT"/>
                </w:rPr>
                <w:t>CNI</w:t>
              </w:r>
            </w:hyperlink>
            <w:r w:rsidRPr="00966B19">
              <w:rPr>
                <w:rFonts w:ascii="Times New Roman" w:hAnsi="Times New Roman"/>
                <w:sz w:val="20"/>
                <w:szCs w:val="20"/>
                <w:lang w:val="pt-PT"/>
              </w:rPr>
              <w:t xml:space="preserve">. </w:t>
            </w:r>
            <w:r w:rsidRPr="00966B19">
              <w:rPr>
                <w:rFonts w:ascii="Times New Roman" w:hAnsi="Times New Roman"/>
                <w:sz w:val="20"/>
                <w:szCs w:val="20"/>
              </w:rPr>
              <w:t>Membro do Conselho Fiscal e Fundador do Movimento Todos pela Educação. Tornou-se membro dos conselhos da FAPESP, da Orquestra Sinfônica do Estado de São Paulo (OSESP), além de outros conselhos ligados à indústria, educação e saúde. Presidente do Conselho de Administração da Associação de Assistência à Criança Deficiente (AACD).</w:t>
            </w:r>
          </w:p>
          <w:p w:rsidR="00AE55C1" w:rsidRPr="00966B19" w:rsidRDefault="00AE55C1" w:rsidP="00AE55C1">
            <w:pPr>
              <w:jc w:val="both"/>
              <w:cnfStyle w:val="000000100000"/>
              <w:rPr>
                <w:rFonts w:ascii="Times New Roman" w:hAnsi="Times New Roman"/>
                <w:b/>
                <w:color w:val="000000"/>
                <w:sz w:val="20"/>
                <w:szCs w:val="20"/>
              </w:rPr>
            </w:pPr>
            <w:r w:rsidRPr="00966B19">
              <w:rPr>
                <w:rFonts w:ascii="Times New Roman" w:hAnsi="Times New Roman"/>
                <w:b/>
                <w:sz w:val="20"/>
                <w:szCs w:val="20"/>
              </w:rPr>
              <w:t>Período; de 13/02/2003 a 25/08/2009</w:t>
            </w:r>
          </w:p>
        </w:tc>
        <w:tc>
          <w:tcPr>
            <w:tcW w:w="953"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Indústria de Papel e Celulose. Vinculações com o Estado restrito. Associações corporativas, setoriais e societais.</w:t>
            </w:r>
          </w:p>
          <w:p w:rsidR="00AE55C1" w:rsidRPr="00966B19" w:rsidRDefault="00AE55C1" w:rsidP="00AE55C1">
            <w:pPr>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16) Ivo Rosset</w:t>
            </w:r>
          </w:p>
        </w:tc>
        <w:tc>
          <w:tcPr>
            <w:tcW w:w="3048" w:type="pct"/>
          </w:tcPr>
          <w:p w:rsidR="00AE55C1" w:rsidRPr="00966B19" w:rsidRDefault="00AE55C1" w:rsidP="00AE55C1">
            <w:pPr>
              <w:spacing w:after="0"/>
              <w:jc w:val="both"/>
              <w:cnfStyle w:val="000000010000"/>
              <w:rPr>
                <w:rFonts w:ascii="Times New Roman" w:hAnsi="Times New Roman"/>
                <w:color w:val="000000"/>
                <w:sz w:val="20"/>
                <w:szCs w:val="20"/>
              </w:rPr>
            </w:pPr>
            <w:r w:rsidRPr="00966B19">
              <w:rPr>
                <w:rFonts w:ascii="Times New Roman" w:hAnsi="Times New Roman"/>
                <w:color w:val="000000"/>
                <w:sz w:val="20"/>
                <w:szCs w:val="20"/>
              </w:rPr>
              <w:t>Empresário do Setor Têxtil. Presidente das Empresas do Grupo Rosset, formado, dentre outras, pela Rosset Cia Ltda, Indústria de tecidos, Valisère Indústria e Comercio, Cia. Maritima.- Indústria de moda praia e Rosset do Nordeste ltda. Membro do Conselho Consultivo da Associação Brasileira de Indústria Têxtil (ABIT) e Sindi Têxtil, do Conselho Consultivo da FIESP, do C.E.A.L. Conselho de Empresários da América Latina (CEAL), do IEDI Instituto de Estudos para o Desenvolvimento Industrial e do Conselho Nacional de Desenvolvimento Industrial (CNDI).</w:t>
            </w:r>
          </w:p>
          <w:p w:rsidR="00AE55C1" w:rsidRPr="00966B19" w:rsidRDefault="00AE55C1" w:rsidP="00AE55C1">
            <w:pPr>
              <w:cnfStyle w:val="000000010000"/>
              <w:rPr>
                <w:rFonts w:ascii="Times New Roman" w:hAnsi="Times New Roman"/>
                <w:b/>
                <w:color w:val="000000"/>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desde 13/02/2003</w:t>
            </w:r>
          </w:p>
        </w:tc>
        <w:tc>
          <w:tcPr>
            <w:tcW w:w="953"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Indústria têxtil. Vinculações com o Estado restrito.</w:t>
            </w:r>
          </w:p>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 xml:space="preserve"> Associações corporativas, setoriais e societais.</w:t>
            </w:r>
          </w:p>
          <w:p w:rsidR="00AE55C1" w:rsidRPr="00966B19" w:rsidRDefault="00AE55C1" w:rsidP="00AE55C1">
            <w:pPr>
              <w:jc w:val="center"/>
              <w:cnfStyle w:val="000000010000"/>
              <w:rPr>
                <w:rFonts w:ascii="Times New Roman" w:hAnsi="Times New Roman"/>
                <w:sz w:val="20"/>
                <w:szCs w:val="20"/>
                <w:lang w:val="pt-PT"/>
              </w:rPr>
            </w:pP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17) Jorge Gerdau Johannpeter</w:t>
            </w:r>
          </w:p>
        </w:tc>
        <w:tc>
          <w:tcPr>
            <w:tcW w:w="3048" w:type="pct"/>
          </w:tcPr>
          <w:p w:rsidR="00AE55C1" w:rsidRPr="00966B19" w:rsidRDefault="00AE55C1" w:rsidP="00AE55C1">
            <w:pPr>
              <w:pStyle w:val="DecimalAligned"/>
              <w:tabs>
                <w:tab w:val="clear" w:pos="360"/>
                <w:tab w:val="decimal" w:pos="0"/>
              </w:tabs>
              <w:spacing w:after="0" w:line="240" w:lineRule="auto"/>
              <w:jc w:val="both"/>
              <w:cnfStyle w:val="000000100000"/>
              <w:rPr>
                <w:rFonts w:ascii="Times New Roman" w:hAnsi="Times New Roman"/>
                <w:color w:val="000000"/>
                <w:sz w:val="20"/>
                <w:szCs w:val="20"/>
                <w:lang w:val="pt-PT"/>
              </w:rPr>
            </w:pPr>
            <w:r w:rsidRPr="00966B19">
              <w:rPr>
                <w:rFonts w:ascii="Times New Roman" w:hAnsi="Times New Roman"/>
                <w:color w:val="000000"/>
                <w:sz w:val="20"/>
                <w:szCs w:val="20"/>
              </w:rPr>
              <w:t>Presidente do Conselho de Administração da Gerdau. Presidente fundador do Movimento Brasil Competitivo (MBC) e coordena a Ação Empresarial, organizações voltadas para a promoção da competividade das empresas e órgãos governamentais. Presidente do Conselho Superior do Programa Gaúcho da Qualidade e Produtividade (PGQP) e integra Fundação Nacional da Qualidade (FNQ) e a International Academy for Quality (IAQ). Membro do Conselho-Diretor do International Iron and Steel Institute (IISI); Presidente do Conselho de Governança e Fundador do Movimento Todos Pela Educação. Presidente da fundação Iberê Camargo. Membro do Conselho da Parceiros Voluntários, da Fundação Bienal do Mercosul e e do Conselho da Parceiros Voluntários. Membro do Conselho Diretor e do Comitê Executivo do World Steel Association, do Conselho do Instituto Brasileiro de Siderurgia (IBS) e do Conselho do Instituto Aço Brasil (IABr). Membro do Conselho de Administração e Comitê de Sucessão e Remuneração da Petrobras, do Conselho Superior Estratégico da FIESP. A partir de 2009, passou a integrar o conselho consultivo do escritório brasileiro do David Rockfeller Center for Latin American Studies, mantido pela Universidade de Harvard. Presidente do Conselho de Administração de Açominas. Fundador do Instituto de Relações Universidade-Empresa (Uniemp). Membro do Conselho Nacional de Desenvolvimento Industrial (CNDI). Membro do Conselho de Administração da Petrobrás. Membro da Câmara de Mantenedor do Instituto Millenium. Coordenador da Câmara de Gestão e Planejamento do Governo Federal. Presidente do Conselho do Prêmio Qualidade do Governo Federal. Membro do Fórum de Líderes.</w:t>
            </w:r>
          </w:p>
          <w:p w:rsidR="00AE55C1" w:rsidRPr="00966B19" w:rsidRDefault="00AE55C1" w:rsidP="00AE55C1">
            <w:pPr>
              <w:spacing w:after="100" w:afterAutospacing="1"/>
              <w:jc w:val="both"/>
              <w:cnfStyle w:val="000000100000"/>
              <w:rPr>
                <w:rFonts w:ascii="Times New Roman" w:hAnsi="Times New Roman"/>
                <w:color w:val="000000"/>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desde 13/02/2003</w:t>
            </w:r>
          </w:p>
        </w:tc>
        <w:tc>
          <w:tcPr>
            <w:tcW w:w="953" w:type="pct"/>
          </w:tcPr>
          <w:p w:rsidR="00AE55C1" w:rsidRPr="00966B19" w:rsidRDefault="00AE55C1" w:rsidP="00AE55C1">
            <w:pPr>
              <w:jc w:val="center"/>
              <w:cnfStyle w:val="000000100000"/>
              <w:rPr>
                <w:rFonts w:ascii="Times New Roman" w:hAnsi="Times New Roman"/>
                <w:sz w:val="20"/>
                <w:szCs w:val="20"/>
              </w:rPr>
            </w:pPr>
            <w:r w:rsidRPr="00966B19">
              <w:rPr>
                <w:rFonts w:ascii="Times New Roman" w:hAnsi="Times New Roman"/>
                <w:sz w:val="20"/>
                <w:szCs w:val="20"/>
              </w:rPr>
              <w:t>Metalurgia e Siderurgia. Setor Financeiro. Vinculações com o Estado restrito.</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 xml:space="preserve"> Associações corporativas, setoriais e societais.</w:t>
            </w:r>
          </w:p>
          <w:p w:rsidR="00AE55C1" w:rsidRPr="00966B19" w:rsidRDefault="00AE55C1" w:rsidP="00AE55C1">
            <w:pPr>
              <w:pStyle w:val="DecimalAligned"/>
              <w:tabs>
                <w:tab w:val="clear" w:pos="360"/>
              </w:tabs>
              <w:spacing w:line="240" w:lineRule="auto"/>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18) José Augusto Marques</w:t>
            </w:r>
          </w:p>
        </w:tc>
        <w:tc>
          <w:tcPr>
            <w:tcW w:w="3048" w:type="pct"/>
          </w:tcPr>
          <w:p w:rsidR="00AE55C1" w:rsidRPr="00966B19" w:rsidRDefault="00AE55C1" w:rsidP="00AE55C1">
            <w:pPr>
              <w:spacing w:after="0"/>
              <w:jc w:val="both"/>
              <w:cnfStyle w:val="000000010000"/>
              <w:rPr>
                <w:rFonts w:ascii="Times New Roman" w:hAnsi="Times New Roman"/>
                <w:sz w:val="20"/>
                <w:szCs w:val="20"/>
              </w:rPr>
            </w:pPr>
            <w:r w:rsidRPr="00966B19">
              <w:rPr>
                <w:rFonts w:ascii="Times New Roman" w:hAnsi="Times New Roman"/>
                <w:sz w:val="20"/>
                <w:szCs w:val="20"/>
              </w:rPr>
              <w:t>Presidente da Associação Brasileira da Infraestrutura e Indústrias de Base (ABDIB). Vice-Presidente da Associação Brasileira da Indústria Elétrica e Eletrônica (ABINEE). Diretor da FIESP.</w:t>
            </w:r>
          </w:p>
          <w:p w:rsidR="00AE55C1" w:rsidRPr="00966B19" w:rsidRDefault="00AE55C1" w:rsidP="00AE55C1">
            <w:pPr>
              <w:jc w:val="both"/>
              <w:cnfStyle w:val="000000010000"/>
              <w:rPr>
                <w:rFonts w:ascii="Times New Roman" w:hAnsi="Times New Roman"/>
                <w:b/>
                <w:sz w:val="20"/>
                <w:szCs w:val="20"/>
              </w:rPr>
            </w:pPr>
            <w:r w:rsidRPr="00966B19">
              <w:rPr>
                <w:rFonts w:ascii="Times New Roman" w:hAnsi="Times New Roman"/>
                <w:b/>
                <w:sz w:val="20"/>
                <w:szCs w:val="20"/>
              </w:rPr>
              <w:t>Período: de 13/02/2003 a 28/07/2004</w:t>
            </w:r>
          </w:p>
        </w:tc>
        <w:tc>
          <w:tcPr>
            <w:tcW w:w="953" w:type="pct"/>
          </w:tcPr>
          <w:p w:rsidR="00AE55C1" w:rsidRPr="00966B19" w:rsidRDefault="00AE55C1" w:rsidP="00A12C41">
            <w:pPr>
              <w:pStyle w:val="DecimalAligned"/>
              <w:tabs>
                <w:tab w:val="clear" w:pos="360"/>
              </w:tabs>
              <w:spacing w:after="0" w:line="240" w:lineRule="auto"/>
              <w:jc w:val="center"/>
              <w:cnfStyle w:val="000000010000"/>
              <w:rPr>
                <w:rFonts w:ascii="Times New Roman" w:hAnsi="Times New Roman"/>
                <w:sz w:val="20"/>
                <w:szCs w:val="20"/>
              </w:rPr>
            </w:pPr>
            <w:r w:rsidRPr="00966B19">
              <w:rPr>
                <w:rFonts w:ascii="Times New Roman" w:hAnsi="Times New Roman"/>
                <w:sz w:val="20"/>
                <w:szCs w:val="20"/>
              </w:rPr>
              <w:t>Diversos ramos/setores. Associações corporativas e setoriais.</w:t>
            </w: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19) José Carlos Bumlai</w:t>
            </w:r>
          </w:p>
        </w:tc>
        <w:tc>
          <w:tcPr>
            <w:tcW w:w="3048" w:type="pct"/>
          </w:tcPr>
          <w:p w:rsidR="00AE55C1" w:rsidRPr="00966B19" w:rsidRDefault="00AE55C1" w:rsidP="00AE55C1">
            <w:pPr>
              <w:spacing w:after="0"/>
              <w:jc w:val="both"/>
              <w:cnfStyle w:val="000000100000"/>
              <w:rPr>
                <w:rFonts w:ascii="Times New Roman" w:hAnsi="Times New Roman"/>
                <w:color w:val="000000"/>
                <w:sz w:val="20"/>
                <w:szCs w:val="20"/>
              </w:rPr>
            </w:pPr>
            <w:r w:rsidRPr="00966B19">
              <w:rPr>
                <w:rFonts w:ascii="Times New Roman" w:hAnsi="Times New Roman"/>
                <w:color w:val="000000"/>
                <w:sz w:val="20"/>
                <w:szCs w:val="20"/>
              </w:rPr>
              <w:t xml:space="preserve">Pecuarista. Membro do Conselho Diretor do Grupo Itamarati (desde 1985). Membro do Conselho Diretor da Constran S.A - Construções e Comercio - 1987/2002. Associação Nacional dos Produtores e Processadores de Carne e Couro de Qualidade - (Vice Presidente Administrativo).  Vice-Presidente da ACRISSUL - Associação dos criadores do Mato grosso do Sul. </w:t>
            </w:r>
            <w:r w:rsidRPr="00966B19">
              <w:rPr>
                <w:rFonts w:ascii="Times New Roman" w:hAnsi="Times New Roman"/>
                <w:sz w:val="20"/>
                <w:szCs w:val="20"/>
              </w:rPr>
              <w:t>Membro do Conselho Diretivo da Ação Fome Zero. Fórum de Líderes.</w:t>
            </w:r>
          </w:p>
          <w:p w:rsidR="00AE55C1" w:rsidRPr="00966B19" w:rsidRDefault="00AE55C1" w:rsidP="00AE55C1">
            <w:pPr>
              <w:pStyle w:val="DecimalAligned"/>
              <w:tabs>
                <w:tab w:val="clear" w:pos="360"/>
                <w:tab w:val="decimal" w:pos="22"/>
              </w:tabs>
              <w:spacing w:after="0" w:line="240" w:lineRule="auto"/>
              <w:jc w:val="both"/>
              <w:cnfStyle w:val="000000100000"/>
              <w:rPr>
                <w:rFonts w:ascii="Times New Roman" w:hAnsi="Times New Roman"/>
                <w:b/>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desde 13/02/2003</w:t>
            </w:r>
          </w:p>
        </w:tc>
        <w:tc>
          <w:tcPr>
            <w:tcW w:w="953"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Pecuária. Construção civil e Comércio. Associações setoriais e societais.</w:t>
            </w:r>
          </w:p>
          <w:p w:rsidR="00AE55C1" w:rsidRPr="00966B19" w:rsidRDefault="00AE55C1" w:rsidP="00AE55C1">
            <w:pPr>
              <w:pStyle w:val="DecimalAligned"/>
              <w:tabs>
                <w:tab w:val="clear" w:pos="360"/>
              </w:tabs>
              <w:spacing w:line="240" w:lineRule="auto"/>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20) José Carlos Gomes Carvalho</w:t>
            </w:r>
          </w:p>
        </w:tc>
        <w:tc>
          <w:tcPr>
            <w:tcW w:w="3048" w:type="pct"/>
          </w:tcPr>
          <w:p w:rsidR="00AE55C1" w:rsidRPr="00966B19" w:rsidRDefault="00AE55C1" w:rsidP="00AE55C1">
            <w:pPr>
              <w:spacing w:after="0"/>
              <w:jc w:val="both"/>
              <w:cnfStyle w:val="000000010000"/>
              <w:rPr>
                <w:rFonts w:ascii="Times New Roman" w:hAnsi="Times New Roman"/>
                <w:color w:val="000000"/>
                <w:sz w:val="20"/>
                <w:szCs w:val="20"/>
              </w:rPr>
            </w:pPr>
            <w:r w:rsidRPr="00966B19">
              <w:rPr>
                <w:rFonts w:ascii="Times New Roman" w:hAnsi="Times New Roman"/>
                <w:color w:val="000000"/>
                <w:sz w:val="20"/>
                <w:szCs w:val="20"/>
              </w:rPr>
              <w:t xml:space="preserve">Foi Presidente da Federação da Indústria do Paraná (FIEP). Foi Presidente da Associação Brasileira de Revendedores Autorizados de Veículos Automotores (ABRAVE) e da Federação Nacional de Revendedores Autorizados de Veículos Automotores (FENABRAVE); Associação Nacional dos Coletivos de Empresários e Empreendedores Afro-Brasileiros – ANCEABRA. Presidente </w:t>
            </w:r>
            <w:r w:rsidRPr="00966B19">
              <w:rPr>
                <w:rFonts w:ascii="Times New Roman" w:hAnsi="Times New Roman"/>
                <w:sz w:val="20"/>
                <w:szCs w:val="20"/>
              </w:rPr>
              <w:t>da Associação Latino-americana de Distribuidores de Automotores (ALADDA). Foi Senador da República, Vice-Prefeito de Curitiba, Secretário de Estado do Trabalho e Relações do Emprego, Secretário de Estado da Indústria e Comércio. Vice-presidente da Confederação Nacional da Indústria - CNI e presidia o SEBRAE-PR.</w:t>
            </w:r>
          </w:p>
          <w:p w:rsidR="00AE55C1" w:rsidRPr="006E37A5" w:rsidRDefault="00AE55C1" w:rsidP="00AE55C1">
            <w:pPr>
              <w:pStyle w:val="NormalWeb"/>
              <w:spacing w:before="0" w:beforeAutospacing="0"/>
              <w:jc w:val="both"/>
              <w:cnfStyle w:val="000000010000"/>
              <w:rPr>
                <w:b/>
                <w:sz w:val="20"/>
                <w:szCs w:val="20"/>
                <w:lang w:val="pt-PT"/>
              </w:rPr>
            </w:pPr>
            <w:r w:rsidRPr="006E37A5">
              <w:rPr>
                <w:b/>
                <w:sz w:val="20"/>
                <w:szCs w:val="20"/>
              </w:rPr>
              <w:t>Período: de 13/02/2003 a 13/11/2003</w:t>
            </w:r>
          </w:p>
        </w:tc>
        <w:tc>
          <w:tcPr>
            <w:tcW w:w="953"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Comércio de veículos. Vinculações com o Estado restrito.</w:t>
            </w:r>
          </w:p>
          <w:p w:rsidR="00AE55C1" w:rsidRPr="00966B19" w:rsidRDefault="00AE55C1" w:rsidP="00AE55C1">
            <w:pPr>
              <w:pStyle w:val="DecimalAligned"/>
              <w:tabs>
                <w:tab w:val="clear" w:pos="360"/>
              </w:tabs>
              <w:spacing w:after="0" w:line="240" w:lineRule="auto"/>
              <w:jc w:val="center"/>
              <w:cnfStyle w:val="000000010000"/>
              <w:rPr>
                <w:rFonts w:ascii="Times New Roman" w:hAnsi="Times New Roman"/>
                <w:sz w:val="20"/>
                <w:szCs w:val="20"/>
              </w:rPr>
            </w:pPr>
            <w:r w:rsidRPr="00966B19">
              <w:rPr>
                <w:rFonts w:ascii="Times New Roman" w:hAnsi="Times New Roman"/>
                <w:sz w:val="20"/>
                <w:szCs w:val="20"/>
              </w:rPr>
              <w:t xml:space="preserve"> Associações corporativas, setoriais e societais.</w:t>
            </w:r>
          </w:p>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Abriga empresas de k nacional e estrangeiro.</w:t>
            </w: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21) Joseph Couri</w:t>
            </w:r>
          </w:p>
        </w:tc>
        <w:tc>
          <w:tcPr>
            <w:tcW w:w="3048" w:type="pct"/>
          </w:tcPr>
          <w:p w:rsidR="00AE55C1" w:rsidRPr="00966B19" w:rsidRDefault="00AE55C1" w:rsidP="00AE55C1">
            <w:pPr>
              <w:spacing w:after="0"/>
              <w:jc w:val="both"/>
              <w:cnfStyle w:val="000000100000"/>
              <w:rPr>
                <w:rFonts w:ascii="Times New Roman" w:hAnsi="Times New Roman"/>
                <w:color w:val="000000"/>
                <w:sz w:val="20"/>
                <w:szCs w:val="20"/>
              </w:rPr>
            </w:pPr>
            <w:r w:rsidRPr="00966B19">
              <w:rPr>
                <w:rFonts w:ascii="Times New Roman" w:hAnsi="Times New Roman"/>
                <w:color w:val="000000"/>
                <w:sz w:val="20"/>
                <w:szCs w:val="20"/>
              </w:rPr>
              <w:t>Empresário, Presidente da ASSIMPI Associação Nacional dos SIMPI e Sindicato da Micro e Pequena Indústria do Tipo Artesanal do Estado São Paulo.  Faz parte do Fórum Permanente da Micro e Pequena Empresa do MDIC e participou do Fórum Nacional do Trabalho, vinculado ao MTE. Participou de movimentos e foros de estudo, pesquisa, debates e consulta, dentre os quais se destacam: Ação Empresarial; Fórum da Cidade de São Paulo; Fórum da Cidadania; Movimento pelas Reformas; Membro fundador do PNBE; CIESP; Simefre; Abifa, etc.</w:t>
            </w:r>
          </w:p>
          <w:p w:rsidR="00AE55C1" w:rsidRPr="00966B19" w:rsidRDefault="00AE55C1" w:rsidP="00AE55C1">
            <w:pPr>
              <w:jc w:val="both"/>
              <w:cnfStyle w:val="000000100000"/>
              <w:rPr>
                <w:rFonts w:ascii="Times New Roman" w:hAnsi="Times New Roman"/>
                <w:b/>
                <w:color w:val="000000"/>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desde 13/02/2003</w:t>
            </w:r>
          </w:p>
        </w:tc>
        <w:tc>
          <w:tcPr>
            <w:tcW w:w="953"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 xml:space="preserve">Diversos ramos de atividade. Vinculações com o Estado restrito. Associações corporativas, setoriais e societais. </w:t>
            </w:r>
          </w:p>
          <w:p w:rsidR="00AE55C1" w:rsidRPr="00966B19" w:rsidRDefault="00AE55C1" w:rsidP="00AE55C1">
            <w:pPr>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22) José Luis Cutrale</w:t>
            </w:r>
          </w:p>
        </w:tc>
        <w:tc>
          <w:tcPr>
            <w:tcW w:w="3048" w:type="pct"/>
          </w:tcPr>
          <w:p w:rsidR="00AE55C1" w:rsidRPr="00966B19" w:rsidRDefault="00AE55C1" w:rsidP="00AE55C1">
            <w:pPr>
              <w:spacing w:after="0"/>
              <w:jc w:val="both"/>
              <w:cnfStyle w:val="000000010000"/>
              <w:rPr>
                <w:rFonts w:ascii="Times New Roman" w:hAnsi="Times New Roman"/>
                <w:color w:val="000000"/>
                <w:sz w:val="20"/>
                <w:szCs w:val="20"/>
              </w:rPr>
            </w:pPr>
            <w:r w:rsidRPr="00966B19">
              <w:rPr>
                <w:rFonts w:ascii="Times New Roman" w:hAnsi="Times New Roman"/>
                <w:color w:val="000000"/>
                <w:sz w:val="20"/>
                <w:szCs w:val="20"/>
              </w:rPr>
              <w:t>É Presidente da Sucocítrico Cutrale. Membro da Diretoria da Cutrale North América, Inc., da Cutrale Citrus Juice Inc. e da Citrus Products Inc. e Membro da Associação Brasileira dos Exportadores de Cítricos – ABECITRUS.</w:t>
            </w:r>
          </w:p>
          <w:p w:rsidR="00AE55C1" w:rsidRPr="00966B19" w:rsidRDefault="00AE55C1" w:rsidP="00A12C41">
            <w:pPr>
              <w:spacing w:after="0"/>
              <w:jc w:val="both"/>
              <w:cnfStyle w:val="000000010000"/>
              <w:rPr>
                <w:rFonts w:ascii="Times New Roman" w:hAnsi="Times New Roman"/>
                <w:color w:val="000000"/>
                <w:sz w:val="20"/>
                <w:szCs w:val="20"/>
              </w:rPr>
            </w:pPr>
            <w:r w:rsidRPr="00966B19">
              <w:rPr>
                <w:rFonts w:ascii="Times New Roman" w:hAnsi="Times New Roman"/>
                <w:b/>
                <w:color w:val="000000"/>
                <w:sz w:val="20"/>
                <w:szCs w:val="20"/>
              </w:rPr>
              <w:t>Período: de 13/02/2003 a 25/08/2009</w:t>
            </w:r>
          </w:p>
        </w:tc>
        <w:tc>
          <w:tcPr>
            <w:tcW w:w="953" w:type="pct"/>
          </w:tcPr>
          <w:p w:rsidR="00AE55C1" w:rsidRPr="00966B19" w:rsidRDefault="00AE55C1" w:rsidP="00A12C41">
            <w:pPr>
              <w:spacing w:after="0"/>
              <w:jc w:val="center"/>
              <w:cnfStyle w:val="000000010000"/>
              <w:rPr>
                <w:rFonts w:ascii="Times New Roman" w:hAnsi="Times New Roman"/>
                <w:sz w:val="20"/>
                <w:szCs w:val="20"/>
              </w:rPr>
            </w:pPr>
            <w:r w:rsidRPr="00966B19">
              <w:rPr>
                <w:rFonts w:ascii="Times New Roman" w:hAnsi="Times New Roman"/>
                <w:sz w:val="20"/>
                <w:szCs w:val="20"/>
              </w:rPr>
              <w:t>Cultivo e industrialização de suco de laranja. Associação setorial.</w:t>
            </w:r>
          </w:p>
          <w:p w:rsidR="00AE55C1" w:rsidRPr="00966B19" w:rsidRDefault="00AE55C1" w:rsidP="00AE55C1">
            <w:pPr>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23) José Mendo Mizael de Souza</w:t>
            </w:r>
          </w:p>
        </w:tc>
        <w:tc>
          <w:tcPr>
            <w:tcW w:w="3048" w:type="pct"/>
          </w:tcPr>
          <w:p w:rsidR="00AE55C1" w:rsidRPr="00966B19" w:rsidRDefault="00AE55C1" w:rsidP="00AE55C1">
            <w:pPr>
              <w:pStyle w:val="NormalWeb"/>
              <w:spacing w:before="0" w:beforeAutospacing="0" w:after="0" w:afterAutospacing="0"/>
              <w:jc w:val="both"/>
              <w:cnfStyle w:val="000000100000"/>
              <w:rPr>
                <w:sz w:val="20"/>
                <w:szCs w:val="20"/>
              </w:rPr>
            </w:pPr>
            <w:r w:rsidRPr="00966B19">
              <w:rPr>
                <w:sz w:val="20"/>
                <w:szCs w:val="20"/>
              </w:rPr>
              <w:t xml:space="preserve">Proprietário, desde 2006, da J. Mendo Consultoria. Presidente do Conselho Diretor e da Diretoria da APROMIN – Associação Brasileira para o Progresso da Mineração, Presidente do Conselho Empresarial de Mineração e Siderurgia da Associação Comercial de Minas – ACMinas e Presidente do CEAMIN – Centro de Estudos Avançados em Mineração. Diretor, Secretário Executivo e Vice Presidente Executivo do Instituto Brasileiro de Mineração – IBRAM, por cerca de 30 anos. Foi Diretor do Banco de Desenvolvimento de Minas Gerais – BDMG; Superintendente de Desenvolvimento da S.A Mineração da Trindade – SAMITRI, empresa à época pertencente ao Grupo Belgo Mineira (hoje Arcelor Mittal); Membro (Titular) do Conselho Temático de Meio Ambiente da CNI; Conselheiro Suplente do CONAMA; Conselheiro do COPAM-MG, Vice-Presidente do Organismo Latinoamericano de Mineração – OLAMI; Diretor da SIM – Sociedade Interamericana de Mineração; Representante da Mineração brasileira no ICMM – Internacional Council on Mining and Metals;. Consultor do Ministério de Minas e Energia – MME. </w:t>
            </w:r>
          </w:p>
          <w:p w:rsidR="00AE55C1" w:rsidRPr="00966B19" w:rsidRDefault="00AE55C1" w:rsidP="00AE55C1">
            <w:pPr>
              <w:pStyle w:val="NormalWeb"/>
              <w:spacing w:before="0" w:beforeAutospacing="0"/>
              <w:jc w:val="both"/>
              <w:cnfStyle w:val="000000100000"/>
              <w:rPr>
                <w:sz w:val="20"/>
                <w:szCs w:val="20"/>
              </w:rPr>
            </w:pPr>
            <w:r w:rsidRPr="00966B19">
              <w:rPr>
                <w:b/>
                <w:sz w:val="20"/>
                <w:szCs w:val="20"/>
              </w:rPr>
              <w:t>Período: de 13/02/2003 a 13/05/2007</w:t>
            </w:r>
          </w:p>
        </w:tc>
        <w:tc>
          <w:tcPr>
            <w:tcW w:w="953" w:type="pct"/>
          </w:tcPr>
          <w:p w:rsidR="00AE55C1" w:rsidRPr="00966B19" w:rsidRDefault="00AE55C1" w:rsidP="00AE55C1">
            <w:pPr>
              <w:pStyle w:val="NormalWeb"/>
              <w:spacing w:before="0" w:beforeAutospacing="0" w:after="0" w:afterAutospacing="0"/>
              <w:jc w:val="center"/>
              <w:cnfStyle w:val="000000100000"/>
              <w:rPr>
                <w:sz w:val="20"/>
                <w:szCs w:val="20"/>
              </w:rPr>
            </w:pPr>
            <w:r w:rsidRPr="00966B19">
              <w:rPr>
                <w:sz w:val="20"/>
                <w:szCs w:val="20"/>
              </w:rPr>
              <w:t>Mineração. Consultoria empresarial.</w:t>
            </w:r>
          </w:p>
          <w:p w:rsidR="00AE55C1" w:rsidRPr="00966B19" w:rsidRDefault="00AE55C1" w:rsidP="00AE55C1">
            <w:pPr>
              <w:pStyle w:val="NormalWeb"/>
              <w:spacing w:before="0" w:beforeAutospacing="0" w:after="0" w:afterAutospacing="0"/>
              <w:jc w:val="center"/>
              <w:cnfStyle w:val="000000100000"/>
              <w:rPr>
                <w:sz w:val="20"/>
                <w:szCs w:val="20"/>
              </w:rPr>
            </w:pPr>
            <w:r w:rsidRPr="00966B19">
              <w:rPr>
                <w:sz w:val="20"/>
                <w:szCs w:val="20"/>
              </w:rPr>
              <w:t>Vinculações com o Estado restrito.</w:t>
            </w:r>
          </w:p>
          <w:p w:rsidR="00AE55C1" w:rsidRPr="00966B19" w:rsidRDefault="00AE55C1" w:rsidP="00AE55C1">
            <w:pPr>
              <w:pStyle w:val="NormalWeb"/>
              <w:spacing w:before="0" w:beforeAutospacing="0" w:after="0" w:afterAutospacing="0"/>
              <w:jc w:val="center"/>
              <w:cnfStyle w:val="000000100000"/>
              <w:rPr>
                <w:sz w:val="20"/>
                <w:szCs w:val="20"/>
              </w:rPr>
            </w:pPr>
            <w:r w:rsidRPr="00966B19">
              <w:rPr>
                <w:sz w:val="20"/>
                <w:szCs w:val="20"/>
              </w:rPr>
              <w:t>Associações corporativas e setoriais.</w:t>
            </w:r>
          </w:p>
          <w:p w:rsidR="00AE55C1" w:rsidRPr="00966B19" w:rsidRDefault="00AE55C1" w:rsidP="00AE55C1">
            <w:pPr>
              <w:pStyle w:val="NormalWeb"/>
              <w:spacing w:before="0" w:beforeAutospacing="0" w:after="0" w:afterAutospacing="0"/>
              <w:jc w:val="center"/>
              <w:cnfStyle w:val="000000100000"/>
              <w:rPr>
                <w:sz w:val="20"/>
                <w:szCs w:val="20"/>
              </w:rPr>
            </w:pPr>
            <w:r w:rsidRPr="00966B19">
              <w:rPr>
                <w:sz w:val="20"/>
                <w:szCs w:val="20"/>
              </w:rPr>
              <w:t>.</w:t>
            </w: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24) Luiz Carlos Delben Leite</w:t>
            </w:r>
          </w:p>
        </w:tc>
        <w:tc>
          <w:tcPr>
            <w:tcW w:w="3048" w:type="pct"/>
          </w:tcPr>
          <w:p w:rsidR="00AE55C1" w:rsidRPr="00966B19" w:rsidRDefault="00AE55C1" w:rsidP="00AE55C1">
            <w:pPr>
              <w:spacing w:after="0"/>
              <w:jc w:val="both"/>
              <w:cnfStyle w:val="000000010000"/>
              <w:rPr>
                <w:rFonts w:ascii="Times New Roman" w:hAnsi="Times New Roman"/>
                <w:color w:val="000000"/>
                <w:sz w:val="20"/>
                <w:szCs w:val="20"/>
              </w:rPr>
            </w:pPr>
            <w:r w:rsidRPr="00966B19">
              <w:rPr>
                <w:rFonts w:ascii="Times New Roman" w:hAnsi="Times New Roman"/>
                <w:color w:val="000000"/>
                <w:sz w:val="20"/>
                <w:szCs w:val="20"/>
              </w:rPr>
              <w:t>Empresário, diretor presidente da Manig S/A - Fort Knox - Sistemas de Segurança S/C Ltda; FK Comércio de Produtos de Segurança e Serviços Ltda; Fort Knox Tecnologia de Segurança Ltda; Fort Invest - Fomento Mercantil Ltda. Fundador vice-presidente e Presidente da ABIMEG - 1977/78 - 1983/86. Presidente da ABIMAQ - 1986/89 e reeleito 1989/92 - 1998/2001 - 2001/2004. Presidente do Sindicato Nacional da Indústria de Máquinas e Equipamentos (Sindimaq). Presidente do Instituto de Pesquisa Tecnológicas do Estado de São Paulo - IPT (1989-91). Membro do Conselho Nacional de Ciência e Tecnologia (1990-91). Secretário de Estado da Ciência e Tecnologia e Desenvolvimento Econômico e Social de São Paulo (1991-1993). Presidente do BNDES (1993). Membro do Conselho Monetário Nacional (1993). Membro do Conselho Administrativo das Empresas Energéticas do Estado de São Paulo - CESP – (1994).</w:t>
            </w:r>
            <w:r w:rsidRPr="00966B19">
              <w:rPr>
                <w:rFonts w:ascii="Times New Roman" w:hAnsi="Times New Roman"/>
                <w:sz w:val="20"/>
                <w:szCs w:val="20"/>
              </w:rPr>
              <w:t xml:space="preserve"> Fundador e presidente da PROTEC -Sociedade Brasileira Pró-Inovação Tecnológica por diversas gestões consecutivas</w:t>
            </w:r>
            <w:r w:rsidRPr="00966B19">
              <w:rPr>
                <w:rFonts w:ascii="Times New Roman" w:hAnsi="Times New Roman"/>
                <w:color w:val="000000"/>
                <w:sz w:val="20"/>
                <w:szCs w:val="20"/>
              </w:rPr>
              <w:t>. Membro do Conselho Nacional de Desenvolvimento Industrial (CNDI). Membro Fundador do PNBE. Fórum de Líderes.</w:t>
            </w:r>
          </w:p>
          <w:p w:rsidR="00AE55C1" w:rsidRPr="00966B19" w:rsidRDefault="00AE55C1" w:rsidP="00AE55C1">
            <w:pPr>
              <w:pStyle w:val="NormalWeb"/>
              <w:spacing w:before="0" w:beforeAutospacing="0" w:after="0" w:afterAutospacing="0"/>
              <w:jc w:val="both"/>
              <w:cnfStyle w:val="000000010000"/>
              <w:rPr>
                <w:sz w:val="20"/>
                <w:szCs w:val="20"/>
              </w:rPr>
            </w:pPr>
            <w:r w:rsidRPr="00966B19">
              <w:rPr>
                <w:b/>
                <w:color w:val="000000"/>
                <w:sz w:val="20"/>
                <w:szCs w:val="20"/>
              </w:rPr>
              <w:t xml:space="preserve">Período: </w:t>
            </w:r>
            <w:r w:rsidRPr="00966B19">
              <w:rPr>
                <w:b/>
                <w:sz w:val="20"/>
                <w:szCs w:val="20"/>
              </w:rPr>
              <w:t>de 13/02/2003 a 25/08/2009</w:t>
            </w:r>
          </w:p>
        </w:tc>
        <w:tc>
          <w:tcPr>
            <w:tcW w:w="953" w:type="pct"/>
          </w:tcPr>
          <w:p w:rsidR="00AE55C1" w:rsidRPr="00966B19" w:rsidRDefault="00AE55C1" w:rsidP="00AE55C1">
            <w:pPr>
              <w:pStyle w:val="NormalWeb"/>
              <w:spacing w:before="0" w:beforeAutospacing="0" w:after="0" w:afterAutospacing="0"/>
              <w:jc w:val="center"/>
              <w:cnfStyle w:val="000000010000"/>
              <w:rPr>
                <w:sz w:val="20"/>
                <w:szCs w:val="20"/>
              </w:rPr>
            </w:pPr>
            <w:r w:rsidRPr="00966B19">
              <w:rPr>
                <w:sz w:val="20"/>
                <w:szCs w:val="20"/>
              </w:rPr>
              <w:t>Setor financeiro. Comércio. Serviços de Segurança. Associações corporativas, setoriais e societais.</w:t>
            </w:r>
          </w:p>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Vinculações com o Estado restrito.</w:t>
            </w:r>
          </w:p>
          <w:p w:rsidR="00AE55C1" w:rsidRPr="00966B19" w:rsidRDefault="00AE55C1" w:rsidP="00AE55C1">
            <w:pPr>
              <w:pStyle w:val="NormalWeb"/>
              <w:spacing w:before="0" w:beforeAutospacing="0" w:after="0" w:afterAutospacing="0"/>
              <w:jc w:val="center"/>
              <w:cnfStyle w:val="000000010000"/>
              <w:rPr>
                <w:sz w:val="20"/>
                <w:szCs w:val="20"/>
              </w:rPr>
            </w:pPr>
          </w:p>
        </w:tc>
      </w:tr>
      <w:tr w:rsidR="00AE55C1" w:rsidRPr="00966B19" w:rsidTr="00E776C4">
        <w:trPr>
          <w:cnfStyle w:val="000000100000"/>
        </w:trPr>
        <w:tc>
          <w:tcPr>
            <w:cnfStyle w:val="001000000000"/>
            <w:tcW w:w="1000"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25) Luiz Otávio Gomes</w:t>
            </w:r>
          </w:p>
        </w:tc>
        <w:tc>
          <w:tcPr>
            <w:tcW w:w="3048" w:type="pct"/>
          </w:tcPr>
          <w:p w:rsidR="00AE55C1" w:rsidRPr="00966B19" w:rsidRDefault="00AE55C1" w:rsidP="00AE55C1">
            <w:pPr>
              <w:spacing w:after="0"/>
              <w:jc w:val="both"/>
              <w:cnfStyle w:val="000000100000"/>
              <w:rPr>
                <w:rFonts w:ascii="Times New Roman" w:hAnsi="Times New Roman"/>
                <w:color w:val="000000"/>
                <w:sz w:val="20"/>
                <w:szCs w:val="20"/>
              </w:rPr>
            </w:pPr>
            <w:r w:rsidRPr="00966B19">
              <w:rPr>
                <w:rFonts w:ascii="Times New Roman" w:hAnsi="Times New Roman"/>
                <w:color w:val="000000"/>
                <w:sz w:val="20"/>
                <w:szCs w:val="20"/>
              </w:rPr>
              <w:t>Dono da LOG - Negócios e Consultoria Ltda, uma empresa de consultoria voltada para as soluções empresariais. Foi Diretor financeiro-comercial, do Grupo João Lyra (grupo usineiro de AL). Foi membro do Conselho de Administração do Grupo, e eleito diretor da ASSUCAL - Associação dos Produtores Independentes de Açúcar e Álcool de Alagoas. Presidente da Confederação das Associações Comerciais e Empresariais do Brasil (CACEB). Fórum de Líderes.</w:t>
            </w:r>
          </w:p>
          <w:p w:rsidR="00AE55C1" w:rsidRPr="00966B19" w:rsidRDefault="00AE55C1" w:rsidP="00AE55C1">
            <w:pPr>
              <w:spacing w:after="100" w:afterAutospacing="1"/>
              <w:jc w:val="both"/>
              <w:cnfStyle w:val="000000100000"/>
              <w:rPr>
                <w:rFonts w:ascii="Times New Roman" w:hAnsi="Times New Roman"/>
                <w:b/>
                <w:color w:val="FF0000"/>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 13/02/2003 a 13/05/2007</w:t>
            </w:r>
          </w:p>
        </w:tc>
        <w:tc>
          <w:tcPr>
            <w:tcW w:w="953"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Agroindústria. Consultoria empresarial.  Associações setoriais.</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26) Luftala Bitar</w:t>
            </w:r>
          </w:p>
        </w:tc>
        <w:tc>
          <w:tcPr>
            <w:tcW w:w="3048" w:type="pct"/>
          </w:tcPr>
          <w:p w:rsidR="00AE55C1" w:rsidRPr="00966B19" w:rsidRDefault="00AE55C1" w:rsidP="00AE55C1">
            <w:pPr>
              <w:spacing w:after="0"/>
              <w:jc w:val="both"/>
              <w:cnfStyle w:val="000000010000"/>
              <w:rPr>
                <w:rFonts w:ascii="Times New Roman" w:hAnsi="Times New Roman"/>
                <w:color w:val="000000"/>
                <w:sz w:val="20"/>
                <w:szCs w:val="20"/>
              </w:rPr>
            </w:pPr>
            <w:r w:rsidRPr="00966B19">
              <w:rPr>
                <w:rFonts w:ascii="Times New Roman" w:hAnsi="Times New Roman"/>
                <w:color w:val="000000"/>
                <w:sz w:val="20"/>
                <w:szCs w:val="20"/>
              </w:rPr>
              <w:t>Presidente da Empresa ESTACON ENGENHARIA S.A., desde 1969. Vice-presidente da Associação Comercial do Estado do Pará, Cônsul Honorário da República do Chile em Belém; Membro do Conselho Diretor do Instituto de Artes do Pará; Membro do Conselho Municipal de Defesa do Patrimônio Histórico; e Membro do Conselho Curador da Galeria de Artes da Universidade da Amazônia. Recebeu vários Títulos, Honrarias e Condecorações.</w:t>
            </w:r>
          </w:p>
          <w:p w:rsidR="00AE55C1" w:rsidRPr="00966B19" w:rsidRDefault="00AE55C1" w:rsidP="00AE55C1">
            <w:pPr>
              <w:spacing w:after="100" w:afterAutospacing="1"/>
              <w:cnfStyle w:val="000000010000"/>
              <w:rPr>
                <w:rFonts w:ascii="Times New Roman" w:hAnsi="Times New Roman"/>
                <w:b/>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 12/06/2003 a 25/08/2009</w:t>
            </w:r>
          </w:p>
        </w:tc>
        <w:tc>
          <w:tcPr>
            <w:tcW w:w="953" w:type="pct"/>
          </w:tcPr>
          <w:p w:rsidR="00AE55C1" w:rsidRPr="00966B19" w:rsidRDefault="00AE55C1" w:rsidP="00AE55C1">
            <w:pPr>
              <w:pStyle w:val="DecimalAligned"/>
              <w:tabs>
                <w:tab w:val="clear" w:pos="360"/>
              </w:tabs>
              <w:spacing w:after="0" w:line="240" w:lineRule="auto"/>
              <w:jc w:val="center"/>
              <w:cnfStyle w:val="000000010000"/>
              <w:rPr>
                <w:rFonts w:ascii="Times New Roman" w:hAnsi="Times New Roman"/>
                <w:sz w:val="20"/>
                <w:szCs w:val="20"/>
              </w:rPr>
            </w:pPr>
            <w:r w:rsidRPr="00966B19">
              <w:rPr>
                <w:rFonts w:ascii="Times New Roman" w:hAnsi="Times New Roman"/>
                <w:sz w:val="20"/>
                <w:szCs w:val="20"/>
              </w:rPr>
              <w:t>Serviços de Engenharia. Associação setorial.</w:t>
            </w:r>
          </w:p>
          <w:p w:rsidR="00AE55C1" w:rsidRPr="00966B19" w:rsidRDefault="00AE55C1" w:rsidP="00AE55C1">
            <w:pPr>
              <w:pStyle w:val="DecimalAligned"/>
              <w:tabs>
                <w:tab w:val="clear" w:pos="360"/>
              </w:tabs>
              <w:spacing w:line="240" w:lineRule="auto"/>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27) Márcio Artur Cypriano</w:t>
            </w:r>
          </w:p>
        </w:tc>
        <w:tc>
          <w:tcPr>
            <w:tcW w:w="3048" w:type="pct"/>
          </w:tcPr>
          <w:p w:rsidR="00AE55C1" w:rsidRPr="00966B19" w:rsidRDefault="00AE55C1" w:rsidP="00AE55C1">
            <w:pPr>
              <w:spacing w:after="0"/>
              <w:jc w:val="both"/>
              <w:cnfStyle w:val="000000100000"/>
              <w:rPr>
                <w:rFonts w:ascii="Times New Roman" w:hAnsi="Times New Roman"/>
                <w:color w:val="000000"/>
                <w:sz w:val="20"/>
                <w:szCs w:val="20"/>
              </w:rPr>
            </w:pPr>
            <w:r w:rsidRPr="00966B19">
              <w:rPr>
                <w:rFonts w:ascii="Times New Roman" w:hAnsi="Times New Roman"/>
                <w:color w:val="000000"/>
                <w:sz w:val="20"/>
                <w:szCs w:val="20"/>
              </w:rPr>
              <w:t>É funcionário de carreira do Bradesco, do qual é presidente desde 1999. Em 1999, sucedeu Lázaro de Mello Brandão na presidência do banco. Em 2002, passou a integrar o Conselho de Administração da instituição. Cypriano era membro do conselho diretor da FEBRABAN - Federação Brasileira das Associações de Bancos desde fevereiro de 2001. O executivo presidiu o BCN entre 1998 e 1999 para conduzir a integração do banco ao Bradesco. Além de presidente do banco, participa da administração da Bradesco Seguros, da Fundação Bradesco e da BCN Leasing, entre outras empresas do grupo. Também preside a Bradesco Asset Management, empresa de administração de recursos do banco criada em 2001. Diretor Colaborador da Associação Parceria Contra as Drogas. Fórum de Líderes.</w:t>
            </w:r>
          </w:p>
          <w:p w:rsidR="00AE55C1" w:rsidRPr="00966B19" w:rsidRDefault="00AE55C1" w:rsidP="00AE55C1">
            <w:pPr>
              <w:spacing w:after="100" w:afterAutospacing="1"/>
              <w:cnfStyle w:val="000000100000"/>
              <w:rPr>
                <w:rFonts w:ascii="Times New Roman" w:hAnsi="Times New Roman"/>
                <w:b/>
                <w:color w:val="000000"/>
                <w:sz w:val="20"/>
                <w:szCs w:val="20"/>
              </w:rPr>
            </w:pPr>
            <w:r w:rsidRPr="00966B19">
              <w:rPr>
                <w:rFonts w:ascii="Times New Roman" w:hAnsi="Times New Roman"/>
                <w:b/>
                <w:sz w:val="20"/>
                <w:szCs w:val="20"/>
              </w:rPr>
              <w:t>Período: de 13/02/2003 a 13/05/2007</w:t>
            </w:r>
          </w:p>
        </w:tc>
        <w:tc>
          <w:tcPr>
            <w:tcW w:w="953" w:type="pct"/>
          </w:tcPr>
          <w:p w:rsidR="00AE55C1" w:rsidRPr="00966B19" w:rsidRDefault="00AE55C1" w:rsidP="00AE55C1">
            <w:pPr>
              <w:jc w:val="center"/>
              <w:cnfStyle w:val="000000100000"/>
              <w:rPr>
                <w:rFonts w:ascii="Times New Roman" w:hAnsi="Times New Roman"/>
                <w:sz w:val="20"/>
                <w:szCs w:val="20"/>
              </w:rPr>
            </w:pPr>
            <w:r w:rsidRPr="00966B19">
              <w:rPr>
                <w:rFonts w:ascii="Times New Roman" w:hAnsi="Times New Roman"/>
                <w:sz w:val="20"/>
                <w:szCs w:val="20"/>
              </w:rPr>
              <w:t>Setor Financeiro/Bancário. Associações corporativas, setoriais e societais.</w:t>
            </w:r>
          </w:p>
          <w:p w:rsidR="00AE55C1" w:rsidRPr="00966B19" w:rsidRDefault="00AE55C1" w:rsidP="00AE55C1">
            <w:pPr>
              <w:jc w:val="center"/>
              <w:cnfStyle w:val="000000100000"/>
              <w:rPr>
                <w:rFonts w:ascii="Times New Roman" w:hAnsi="Times New Roman"/>
                <w:sz w:val="20"/>
                <w:szCs w:val="20"/>
                <w:lang w:val="pt-PT"/>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28) Márcio Lopes de Freitas</w:t>
            </w:r>
          </w:p>
        </w:tc>
        <w:tc>
          <w:tcPr>
            <w:tcW w:w="3048" w:type="pct"/>
          </w:tcPr>
          <w:p w:rsidR="00AE55C1" w:rsidRPr="00966B19" w:rsidRDefault="00AE55C1" w:rsidP="00AE55C1">
            <w:pPr>
              <w:spacing w:after="0"/>
              <w:jc w:val="both"/>
              <w:cnfStyle w:val="000000010000"/>
              <w:rPr>
                <w:rFonts w:ascii="Times New Roman" w:hAnsi="Times New Roman"/>
                <w:color w:val="000000"/>
                <w:sz w:val="20"/>
                <w:szCs w:val="20"/>
              </w:rPr>
            </w:pPr>
            <w:r w:rsidRPr="00966B19">
              <w:rPr>
                <w:rFonts w:ascii="Times New Roman" w:hAnsi="Times New Roman"/>
                <w:sz w:val="20"/>
                <w:szCs w:val="20"/>
              </w:rPr>
              <w:t xml:space="preserve">Presidente da Organização das Cooperativas Brasileiras (OCB). </w:t>
            </w:r>
            <w:r w:rsidRPr="00966B19">
              <w:rPr>
                <w:rFonts w:ascii="Times New Roman" w:hAnsi="Times New Roman"/>
                <w:color w:val="000000"/>
                <w:sz w:val="20"/>
                <w:szCs w:val="20"/>
              </w:rPr>
              <w:t>Sua participação direta no cooperativismo teve início em 1994, nas diretorias da Cooperativa de Cafeicultores e Agropecuaristas (Cocapec) e da Cooperativa de Crédito Rural (Credicocapec), nas quais atuou como presidente. Sua contribuição para o desenvolvimento do cooperativismo teve continuidade na gestão frente à Organização das Cooperativas do Estado de São Paulo (Ocesp), entre 1997 e 2001, e, finalmente, como representante máximo do setor, no exercício de presidente da Organização das Cooperativas Brasileiras (OCB) e também do Serviço Nacional de Aprendizagem do Cooperativismo (Sescoop), desde 2001.</w:t>
            </w:r>
          </w:p>
          <w:p w:rsidR="00AE55C1" w:rsidRPr="00966B19" w:rsidRDefault="00AE55C1" w:rsidP="00AE55C1">
            <w:pPr>
              <w:cnfStyle w:val="000000010000"/>
              <w:rPr>
                <w:rFonts w:ascii="Times New Roman" w:hAnsi="Times New Roman"/>
                <w:b/>
                <w:color w:val="000000"/>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desde 13/02/2003</w:t>
            </w:r>
          </w:p>
        </w:tc>
        <w:tc>
          <w:tcPr>
            <w:tcW w:w="953"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Agroindústria. Setor financeiro. Associações setoriais.</w:t>
            </w:r>
          </w:p>
          <w:p w:rsidR="00AE55C1" w:rsidRPr="00966B19" w:rsidRDefault="00AE55C1" w:rsidP="00AE55C1">
            <w:pPr>
              <w:jc w:val="center"/>
              <w:cnfStyle w:val="000000010000"/>
              <w:rPr>
                <w:rFonts w:ascii="Times New Roman" w:hAnsi="Times New Roman"/>
                <w:sz w:val="20"/>
                <w:szCs w:val="20"/>
                <w:lang w:val="pt-PT"/>
              </w:rPr>
            </w:pP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29) Maurílio Biagi Filho</w:t>
            </w:r>
          </w:p>
        </w:tc>
        <w:tc>
          <w:tcPr>
            <w:tcW w:w="3048" w:type="pct"/>
          </w:tcPr>
          <w:p w:rsidR="00AE55C1" w:rsidRPr="00966B19" w:rsidRDefault="00AE55C1" w:rsidP="00AE55C1">
            <w:pPr>
              <w:spacing w:after="0"/>
              <w:jc w:val="both"/>
              <w:cnfStyle w:val="000000100000"/>
              <w:rPr>
                <w:rFonts w:ascii="Times New Roman" w:hAnsi="Times New Roman"/>
                <w:color w:val="000000"/>
                <w:sz w:val="20"/>
                <w:szCs w:val="20"/>
              </w:rPr>
            </w:pPr>
            <w:r w:rsidRPr="00966B19">
              <w:rPr>
                <w:rFonts w:ascii="Times New Roman" w:hAnsi="Times New Roman"/>
                <w:color w:val="000000"/>
                <w:sz w:val="20"/>
                <w:szCs w:val="20"/>
              </w:rPr>
              <w:t xml:space="preserve">Presidente do Grupo Maubisa. Empresário do setor sucroalcooleiro no Brasil. Possui participação acionária em sete usinas de cana-de-açúcar no interior paulista e no Triângulo Mineiro. Além de Presidente do Grupo Maubisa, acumula as funções de Presidente do Conselho da Usina Moema Participações S.A. Como Conselheiro, atua em importantes instituições: ABDIB - Associação Brasileira da Infraestrutura e Indústrias de Base, AMCHAM - Câmara Americana de Comércio, WTC - World Trade Center de São Paulo, UNICA - União da Indústria de Cana-de-açúcar, Conselho Superior de Meio Ambiente (COSEMA) e de Agronegócio (COSAG) da FIESP, Conselho da ABIMAQ/ SINDIMAQ, Conselho das Indústrias Metalúrgicas Pescarmona S.A (IMPSA-Argentina), Conselho da Sociedade Corretora de Álcool (SCA), Conselho Empresarial da América Latina (CEAL), Conselho de Sustentabilidade e Responsabilidade Social da FIEMG, Fórum de Líderes Empresariais e do Mercosul, Conselheiro da </w:t>
            </w:r>
            <w:r w:rsidRPr="00966B19">
              <w:rPr>
                <w:rFonts w:ascii="Times New Roman" w:hAnsi="Times New Roman"/>
                <w:sz w:val="20"/>
                <w:szCs w:val="20"/>
              </w:rPr>
              <w:t>União da Indústria da Cana-de-Açúcar (ÚNICA)</w:t>
            </w:r>
            <w:r w:rsidRPr="00966B19">
              <w:rPr>
                <w:rFonts w:ascii="Times New Roman" w:hAnsi="Times New Roman"/>
                <w:color w:val="000000"/>
                <w:sz w:val="20"/>
                <w:szCs w:val="20"/>
              </w:rPr>
              <w:t>.</w:t>
            </w:r>
          </w:p>
          <w:p w:rsidR="00AE55C1" w:rsidRPr="00966B19" w:rsidRDefault="00AE55C1" w:rsidP="00AE55C1">
            <w:pPr>
              <w:spacing w:after="100" w:afterAutospacing="1"/>
              <w:jc w:val="both"/>
              <w:cnfStyle w:val="000000100000"/>
              <w:rPr>
                <w:rFonts w:ascii="Times New Roman" w:hAnsi="Times New Roman"/>
                <w:color w:val="000000"/>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desde 13/02/2003</w:t>
            </w:r>
          </w:p>
        </w:tc>
        <w:tc>
          <w:tcPr>
            <w:tcW w:w="953" w:type="pct"/>
          </w:tcPr>
          <w:p w:rsidR="00AE55C1" w:rsidRPr="00966B19" w:rsidRDefault="00AE55C1" w:rsidP="00AE55C1">
            <w:pPr>
              <w:jc w:val="center"/>
              <w:cnfStyle w:val="000000100000"/>
              <w:rPr>
                <w:rFonts w:ascii="Times New Roman" w:hAnsi="Times New Roman"/>
                <w:sz w:val="20"/>
                <w:szCs w:val="20"/>
              </w:rPr>
            </w:pPr>
            <w:r w:rsidRPr="00966B19">
              <w:rPr>
                <w:rFonts w:ascii="Times New Roman" w:hAnsi="Times New Roman"/>
                <w:sz w:val="20"/>
                <w:szCs w:val="20"/>
              </w:rPr>
              <w:t>Agroindústria. Associações corporativas e setoriais.</w:t>
            </w:r>
          </w:p>
          <w:p w:rsidR="00AE55C1" w:rsidRPr="00966B19" w:rsidRDefault="00AE55C1" w:rsidP="00AE55C1">
            <w:pPr>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30) Mauro Knijniki</w:t>
            </w:r>
          </w:p>
        </w:tc>
        <w:tc>
          <w:tcPr>
            <w:tcW w:w="3048" w:type="pct"/>
          </w:tcPr>
          <w:p w:rsidR="00AE55C1" w:rsidRPr="00966B19" w:rsidRDefault="00AE55C1" w:rsidP="00AE55C1">
            <w:pPr>
              <w:spacing w:after="0"/>
              <w:jc w:val="both"/>
              <w:cnfStyle w:val="000000010000"/>
              <w:rPr>
                <w:rFonts w:ascii="Times New Roman" w:hAnsi="Times New Roman"/>
                <w:color w:val="000000"/>
                <w:sz w:val="20"/>
                <w:szCs w:val="20"/>
              </w:rPr>
            </w:pPr>
            <w:r w:rsidRPr="00966B19">
              <w:rPr>
                <w:rFonts w:ascii="Times New Roman" w:hAnsi="Times New Roman"/>
                <w:color w:val="000000"/>
                <w:sz w:val="20"/>
                <w:szCs w:val="20"/>
              </w:rPr>
              <w:t>Vice-Presidente do Grupo Iochpe-Maxion S/A. Presidente da Desenvolvimento Empreendimentos e Participações Ltda (DEP), Presidente da Associação Comercial do Rio Grande do Sul. Vice-Presidente do BRDE; Secretário da Fazenda do Estado do RS; Presidente do Conselho de Administração do Banco do Estado do RS - Banrisul; Presidente da Junta de Coordenação Financeira do Estado do RS; Presidente da Grão Social Cidadania Empresarial, Presidente da Federação das Associações Empresariais e de Serviços do RS, Coordenador do Instituto Ethos no RS, membro da Fundação Semear.</w:t>
            </w:r>
          </w:p>
          <w:p w:rsidR="00AE55C1" w:rsidRPr="00966B19" w:rsidRDefault="00AE55C1" w:rsidP="00AE55C1">
            <w:pPr>
              <w:pStyle w:val="NormalWeb"/>
              <w:spacing w:before="0" w:beforeAutospacing="0" w:after="0" w:afterAutospacing="0"/>
              <w:jc w:val="both"/>
              <w:cnfStyle w:val="000000010000"/>
              <w:rPr>
                <w:color w:val="000000"/>
                <w:sz w:val="20"/>
                <w:szCs w:val="20"/>
              </w:rPr>
            </w:pPr>
            <w:r w:rsidRPr="00966B19">
              <w:rPr>
                <w:b/>
                <w:color w:val="000000"/>
                <w:sz w:val="20"/>
                <w:szCs w:val="20"/>
              </w:rPr>
              <w:t xml:space="preserve">Período: </w:t>
            </w:r>
            <w:r w:rsidRPr="00966B19">
              <w:rPr>
                <w:b/>
                <w:sz w:val="20"/>
                <w:szCs w:val="20"/>
              </w:rPr>
              <w:t>de 13/02/2003 a 14/02/2005</w:t>
            </w:r>
          </w:p>
        </w:tc>
        <w:tc>
          <w:tcPr>
            <w:tcW w:w="953" w:type="pct"/>
          </w:tcPr>
          <w:p w:rsidR="004A0803" w:rsidRDefault="00AE55C1" w:rsidP="004A0803">
            <w:pPr>
              <w:spacing w:after="0"/>
              <w:jc w:val="center"/>
              <w:cnfStyle w:val="000000010000"/>
              <w:rPr>
                <w:rFonts w:ascii="Times New Roman" w:hAnsi="Times New Roman"/>
                <w:sz w:val="20"/>
                <w:szCs w:val="20"/>
              </w:rPr>
            </w:pPr>
            <w:r w:rsidRPr="00966B19">
              <w:rPr>
                <w:rFonts w:ascii="Times New Roman" w:hAnsi="Times New Roman"/>
                <w:sz w:val="20"/>
                <w:szCs w:val="20"/>
              </w:rPr>
              <w:t>DEP: Consultoria empresarial. Construção Civil. Iochpe-Maxion: produção de componentes automotivos e vagões ferroviários Setor Financeiro/Bancário.</w:t>
            </w:r>
          </w:p>
          <w:p w:rsidR="00AE55C1" w:rsidRPr="00966B19" w:rsidRDefault="00AE55C1" w:rsidP="004A0803">
            <w:pPr>
              <w:jc w:val="center"/>
              <w:cnfStyle w:val="000000010000"/>
              <w:rPr>
                <w:rFonts w:ascii="Times New Roman" w:hAnsi="Times New Roman"/>
                <w:sz w:val="20"/>
                <w:szCs w:val="20"/>
              </w:rPr>
            </w:pPr>
            <w:r w:rsidRPr="00966B19">
              <w:rPr>
                <w:rFonts w:ascii="Times New Roman" w:hAnsi="Times New Roman"/>
                <w:sz w:val="20"/>
                <w:szCs w:val="20"/>
              </w:rPr>
              <w:t>Vinculaçõe</w:t>
            </w:r>
            <w:r w:rsidR="003E7B44">
              <w:rPr>
                <w:rFonts w:ascii="Times New Roman" w:hAnsi="Times New Roman"/>
                <w:sz w:val="20"/>
                <w:szCs w:val="20"/>
              </w:rPr>
              <w:t>s</w:t>
            </w:r>
            <w:r w:rsidRPr="00966B19">
              <w:rPr>
                <w:rFonts w:ascii="Times New Roman" w:hAnsi="Times New Roman"/>
                <w:sz w:val="20"/>
                <w:szCs w:val="20"/>
              </w:rPr>
              <w:t xml:space="preserve"> com o Estado restrito. Associações corporativas e societais. </w:t>
            </w: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31) Miguel João Jorge Filho</w:t>
            </w:r>
          </w:p>
        </w:tc>
        <w:tc>
          <w:tcPr>
            <w:tcW w:w="3048" w:type="pct"/>
          </w:tcPr>
          <w:p w:rsidR="00AE55C1" w:rsidRDefault="00AE55C1" w:rsidP="00AE55C1">
            <w:pPr>
              <w:autoSpaceDE w:val="0"/>
              <w:autoSpaceDN w:val="0"/>
              <w:adjustRightInd w:val="0"/>
              <w:spacing w:after="0"/>
              <w:jc w:val="both"/>
              <w:cnfStyle w:val="000000100000"/>
              <w:rPr>
                <w:rFonts w:ascii="Times New Roman" w:hAnsi="Times New Roman"/>
                <w:iCs/>
                <w:color w:val="000000"/>
                <w:sz w:val="20"/>
                <w:szCs w:val="20"/>
              </w:rPr>
            </w:pPr>
            <w:r w:rsidRPr="00966B19">
              <w:rPr>
                <w:rFonts w:ascii="Times New Roman" w:hAnsi="Times New Roman"/>
                <w:color w:val="000000"/>
                <w:sz w:val="20"/>
                <w:szCs w:val="20"/>
              </w:rPr>
              <w:t xml:space="preserve">Vice-presidente Executivo de RH, Assuntos Corporativos e Jurídicos do </w:t>
            </w:r>
            <w:r w:rsidRPr="00966B19">
              <w:rPr>
                <w:rFonts w:ascii="Times New Roman" w:hAnsi="Times New Roman"/>
                <w:iCs/>
                <w:color w:val="000000"/>
                <w:sz w:val="20"/>
                <w:szCs w:val="20"/>
              </w:rPr>
              <w:t>Grupo Santander Banespa (</w:t>
            </w:r>
            <w:r w:rsidRPr="00966B19">
              <w:rPr>
                <w:rFonts w:ascii="Times New Roman" w:hAnsi="Times New Roman"/>
                <w:color w:val="000000"/>
                <w:sz w:val="20"/>
                <w:szCs w:val="20"/>
              </w:rPr>
              <w:t xml:space="preserve">2002 a março 2007). Vice-presidente Executivo de Assuntos Corporativos do </w:t>
            </w:r>
            <w:r w:rsidRPr="00966B19">
              <w:rPr>
                <w:rFonts w:ascii="Times New Roman" w:hAnsi="Times New Roman"/>
                <w:iCs/>
                <w:color w:val="000000"/>
                <w:sz w:val="20"/>
                <w:szCs w:val="20"/>
              </w:rPr>
              <w:t xml:space="preserve">Grupo Santander Banespa </w:t>
            </w:r>
            <w:r w:rsidRPr="00966B19">
              <w:rPr>
                <w:rFonts w:ascii="Times New Roman" w:hAnsi="Times New Roman"/>
                <w:color w:val="000000"/>
                <w:sz w:val="20"/>
                <w:szCs w:val="20"/>
              </w:rPr>
              <w:t xml:space="preserve">(2001). Vice-presidente de Assuntos Corporativos de Negócios Jurídicos da </w:t>
            </w:r>
            <w:r w:rsidRPr="00966B19">
              <w:rPr>
                <w:rFonts w:ascii="Times New Roman" w:hAnsi="Times New Roman"/>
                <w:iCs/>
                <w:color w:val="000000"/>
                <w:sz w:val="20"/>
                <w:szCs w:val="20"/>
              </w:rPr>
              <w:t xml:space="preserve">Volkswagen do Brasil </w:t>
            </w:r>
            <w:r w:rsidRPr="00966B19">
              <w:rPr>
                <w:rFonts w:ascii="Times New Roman" w:hAnsi="Times New Roman"/>
                <w:color w:val="000000"/>
                <w:sz w:val="20"/>
                <w:szCs w:val="20"/>
              </w:rPr>
              <w:t xml:space="preserve">(1998-2000). Vice-presidente de Recursos Humanos e Assuntos Corporativos da </w:t>
            </w:r>
            <w:r w:rsidRPr="00966B19">
              <w:rPr>
                <w:rFonts w:ascii="Times New Roman" w:hAnsi="Times New Roman"/>
                <w:iCs/>
                <w:color w:val="000000"/>
                <w:sz w:val="20"/>
                <w:szCs w:val="20"/>
              </w:rPr>
              <w:t>Volkswagen do Brasil (</w:t>
            </w:r>
            <w:r w:rsidRPr="00966B19">
              <w:rPr>
                <w:rFonts w:ascii="Times New Roman" w:hAnsi="Times New Roman"/>
                <w:color w:val="000000"/>
                <w:sz w:val="20"/>
                <w:szCs w:val="20"/>
              </w:rPr>
              <w:t xml:space="preserve">1995-1998). Vice-presidente de Assuntos Corporativos – </w:t>
            </w:r>
            <w:r w:rsidRPr="00966B19">
              <w:rPr>
                <w:rFonts w:ascii="Times New Roman" w:hAnsi="Times New Roman"/>
                <w:iCs/>
                <w:color w:val="000000"/>
                <w:sz w:val="20"/>
                <w:szCs w:val="20"/>
              </w:rPr>
              <w:t xml:space="preserve">Autolatina Brasil S.A. </w:t>
            </w:r>
            <w:r w:rsidRPr="00966B19">
              <w:rPr>
                <w:rFonts w:ascii="Times New Roman" w:hAnsi="Times New Roman"/>
                <w:color w:val="000000"/>
                <w:sz w:val="20"/>
                <w:szCs w:val="20"/>
              </w:rPr>
              <w:t xml:space="preserve">– (1989/1995). Presidente da Comissão de Comunicação da FEBRABAN. Vice-presidente da </w:t>
            </w:r>
            <w:r w:rsidRPr="00966B19">
              <w:rPr>
                <w:rFonts w:ascii="Times New Roman" w:hAnsi="Times New Roman"/>
                <w:iCs/>
                <w:color w:val="000000"/>
                <w:sz w:val="20"/>
                <w:szCs w:val="20"/>
              </w:rPr>
              <w:t>FEBRABAN (</w:t>
            </w:r>
            <w:r w:rsidRPr="00966B19">
              <w:rPr>
                <w:rFonts w:ascii="Times New Roman" w:hAnsi="Times New Roman"/>
                <w:color w:val="000000"/>
                <w:sz w:val="20"/>
                <w:szCs w:val="20"/>
              </w:rPr>
              <w:t xml:space="preserve">2001-2005) e membro do C.A. da CESP. </w:t>
            </w:r>
            <w:r w:rsidRPr="00966B19">
              <w:rPr>
                <w:rFonts w:ascii="Times New Roman" w:hAnsi="Times New Roman"/>
                <w:sz w:val="20"/>
                <w:szCs w:val="20"/>
              </w:rPr>
              <w:t xml:space="preserve">Vice-presidente da ANFAVEA (1987-2000); Diretor do CIESP (1996-2000). </w:t>
            </w:r>
            <w:r w:rsidRPr="00966B19">
              <w:rPr>
                <w:rFonts w:ascii="Times New Roman" w:hAnsi="Times New Roman"/>
                <w:color w:val="000000"/>
                <w:sz w:val="20"/>
                <w:szCs w:val="20"/>
              </w:rPr>
              <w:t xml:space="preserve">Presidente do Conselho Consultivo da ABI de 1990-1994; Membro do Conselho Consultivo da </w:t>
            </w:r>
            <w:r w:rsidRPr="00966B19">
              <w:rPr>
                <w:rFonts w:ascii="Times New Roman" w:hAnsi="Times New Roman"/>
                <w:iCs/>
                <w:color w:val="000000"/>
                <w:sz w:val="20"/>
                <w:szCs w:val="20"/>
              </w:rPr>
              <w:t>Associação Brasileira de Comunicação Empresarial (</w:t>
            </w:r>
            <w:r w:rsidRPr="00966B19">
              <w:rPr>
                <w:rFonts w:ascii="Times New Roman" w:hAnsi="Times New Roman"/>
                <w:color w:val="000000"/>
                <w:sz w:val="20"/>
                <w:szCs w:val="20"/>
              </w:rPr>
              <w:t xml:space="preserve">1990-1998). Membro do Conselho Editorial (2000-2006) e do Conselho Consultivo (2006-2007) do Grupo </w:t>
            </w:r>
            <w:r w:rsidRPr="00966B19">
              <w:rPr>
                <w:rFonts w:ascii="Times New Roman" w:hAnsi="Times New Roman"/>
                <w:iCs/>
                <w:color w:val="000000"/>
                <w:sz w:val="20"/>
                <w:szCs w:val="20"/>
              </w:rPr>
              <w:t xml:space="preserve">‘O Estado de S.Paulo’. Entre 2007 e 2010 foi Ministro de Estado (MDIC). </w:t>
            </w:r>
          </w:p>
          <w:p w:rsidR="00AE55C1" w:rsidRPr="00966B19" w:rsidRDefault="00AE55C1" w:rsidP="00AE55C1">
            <w:pPr>
              <w:autoSpaceDE w:val="0"/>
              <w:autoSpaceDN w:val="0"/>
              <w:adjustRightInd w:val="0"/>
              <w:jc w:val="both"/>
              <w:cnfStyle w:val="000000100000"/>
              <w:rPr>
                <w:rFonts w:ascii="Times New Roman" w:hAnsi="Times New Roman"/>
                <w:b/>
                <w:sz w:val="20"/>
                <w:szCs w:val="20"/>
              </w:rPr>
            </w:pPr>
            <w:r w:rsidRPr="00966B19">
              <w:rPr>
                <w:rFonts w:ascii="Times New Roman" w:hAnsi="Times New Roman"/>
                <w:b/>
                <w:color w:val="000000"/>
                <w:sz w:val="20"/>
                <w:szCs w:val="20"/>
              </w:rPr>
              <w:t>Período: de 13/02/2003 a 01/01/2011</w:t>
            </w:r>
          </w:p>
        </w:tc>
        <w:tc>
          <w:tcPr>
            <w:tcW w:w="953" w:type="pct"/>
          </w:tcPr>
          <w:p w:rsidR="00AE55C1" w:rsidRPr="00966B19" w:rsidRDefault="00AE55C1" w:rsidP="00AE55C1">
            <w:pPr>
              <w:jc w:val="center"/>
              <w:cnfStyle w:val="000000100000"/>
              <w:rPr>
                <w:rFonts w:ascii="Times New Roman" w:hAnsi="Times New Roman"/>
                <w:sz w:val="20"/>
                <w:szCs w:val="20"/>
              </w:rPr>
            </w:pPr>
            <w:r w:rsidRPr="00966B19">
              <w:rPr>
                <w:rFonts w:ascii="Times New Roman" w:hAnsi="Times New Roman"/>
                <w:sz w:val="20"/>
                <w:szCs w:val="20"/>
              </w:rPr>
              <w:t>Setor Financeiro/Bancário. Fabricação de veículos. Vinculações com o Estado restrito.</w:t>
            </w:r>
          </w:p>
          <w:p w:rsidR="00AE55C1" w:rsidRPr="00966B19" w:rsidRDefault="00AE55C1" w:rsidP="00AE55C1">
            <w:pPr>
              <w:jc w:val="center"/>
              <w:cnfStyle w:val="000000100000"/>
              <w:rPr>
                <w:rFonts w:ascii="Times New Roman" w:hAnsi="Times New Roman"/>
                <w:sz w:val="20"/>
                <w:szCs w:val="20"/>
              </w:rPr>
            </w:pPr>
            <w:r w:rsidRPr="00966B19">
              <w:rPr>
                <w:rFonts w:ascii="Times New Roman" w:hAnsi="Times New Roman"/>
                <w:sz w:val="20"/>
                <w:szCs w:val="20"/>
              </w:rPr>
              <w:t>Associações corporativas, setoriais e societais.</w:t>
            </w:r>
          </w:p>
          <w:p w:rsidR="00AE55C1" w:rsidRPr="00966B19" w:rsidRDefault="00AE55C1" w:rsidP="00AE55C1">
            <w:pPr>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32) Milu Villela</w:t>
            </w:r>
          </w:p>
        </w:tc>
        <w:tc>
          <w:tcPr>
            <w:tcW w:w="3048" w:type="pct"/>
          </w:tcPr>
          <w:p w:rsidR="00AE55C1" w:rsidRPr="00966B19" w:rsidRDefault="003E7B44" w:rsidP="00AE55C1">
            <w:pPr>
              <w:spacing w:after="0"/>
              <w:jc w:val="both"/>
              <w:cnfStyle w:val="000000010000"/>
              <w:rPr>
                <w:rFonts w:ascii="Times New Roman" w:hAnsi="Times New Roman"/>
                <w:sz w:val="20"/>
                <w:szCs w:val="20"/>
              </w:rPr>
            </w:pPr>
            <w:r>
              <w:rPr>
                <w:rFonts w:ascii="Times New Roman" w:hAnsi="Times New Roman"/>
                <w:sz w:val="20"/>
                <w:szCs w:val="20"/>
              </w:rPr>
              <w:t>Itaúsa – Investimentos Itaú S.A.: V</w:t>
            </w:r>
            <w:r w:rsidR="00AE55C1" w:rsidRPr="00966B19">
              <w:rPr>
                <w:rFonts w:ascii="Times New Roman" w:hAnsi="Times New Roman"/>
                <w:sz w:val="20"/>
                <w:szCs w:val="20"/>
              </w:rPr>
              <w:t>ice-Presidente do Conselho de Administração desde de 2001</w:t>
            </w:r>
            <w:r>
              <w:rPr>
                <w:rFonts w:ascii="Times New Roman" w:hAnsi="Times New Roman"/>
                <w:sz w:val="20"/>
                <w:szCs w:val="20"/>
              </w:rPr>
              <w:t>. Itaú Unibanco Holding S.A.:</w:t>
            </w:r>
            <w:r w:rsidR="00AE55C1" w:rsidRPr="00966B19">
              <w:rPr>
                <w:rFonts w:ascii="Times New Roman" w:hAnsi="Times New Roman"/>
                <w:sz w:val="20"/>
                <w:szCs w:val="20"/>
              </w:rPr>
              <w:t xml:space="preserve"> Membro do Conselho de Administração de 2003 a 2008, Presidente do Museu de Arte Moderna de São Paulo (MAM) desde dezembro de 1994, do Instituto Itaú Cultural, desde maio de 2001 e Fundadora e Presidente da Associação Comunitária Despertar desde abril de 1994; Faça Parte – Instituto Brasil Voluntário desde outubro de 2000 e do Centro do Voluntariado de São Paulo, desde maio de 1997. </w:t>
            </w:r>
            <w:r w:rsidR="00AE55C1" w:rsidRPr="00966B19">
              <w:rPr>
                <w:rFonts w:ascii="Times New Roman" w:hAnsi="Times New Roman"/>
                <w:color w:val="000000"/>
                <w:sz w:val="20"/>
                <w:szCs w:val="20"/>
              </w:rPr>
              <w:t>Membro do Conselho de Governança e Fundadora do Movimento Todos pela Educação. Membro do Conselho de Administração da Sociedade de Cultura Artística. Diretora da Associação Parceria Contra as Drogas.</w:t>
            </w:r>
          </w:p>
          <w:p w:rsidR="00AE55C1" w:rsidRPr="00966B19" w:rsidRDefault="00AE55C1" w:rsidP="00AE55C1">
            <w:pPr>
              <w:pStyle w:val="NormalWeb"/>
              <w:spacing w:before="0" w:beforeAutospacing="0"/>
              <w:jc w:val="both"/>
              <w:cnfStyle w:val="000000010000"/>
              <w:rPr>
                <w:sz w:val="20"/>
                <w:szCs w:val="20"/>
                <w:lang w:val="pt-PT"/>
              </w:rPr>
            </w:pPr>
            <w:r w:rsidRPr="00966B19">
              <w:rPr>
                <w:b/>
                <w:color w:val="000000"/>
                <w:sz w:val="20"/>
                <w:szCs w:val="20"/>
              </w:rPr>
              <w:t xml:space="preserve">Período: </w:t>
            </w:r>
            <w:r w:rsidRPr="00966B19">
              <w:rPr>
                <w:b/>
                <w:sz w:val="20"/>
                <w:szCs w:val="20"/>
              </w:rPr>
              <w:t>de 13/02/2003 a 13/05/2007</w:t>
            </w:r>
          </w:p>
        </w:tc>
        <w:tc>
          <w:tcPr>
            <w:tcW w:w="953" w:type="pct"/>
          </w:tcPr>
          <w:p w:rsidR="00AE55C1" w:rsidRPr="00966B19" w:rsidRDefault="00AE55C1" w:rsidP="00AE55C1">
            <w:pPr>
              <w:pStyle w:val="DecimalAligned"/>
              <w:tabs>
                <w:tab w:val="clear" w:pos="360"/>
              </w:tabs>
              <w:spacing w:after="0" w:line="240" w:lineRule="auto"/>
              <w:jc w:val="center"/>
              <w:cnfStyle w:val="000000010000"/>
              <w:rPr>
                <w:rFonts w:ascii="Times New Roman" w:hAnsi="Times New Roman"/>
                <w:sz w:val="20"/>
                <w:szCs w:val="20"/>
              </w:rPr>
            </w:pPr>
            <w:r w:rsidRPr="00966B19">
              <w:rPr>
                <w:rFonts w:ascii="Times New Roman" w:hAnsi="Times New Roman"/>
                <w:sz w:val="20"/>
                <w:szCs w:val="20"/>
              </w:rPr>
              <w:t>Setor Financeiro/Bancário. Associações societais.</w:t>
            </w:r>
          </w:p>
          <w:p w:rsidR="00AE55C1" w:rsidRPr="00966B19" w:rsidRDefault="00AE55C1" w:rsidP="00AE55C1">
            <w:pPr>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33) Omilton Visconde Júnior</w:t>
            </w:r>
          </w:p>
        </w:tc>
        <w:tc>
          <w:tcPr>
            <w:tcW w:w="3048" w:type="pct"/>
          </w:tcPr>
          <w:p w:rsidR="00AE55C1" w:rsidRPr="00966B19" w:rsidRDefault="00AE55C1" w:rsidP="00AE55C1">
            <w:pPr>
              <w:jc w:val="both"/>
              <w:cnfStyle w:val="000000100000"/>
              <w:rPr>
                <w:rFonts w:ascii="Times New Roman" w:hAnsi="Times New Roman"/>
                <w:color w:val="000000"/>
                <w:sz w:val="20"/>
                <w:szCs w:val="20"/>
              </w:rPr>
            </w:pPr>
            <w:r w:rsidRPr="00966B19">
              <w:rPr>
                <w:rFonts w:ascii="Times New Roman" w:hAnsi="Times New Roman"/>
                <w:sz w:val="20"/>
                <w:szCs w:val="20"/>
              </w:rPr>
              <w:t xml:space="preserve">Presidente da Federação Brasileira da Indústria Farmacêutica – FEBRAFARMA. </w:t>
            </w:r>
          </w:p>
          <w:p w:rsidR="00AE55C1" w:rsidRPr="00966B19" w:rsidRDefault="00AE55C1" w:rsidP="00AE55C1">
            <w:pPr>
              <w:cnfStyle w:val="000000100000"/>
              <w:rPr>
                <w:rFonts w:ascii="Times New Roman" w:hAnsi="Times New Roman"/>
                <w:color w:val="000000"/>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 13/02/2003 a 13/05/2007</w:t>
            </w:r>
          </w:p>
        </w:tc>
        <w:tc>
          <w:tcPr>
            <w:tcW w:w="953" w:type="pct"/>
          </w:tcPr>
          <w:p w:rsidR="00AE55C1" w:rsidRPr="00966B19" w:rsidRDefault="00AE55C1" w:rsidP="00AE55C1">
            <w:pPr>
              <w:jc w:val="center"/>
              <w:cnfStyle w:val="000000100000"/>
              <w:rPr>
                <w:rFonts w:ascii="Times New Roman" w:hAnsi="Times New Roman"/>
                <w:sz w:val="20"/>
                <w:szCs w:val="20"/>
              </w:rPr>
            </w:pPr>
            <w:r w:rsidRPr="00966B19">
              <w:rPr>
                <w:rFonts w:ascii="Times New Roman" w:hAnsi="Times New Roman"/>
                <w:sz w:val="20"/>
                <w:szCs w:val="20"/>
              </w:rPr>
              <w:t>Indústria farmacêutica. Associação corporativa.</w:t>
            </w: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34) Paulo Skaf</w:t>
            </w:r>
          </w:p>
        </w:tc>
        <w:tc>
          <w:tcPr>
            <w:tcW w:w="3048" w:type="pct"/>
          </w:tcPr>
          <w:p w:rsidR="00AE55C1" w:rsidRPr="00966B19" w:rsidRDefault="00AE55C1" w:rsidP="00AE55C1">
            <w:pPr>
              <w:spacing w:after="0"/>
              <w:jc w:val="both"/>
              <w:cnfStyle w:val="000000010000"/>
              <w:rPr>
                <w:rFonts w:ascii="Times New Roman" w:hAnsi="Times New Roman"/>
                <w:color w:val="000000"/>
                <w:sz w:val="20"/>
                <w:szCs w:val="20"/>
              </w:rPr>
            </w:pPr>
            <w:r w:rsidRPr="00966B19">
              <w:rPr>
                <w:rFonts w:ascii="Times New Roman" w:hAnsi="Times New Roman"/>
                <w:color w:val="000000"/>
                <w:sz w:val="20"/>
                <w:szCs w:val="20"/>
              </w:rPr>
              <w:t xml:space="preserve">Empresário, membro do Conselho da Springs Global Participações e Vice-Presidente do Conselho de Administração da Paramount Lansul S/A. Presidente da Federação das Indústrias do Estado de São Paulo (Fiesp); Presidente do Centro das Indústrias do Estado de São Paulo (Ciesp); Presidente do Serviço Social da Indústria (SESI), do Serviço Nacional de Aprendizagem Industrial (SENAI), em São Paulo e Presidente do Instituto Roberto Simonsen - IRS; exerce ainda a Primeira Vice-Presidência da Confederação Nacional da Indústria (CNI). Presidiu também o Conselho Deliberativo do SEBRAE/SP, SINDITEXTIL - Sindicato das Indústrias de Fiação e Tecelagem do Estado de São Paulo e a ABIT - Associação Brasileira da Indústria Têxtil e de Confecção. Foi membro do Conselho Administrativo do Banco Nacional de Desenvolvimento Econômico e Social - BNDES. Vice-presidente da </w:t>
            </w:r>
            <w:r w:rsidRPr="00966B19">
              <w:rPr>
                <w:rFonts w:ascii="Times New Roman" w:hAnsi="Times New Roman"/>
                <w:sz w:val="20"/>
                <w:szCs w:val="20"/>
              </w:rPr>
              <w:t>Sociedade brasileira pró-inovação tecnológica (PROTEC).</w:t>
            </w:r>
          </w:p>
          <w:p w:rsidR="00AE55C1" w:rsidRPr="00966B19" w:rsidRDefault="00AE55C1" w:rsidP="00AE55C1">
            <w:pPr>
              <w:spacing w:after="100" w:afterAutospacing="1"/>
              <w:cnfStyle w:val="000000010000"/>
              <w:rPr>
                <w:rFonts w:ascii="Times New Roman" w:hAnsi="Times New Roman"/>
                <w:color w:val="000000"/>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 13/02/2003 a 31/03/2010</w:t>
            </w:r>
          </w:p>
        </w:tc>
        <w:tc>
          <w:tcPr>
            <w:tcW w:w="953"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Indústria têxtil. Vinculações com o Estado restrito. Associações corporativas, setoriais e societais.</w:t>
            </w:r>
          </w:p>
          <w:p w:rsidR="00AE55C1" w:rsidRPr="00966B19" w:rsidRDefault="00AE55C1" w:rsidP="00AE55C1">
            <w:pPr>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35) Paulo Simão</w:t>
            </w:r>
          </w:p>
        </w:tc>
        <w:tc>
          <w:tcPr>
            <w:tcW w:w="3048" w:type="pct"/>
          </w:tcPr>
          <w:p w:rsidR="00AE55C1" w:rsidRPr="00966B19" w:rsidRDefault="00AE55C1" w:rsidP="00AE55C1">
            <w:pPr>
              <w:spacing w:after="0"/>
              <w:jc w:val="both"/>
              <w:cnfStyle w:val="000000100000"/>
              <w:rPr>
                <w:rFonts w:ascii="Times New Roman" w:hAnsi="Times New Roman"/>
                <w:sz w:val="20"/>
                <w:szCs w:val="20"/>
              </w:rPr>
            </w:pPr>
            <w:r w:rsidRPr="00966B19">
              <w:rPr>
                <w:rFonts w:ascii="Times New Roman" w:hAnsi="Times New Roman"/>
                <w:color w:val="000000"/>
                <w:sz w:val="20"/>
                <w:szCs w:val="20"/>
              </w:rPr>
              <w:t xml:space="preserve">Atual Presidente da Câmara Brasileira da Indústria de Construção (CBIC) e </w:t>
            </w:r>
            <w:r w:rsidRPr="00966B19">
              <w:rPr>
                <w:rFonts w:ascii="Times New Roman" w:hAnsi="Times New Roman"/>
                <w:sz w:val="20"/>
                <w:szCs w:val="20"/>
              </w:rPr>
              <w:t xml:space="preserve">diretor presidente da Wady Simão-Construções e Incorporações LTDA. Foi presidente do Sindicato da Indústria da Construção Civil no Estado de Minas Gerais-Sinduscon/MG (1986-1992); Vice-presidente da Federação das Indústrias de Minas Gerais-FIEMG (1989-1995); Presidente da Empresa Mineira de Turismo-TURMINAS, (1995-1998); Presidente do PSD/MG. Membro do Conselho Fiscal da Sociedade Mineira dos Engenheiros-SME (2002 a 2005). </w:t>
            </w:r>
          </w:p>
          <w:p w:rsidR="00AE55C1" w:rsidRPr="00966B19" w:rsidRDefault="00AE55C1" w:rsidP="00AE55C1">
            <w:pPr>
              <w:spacing w:after="100" w:afterAutospacing="1"/>
              <w:jc w:val="both"/>
              <w:cnfStyle w:val="000000100000"/>
              <w:rPr>
                <w:rFonts w:ascii="Times New Roman" w:hAnsi="Times New Roman"/>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desde 13/11/2003</w:t>
            </w:r>
          </w:p>
        </w:tc>
        <w:tc>
          <w:tcPr>
            <w:tcW w:w="953" w:type="pct"/>
          </w:tcPr>
          <w:p w:rsidR="00AE55C1" w:rsidRPr="00966B19" w:rsidRDefault="00AE55C1" w:rsidP="00AE55C1">
            <w:pPr>
              <w:pStyle w:val="NormalWeb"/>
              <w:spacing w:before="0" w:beforeAutospacing="0" w:after="0" w:afterAutospacing="0"/>
              <w:jc w:val="center"/>
              <w:cnfStyle w:val="000000100000"/>
              <w:rPr>
                <w:sz w:val="20"/>
                <w:szCs w:val="20"/>
              </w:rPr>
            </w:pPr>
            <w:r w:rsidRPr="00966B19">
              <w:rPr>
                <w:sz w:val="20"/>
                <w:szCs w:val="20"/>
              </w:rPr>
              <w:t>Indústria da construção.</w:t>
            </w:r>
          </w:p>
          <w:p w:rsidR="00AE55C1" w:rsidRPr="00966B19" w:rsidRDefault="00AE55C1" w:rsidP="00AE55C1">
            <w:pPr>
              <w:pStyle w:val="NormalWeb"/>
              <w:spacing w:before="0" w:beforeAutospacing="0" w:after="0" w:afterAutospacing="0"/>
              <w:jc w:val="center"/>
              <w:cnfStyle w:val="000000100000"/>
              <w:rPr>
                <w:sz w:val="20"/>
                <w:szCs w:val="20"/>
              </w:rPr>
            </w:pPr>
            <w:r w:rsidRPr="00966B19">
              <w:rPr>
                <w:sz w:val="20"/>
                <w:szCs w:val="20"/>
              </w:rPr>
              <w:t>Vinculações com o Estado restrito.</w:t>
            </w:r>
          </w:p>
          <w:p w:rsidR="00AE55C1" w:rsidRPr="00966B19" w:rsidRDefault="00AE55C1" w:rsidP="00AE55C1">
            <w:pPr>
              <w:pStyle w:val="NormalWeb"/>
              <w:spacing w:before="0" w:beforeAutospacing="0" w:after="0" w:afterAutospacing="0"/>
              <w:jc w:val="center"/>
              <w:cnfStyle w:val="000000100000"/>
              <w:rPr>
                <w:sz w:val="20"/>
                <w:szCs w:val="20"/>
              </w:rPr>
            </w:pPr>
            <w:r w:rsidRPr="00966B19">
              <w:rPr>
                <w:sz w:val="20"/>
                <w:szCs w:val="20"/>
              </w:rPr>
              <w:t xml:space="preserve"> Associações corporativas.</w:t>
            </w:r>
          </w:p>
          <w:p w:rsidR="00AE55C1" w:rsidRPr="00966B19" w:rsidRDefault="00AE55C1" w:rsidP="00AE55C1">
            <w:pPr>
              <w:pStyle w:val="NormalWeb"/>
              <w:spacing w:before="0" w:beforeAutospacing="0" w:after="0" w:afterAutospacing="0"/>
              <w:jc w:val="center"/>
              <w:cnfStyle w:val="000000100000"/>
              <w:rPr>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36) Paulo Velinho</w:t>
            </w:r>
          </w:p>
        </w:tc>
        <w:tc>
          <w:tcPr>
            <w:tcW w:w="3048" w:type="pct"/>
          </w:tcPr>
          <w:p w:rsidR="00AE55C1" w:rsidRPr="00966B19" w:rsidRDefault="00AE55C1" w:rsidP="00AE55C1">
            <w:pPr>
              <w:spacing w:after="0"/>
              <w:jc w:val="both"/>
              <w:cnfStyle w:val="000000010000"/>
              <w:rPr>
                <w:rFonts w:ascii="Times New Roman" w:hAnsi="Times New Roman"/>
                <w:color w:val="000000"/>
                <w:sz w:val="20"/>
                <w:szCs w:val="20"/>
              </w:rPr>
            </w:pPr>
            <w:r w:rsidRPr="00966B19">
              <w:rPr>
                <w:rFonts w:ascii="Times New Roman" w:hAnsi="Times New Roman"/>
                <w:color w:val="000000"/>
                <w:sz w:val="20"/>
                <w:szCs w:val="20"/>
              </w:rPr>
              <w:t>Fundador e Membro do Conselho da Associação do Aço do RGS. Foi Diretor Presidente da Springer S/A, da Springer Carrier do Nordeste, da Springer National da Amazônia e da Springer Amazônia Refrigeração S/A. Foi, também, Diretor Presidente da ABINEE - Associação Brasileira da Indústria Elétrica e Eletrônica, Presidente do SINAES - Sindicato das Industrias Elétricas, Eletrônicas e Similares do Estado de São Paulo e Presidente da ASGAV - Associação Gaúcha de Avicultura. Atualmente é Membro do Conselho Fiscal da Fundação Irmão José Otão - Universidade Católica Rio grande do Sul, Diretor Presidente da Paulo Vellinho Consultores Associados, Mesário Efetivo da Mesa Administrativa da Irmandade da Santa Casa de Misericórdia de POA e Presidente do Conselho da Fundação Pão dos Pobres. F</w:t>
            </w:r>
            <w:r w:rsidRPr="00966B19">
              <w:rPr>
                <w:rFonts w:ascii="Times New Roman" w:hAnsi="Times New Roman"/>
                <w:sz w:val="20"/>
                <w:szCs w:val="20"/>
                <w:lang w:val="pt-PT"/>
              </w:rPr>
              <w:t>oi presidente da Fiergs — Federação das Indústrias do Rio Grande do Sul, na década de 70.</w:t>
            </w:r>
          </w:p>
          <w:p w:rsidR="00AE55C1" w:rsidRPr="00966B19" w:rsidRDefault="00AE55C1" w:rsidP="00AE55C1">
            <w:pPr>
              <w:pStyle w:val="NormalWeb"/>
              <w:spacing w:before="0" w:beforeAutospacing="0" w:after="0" w:afterAutospacing="0"/>
              <w:jc w:val="both"/>
              <w:cnfStyle w:val="000000010000"/>
              <w:rPr>
                <w:sz w:val="20"/>
                <w:szCs w:val="20"/>
              </w:rPr>
            </w:pPr>
            <w:r w:rsidRPr="00966B19">
              <w:rPr>
                <w:b/>
                <w:color w:val="000000"/>
                <w:sz w:val="20"/>
                <w:szCs w:val="20"/>
              </w:rPr>
              <w:t xml:space="preserve">Período: </w:t>
            </w:r>
            <w:r w:rsidRPr="00966B19">
              <w:rPr>
                <w:b/>
                <w:sz w:val="20"/>
                <w:szCs w:val="20"/>
              </w:rPr>
              <w:t>desde 13/02/2003</w:t>
            </w:r>
          </w:p>
        </w:tc>
        <w:tc>
          <w:tcPr>
            <w:tcW w:w="953" w:type="pct"/>
          </w:tcPr>
          <w:p w:rsidR="00AE55C1" w:rsidRPr="00966B19" w:rsidRDefault="00AE55C1" w:rsidP="00AE55C1">
            <w:pPr>
              <w:pStyle w:val="NormalWeb"/>
              <w:spacing w:before="0" w:beforeAutospacing="0" w:after="0" w:afterAutospacing="0"/>
              <w:jc w:val="center"/>
              <w:cnfStyle w:val="000000010000"/>
              <w:rPr>
                <w:sz w:val="20"/>
                <w:szCs w:val="20"/>
              </w:rPr>
            </w:pPr>
            <w:r w:rsidRPr="00966B19">
              <w:rPr>
                <w:sz w:val="20"/>
                <w:szCs w:val="20"/>
              </w:rPr>
              <w:t>Indústria eletroeletrônica. Consultoria empresarial. Associações corporativas, setoriais e societais.</w:t>
            </w:r>
          </w:p>
          <w:p w:rsidR="00AE55C1" w:rsidRPr="00966B19" w:rsidRDefault="00AE55C1" w:rsidP="00AE55C1">
            <w:pPr>
              <w:pStyle w:val="NormalWeb"/>
              <w:spacing w:before="0" w:beforeAutospacing="0" w:after="0" w:afterAutospacing="0"/>
              <w:jc w:val="center"/>
              <w:cnfStyle w:val="000000010000"/>
              <w:rPr>
                <w:sz w:val="20"/>
                <w:szCs w:val="20"/>
              </w:rPr>
            </w:pP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37) Pedro Jereissati</w:t>
            </w:r>
          </w:p>
        </w:tc>
        <w:tc>
          <w:tcPr>
            <w:tcW w:w="3048" w:type="pct"/>
          </w:tcPr>
          <w:p w:rsidR="00AE55C1" w:rsidRPr="00966B19" w:rsidRDefault="00AE55C1" w:rsidP="00AE55C1">
            <w:pPr>
              <w:pStyle w:val="NormalWeb"/>
              <w:spacing w:before="0" w:beforeAutospacing="0" w:after="0" w:afterAutospacing="0"/>
              <w:jc w:val="both"/>
              <w:cnfStyle w:val="000000100000"/>
              <w:rPr>
                <w:sz w:val="20"/>
                <w:szCs w:val="20"/>
              </w:rPr>
            </w:pPr>
            <w:r w:rsidRPr="00966B19">
              <w:rPr>
                <w:sz w:val="20"/>
                <w:szCs w:val="20"/>
              </w:rPr>
              <w:t>Atua no Grupo Jereissati desde 1995, quando entrou na área de operações do grupo na Empresa de Shopping Centers S.A. Atuou como Diretor de Novos Negócios da Jereissati Participações S.A de abril de 2001 até junho de 2006, e como Diretor Financeiro da Iguatemi Empresa de Shopping Centers S.A. até abril de 2008. Foi também membro do Conselho de Administração da Iguatemi Empresa de Shopping Centers S.A. desde janeiro de 2007 e da Jereissati Participações S.A. desde abril de 2008. Diretor da empresa de Telecomunicações do Grupo, a LF Tel S.A., desde maio de 2006. Presidente e Diretor de Relações com Investidores da Telemar Participações S.A., e é membro do Conselho de Administração da Telemar Participações S.A., da Tele Norte Leste Participações S.A. e da Contax Participações S.A.</w:t>
            </w:r>
          </w:p>
          <w:p w:rsidR="00AE55C1" w:rsidRPr="00966B19" w:rsidRDefault="00AE55C1" w:rsidP="00AE55C1">
            <w:pPr>
              <w:spacing w:after="100" w:afterAutospacing="1"/>
              <w:jc w:val="both"/>
              <w:cnfStyle w:val="000000100000"/>
              <w:rPr>
                <w:rFonts w:ascii="Times New Roman" w:hAnsi="Times New Roman"/>
                <w:color w:val="000000"/>
                <w:sz w:val="20"/>
                <w:szCs w:val="20"/>
              </w:rPr>
            </w:pPr>
            <w:r w:rsidRPr="00966B19">
              <w:rPr>
                <w:rFonts w:ascii="Times New Roman" w:hAnsi="Times New Roman"/>
                <w:b/>
                <w:sz w:val="20"/>
                <w:szCs w:val="20"/>
              </w:rPr>
              <w:t>Período: de 13/02/2003 a 28/07/2004</w:t>
            </w:r>
          </w:p>
        </w:tc>
        <w:tc>
          <w:tcPr>
            <w:tcW w:w="953"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 xml:space="preserve">Setor de telecomunicações. Setor de construção.  </w:t>
            </w:r>
            <w:r w:rsidRPr="00966B19">
              <w:rPr>
                <w:rFonts w:ascii="Times New Roman" w:hAnsi="Times New Roman"/>
                <w:sz w:val="20"/>
                <w:szCs w:val="20"/>
                <w:lang w:val="en-US"/>
              </w:rPr>
              <w:t xml:space="preserve">Empresa full service em shoppings centers. </w:t>
            </w:r>
            <w:r w:rsidRPr="00966B19">
              <w:rPr>
                <w:rFonts w:ascii="Times New Roman" w:hAnsi="Times New Roman"/>
                <w:sz w:val="20"/>
                <w:szCs w:val="20"/>
              </w:rPr>
              <w:t>Comércio.</w:t>
            </w:r>
          </w:p>
          <w:p w:rsidR="00AE55C1" w:rsidRDefault="00AE55C1" w:rsidP="00AE55C1">
            <w:pPr>
              <w:pStyle w:val="DecimalAligned"/>
              <w:tabs>
                <w:tab w:val="clear" w:pos="360"/>
              </w:tabs>
              <w:spacing w:after="0" w:line="240" w:lineRule="auto"/>
              <w:jc w:val="center"/>
              <w:cnfStyle w:val="000000100000"/>
              <w:rPr>
                <w:rFonts w:ascii="Times New Roman" w:hAnsi="Times New Roman"/>
                <w:sz w:val="20"/>
                <w:szCs w:val="20"/>
              </w:rPr>
            </w:pP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NÃO CONSTAM ASSOCIAÇÕES</w:t>
            </w:r>
          </w:p>
          <w:p w:rsidR="00AE55C1" w:rsidRPr="00966B19" w:rsidRDefault="00AE55C1" w:rsidP="00AE55C1">
            <w:pPr>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38) Pedro Luiz Teruel</w:t>
            </w:r>
          </w:p>
        </w:tc>
        <w:tc>
          <w:tcPr>
            <w:tcW w:w="3048" w:type="pct"/>
          </w:tcPr>
          <w:p w:rsidR="00AE55C1" w:rsidRPr="00966B19" w:rsidRDefault="00AE55C1" w:rsidP="00AE55C1">
            <w:pPr>
              <w:pStyle w:val="NormalWeb"/>
              <w:spacing w:before="0" w:beforeAutospacing="0" w:after="0" w:afterAutospacing="0"/>
              <w:jc w:val="both"/>
              <w:cnfStyle w:val="000000010000"/>
              <w:rPr>
                <w:sz w:val="20"/>
                <w:szCs w:val="20"/>
              </w:rPr>
            </w:pPr>
            <w:r w:rsidRPr="00966B19">
              <w:rPr>
                <w:sz w:val="20"/>
                <w:szCs w:val="20"/>
              </w:rPr>
              <w:t>Empresário do ramo da aviação agrícola em MS, proprietário da Teruel Viação Agrícola Ltda. Coordenador Nacional da Associação Brasileira de Empresários pela Cidadania – CIVES. Participou em 1978 da Fundação do atual SINDAG - Sindicato Nacional das Empresas de Aviação Agrícola, sendo eleito em 1979 o primeiro Presidente da Federação Nacional de Aviação Agrícola. Exerceu os mandatos de Vice-Presidente e de Presidente da Associação Centro-Oeste de Aviação Agrícola, nos anos de 1980 e 1989 respectivamente. No ramo da aviação agrícola, nos anos de 2000/2002 foi Vice-Presidente do Sindicato Nacional das Empresas de Aviação Agrícola. Concomitantemente às suas atividades empresariais, em 1997, assumiu a Representação Estadual da Associação Brasileira de Empresários pela Cidadania – CIVES, sendo em 2002, eleito o seu Primeiro Coordenador Nacional. Como deputado estadual do MS, na atual Legislatura, integra as Frentes Parlamentares de Defesa do Meio Ambiente e pelo Desenvolvimento Sustentável, de Apoio ao Agronegócio e ao Cooperativismo, em Prol da Educação Física, Esporte e Lazer, e em Apoio à Indústria.  Foi Secretário de Estado de Habitação e Infraestrutura do MS.</w:t>
            </w:r>
          </w:p>
          <w:p w:rsidR="00AE55C1" w:rsidRPr="00966B19" w:rsidRDefault="00AE55C1" w:rsidP="00AE55C1">
            <w:pPr>
              <w:pStyle w:val="NormalWeb"/>
              <w:spacing w:before="0" w:beforeAutospacing="0"/>
              <w:jc w:val="both"/>
              <w:cnfStyle w:val="000000010000"/>
              <w:rPr>
                <w:color w:val="000000"/>
                <w:sz w:val="20"/>
                <w:szCs w:val="20"/>
              </w:rPr>
            </w:pPr>
            <w:r w:rsidRPr="00966B19">
              <w:rPr>
                <w:b/>
                <w:sz w:val="20"/>
                <w:szCs w:val="20"/>
              </w:rPr>
              <w:t>Período: de 13/02/2003 a 14/02/2005</w:t>
            </w:r>
          </w:p>
        </w:tc>
        <w:tc>
          <w:tcPr>
            <w:tcW w:w="953"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 xml:space="preserve">Setor Aviação Agrícola e proprietário rural. </w:t>
            </w:r>
          </w:p>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Vinculações com o Estado restrito. Associações corporativas, setoriais e societais.</w:t>
            </w:r>
          </w:p>
          <w:p w:rsidR="00AE55C1" w:rsidRPr="00966B19" w:rsidRDefault="00AE55C1" w:rsidP="00AE55C1">
            <w:pPr>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39) Raymundo Magliano Filho</w:t>
            </w:r>
          </w:p>
        </w:tc>
        <w:tc>
          <w:tcPr>
            <w:tcW w:w="3048" w:type="pct"/>
          </w:tcPr>
          <w:p w:rsidR="00AE55C1" w:rsidRPr="00966B19" w:rsidRDefault="00AE55C1" w:rsidP="00AE55C1">
            <w:pPr>
              <w:spacing w:after="0"/>
              <w:jc w:val="both"/>
              <w:cnfStyle w:val="000000100000"/>
              <w:rPr>
                <w:rFonts w:ascii="Times New Roman" w:hAnsi="Times New Roman"/>
                <w:color w:val="000000"/>
                <w:sz w:val="20"/>
                <w:szCs w:val="20"/>
              </w:rPr>
            </w:pPr>
            <w:r w:rsidRPr="00966B19">
              <w:rPr>
                <w:rFonts w:ascii="Times New Roman" w:hAnsi="Times New Roman"/>
                <w:sz w:val="20"/>
                <w:szCs w:val="20"/>
              </w:rPr>
              <w:t>Presidente do Instituto de Responsabilidade Social e Ambiental. Presidente da BM&amp;FBOVESPA. A</w:t>
            </w:r>
            <w:r w:rsidRPr="00966B19">
              <w:rPr>
                <w:rFonts w:ascii="Times New Roman" w:hAnsi="Times New Roman"/>
                <w:color w:val="000000"/>
                <w:sz w:val="20"/>
                <w:szCs w:val="20"/>
              </w:rPr>
              <w:t>cumula uma intensa participação em entidades de classe: vice-presidente da Associação Comercial de São Paulo (</w:t>
            </w:r>
            <w:smartTag w:uri="urn:schemas-microsoft-com:office:smarttags" w:element="metricconverter">
              <w:smartTagPr>
                <w:attr w:name="ProductID" w:val="1989 a"/>
              </w:smartTagPr>
              <w:r w:rsidRPr="00966B19">
                <w:rPr>
                  <w:rFonts w:ascii="Times New Roman" w:hAnsi="Times New Roman"/>
                  <w:color w:val="000000"/>
                  <w:sz w:val="20"/>
                  <w:szCs w:val="20"/>
                </w:rPr>
                <w:t>1989 a</w:t>
              </w:r>
            </w:smartTag>
            <w:r w:rsidRPr="00966B19">
              <w:rPr>
                <w:rFonts w:ascii="Times New Roman" w:hAnsi="Times New Roman"/>
                <w:color w:val="000000"/>
                <w:sz w:val="20"/>
                <w:szCs w:val="20"/>
              </w:rPr>
              <w:t xml:space="preserve"> 1995), ex-superintendente do Conselho dos Jovens Empresários da Associação Comercial, vice-presidente da Bovespa (</w:t>
            </w:r>
            <w:smartTag w:uri="urn:schemas-microsoft-com:office:smarttags" w:element="metricconverter">
              <w:smartTagPr>
                <w:attr w:name="ProductID" w:val="1997 a"/>
              </w:smartTagPr>
              <w:r w:rsidRPr="00966B19">
                <w:rPr>
                  <w:rFonts w:ascii="Times New Roman" w:hAnsi="Times New Roman"/>
                  <w:color w:val="000000"/>
                  <w:sz w:val="20"/>
                  <w:szCs w:val="20"/>
                </w:rPr>
                <w:t>1997 a</w:t>
              </w:r>
            </w:smartTag>
            <w:r w:rsidRPr="00966B19">
              <w:rPr>
                <w:rFonts w:ascii="Times New Roman" w:hAnsi="Times New Roman"/>
                <w:color w:val="000000"/>
                <w:sz w:val="20"/>
                <w:szCs w:val="20"/>
              </w:rPr>
              <w:t xml:space="preserve"> 2001) e membro titular do Conselho de Recursos do Sistema Financeiro Nacional (</w:t>
            </w:r>
            <w:smartTag w:uri="urn:schemas-microsoft-com:office:smarttags" w:element="metricconverter">
              <w:smartTagPr>
                <w:attr w:name="ProductID" w:val="1997 a"/>
              </w:smartTagPr>
              <w:r w:rsidRPr="00966B19">
                <w:rPr>
                  <w:rFonts w:ascii="Times New Roman" w:hAnsi="Times New Roman"/>
                  <w:color w:val="000000"/>
                  <w:sz w:val="20"/>
                  <w:szCs w:val="20"/>
                </w:rPr>
                <w:t>1997 a</w:t>
              </w:r>
            </w:smartTag>
            <w:r w:rsidRPr="00966B19">
              <w:rPr>
                <w:rFonts w:ascii="Times New Roman" w:hAnsi="Times New Roman"/>
                <w:color w:val="000000"/>
                <w:sz w:val="20"/>
                <w:szCs w:val="20"/>
              </w:rPr>
              <w:t xml:space="preserve"> 2001). Membro do Conselho Nac. do Instituto Liberal. Fórum de Líderes.</w:t>
            </w:r>
          </w:p>
          <w:p w:rsidR="00AE55C1" w:rsidRPr="00966B19" w:rsidRDefault="00AE55C1" w:rsidP="00AE55C1">
            <w:pPr>
              <w:jc w:val="both"/>
              <w:cnfStyle w:val="000000100000"/>
              <w:rPr>
                <w:rFonts w:ascii="Times New Roman" w:hAnsi="Times New Roman"/>
                <w:b/>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 13/02/2003 a 25/08/2009</w:t>
            </w:r>
          </w:p>
        </w:tc>
        <w:tc>
          <w:tcPr>
            <w:tcW w:w="953"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 xml:space="preserve">Setor Financeiro. Comércio. </w:t>
            </w:r>
            <w:r w:rsidRPr="00966B19">
              <w:rPr>
                <w:rFonts w:ascii="Times New Roman" w:hAnsi="Times New Roman"/>
                <w:color w:val="000000"/>
                <w:sz w:val="20"/>
                <w:szCs w:val="20"/>
              </w:rPr>
              <w:t>Vinculações com o Estado restrito.</w:t>
            </w:r>
            <w:r w:rsidRPr="00966B19">
              <w:rPr>
                <w:rFonts w:ascii="Times New Roman" w:hAnsi="Times New Roman"/>
                <w:sz w:val="20"/>
                <w:szCs w:val="20"/>
              </w:rPr>
              <w:t xml:space="preserve"> Associações corporativas, setoriais e societais.</w:t>
            </w:r>
          </w:p>
          <w:p w:rsidR="00AE55C1" w:rsidRPr="00966B19" w:rsidRDefault="00AE55C1" w:rsidP="00AE55C1">
            <w:pPr>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40) Ricardo Luiz dos Santos Carvalho</w:t>
            </w:r>
          </w:p>
        </w:tc>
        <w:tc>
          <w:tcPr>
            <w:tcW w:w="3048" w:type="pct"/>
          </w:tcPr>
          <w:p w:rsidR="00AE55C1" w:rsidRPr="00966B19" w:rsidRDefault="00AE55C1" w:rsidP="00AE55C1">
            <w:pPr>
              <w:pStyle w:val="NormalWeb"/>
              <w:spacing w:before="0" w:beforeAutospacing="0" w:after="0" w:afterAutospacing="0"/>
              <w:jc w:val="both"/>
              <w:cnfStyle w:val="000000010000"/>
              <w:rPr>
                <w:sz w:val="20"/>
                <w:szCs w:val="20"/>
              </w:rPr>
            </w:pPr>
            <w:r w:rsidRPr="00966B19">
              <w:rPr>
                <w:sz w:val="20"/>
                <w:szCs w:val="20"/>
              </w:rPr>
              <w:t>Presidente da Associação Nacional dos Fabricantes de Veículos Automotores (ANFAVEA)</w:t>
            </w:r>
          </w:p>
          <w:p w:rsidR="00AE55C1" w:rsidRPr="00966B19" w:rsidRDefault="00AE55C1" w:rsidP="00AE55C1">
            <w:pPr>
              <w:pStyle w:val="NormalWeb"/>
              <w:spacing w:before="0" w:beforeAutospacing="0"/>
              <w:jc w:val="both"/>
              <w:cnfStyle w:val="000000010000"/>
              <w:rPr>
                <w:sz w:val="20"/>
                <w:szCs w:val="20"/>
                <w:lang w:val="pt-PT"/>
              </w:rPr>
            </w:pPr>
            <w:r w:rsidRPr="00966B19">
              <w:rPr>
                <w:b/>
                <w:sz w:val="20"/>
                <w:szCs w:val="20"/>
              </w:rPr>
              <w:t>Período: de 13/02/2003 a 28/07/2004</w:t>
            </w:r>
          </w:p>
        </w:tc>
        <w:tc>
          <w:tcPr>
            <w:tcW w:w="953"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Fabricação de veículos. Associações corporativas</w:t>
            </w: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41) Ricardo Young Silva</w:t>
            </w:r>
          </w:p>
          <w:p w:rsidR="00AE55C1" w:rsidRPr="00966B19" w:rsidRDefault="00AE55C1" w:rsidP="00AE55C1">
            <w:pPr>
              <w:pStyle w:val="NormalWeb"/>
              <w:spacing w:before="0" w:beforeAutospacing="0" w:after="0" w:afterAutospacing="0"/>
              <w:jc w:val="both"/>
              <w:rPr>
                <w:b w:val="0"/>
                <w:sz w:val="20"/>
                <w:szCs w:val="20"/>
              </w:rPr>
            </w:pPr>
          </w:p>
        </w:tc>
        <w:tc>
          <w:tcPr>
            <w:tcW w:w="3048" w:type="pct"/>
          </w:tcPr>
          <w:p w:rsidR="00AE55C1" w:rsidRPr="00966B19" w:rsidRDefault="00AE55C1" w:rsidP="00AE55C1">
            <w:pPr>
              <w:pStyle w:val="NormalWeb"/>
              <w:spacing w:before="0" w:beforeAutospacing="0" w:after="0" w:afterAutospacing="0"/>
              <w:jc w:val="both"/>
              <w:cnfStyle w:val="000000100000"/>
              <w:rPr>
                <w:color w:val="000000"/>
                <w:sz w:val="20"/>
                <w:szCs w:val="20"/>
              </w:rPr>
            </w:pPr>
            <w:r w:rsidRPr="00966B19">
              <w:rPr>
                <w:sz w:val="20"/>
                <w:szCs w:val="20"/>
              </w:rPr>
              <w:t>Proprietário da Escola de Idiomas Yazigi Internexus. Presidente do Instituto Ethos de Empresas e Responsabilidade Social. F</w:t>
            </w:r>
            <w:r w:rsidRPr="00966B19">
              <w:rPr>
                <w:color w:val="000000"/>
                <w:sz w:val="20"/>
                <w:szCs w:val="20"/>
              </w:rPr>
              <w:t>oi fundador da Associação Brasileira de Franchising (ABF). Foi presidente da ABF. Young é ainda coordenador do World Business Academy, Coordenador Nacional do PNBE, fundador e conselheiro da Transparência Brasil e do Instituto Akatu pelo consumo consciente. É presidente do centro brasileiro de filosofia para criança e sócios estatutário da ação educativa. Membro ativo de diversas ONGs, tem profundo envolvimento com o terceiro setor. Membro do Conselho de Governança e Fundador do Movimento Todos pela Educação.</w:t>
            </w:r>
          </w:p>
          <w:p w:rsidR="00AE55C1" w:rsidRPr="00966B19" w:rsidRDefault="00AE55C1" w:rsidP="00AE55C1">
            <w:pPr>
              <w:cnfStyle w:val="000000100000"/>
              <w:rPr>
                <w:rFonts w:ascii="Times New Roman" w:hAnsi="Times New Roman"/>
                <w:color w:val="000000"/>
                <w:sz w:val="20"/>
                <w:szCs w:val="20"/>
              </w:rPr>
            </w:pPr>
            <w:r w:rsidRPr="00966B19">
              <w:rPr>
                <w:rFonts w:ascii="Times New Roman" w:hAnsi="Times New Roman"/>
                <w:b/>
                <w:sz w:val="20"/>
                <w:szCs w:val="20"/>
              </w:rPr>
              <w:t>Período: de 13/02/2003 a 13/05/2007</w:t>
            </w:r>
          </w:p>
        </w:tc>
        <w:tc>
          <w:tcPr>
            <w:tcW w:w="953"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Ensino de Idiomas. Associações setoriais e societais.</w:t>
            </w:r>
          </w:p>
          <w:p w:rsidR="00AE55C1" w:rsidRPr="00966B19" w:rsidRDefault="00AE55C1" w:rsidP="00AE55C1">
            <w:pPr>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42) Rinaldo Campo Soares</w:t>
            </w:r>
          </w:p>
        </w:tc>
        <w:tc>
          <w:tcPr>
            <w:tcW w:w="3048" w:type="pct"/>
          </w:tcPr>
          <w:p w:rsidR="00AE55C1" w:rsidRPr="00966B19" w:rsidRDefault="00AE55C1" w:rsidP="00AE55C1">
            <w:pPr>
              <w:pStyle w:val="Default"/>
              <w:jc w:val="both"/>
              <w:cnfStyle w:val="000000010000"/>
              <w:rPr>
                <w:sz w:val="20"/>
                <w:szCs w:val="20"/>
              </w:rPr>
            </w:pPr>
            <w:r w:rsidRPr="00966B19">
              <w:rPr>
                <w:sz w:val="20"/>
                <w:szCs w:val="20"/>
              </w:rPr>
              <w:t>Presidente das Usinas Siderúrgicas de Minas Gerais (Usiminas). Membro do Cons. Adm. da CENIBRA. Diretor Presidente da Federação de Indústrias do Estado de Minas Gerais. Exerceu, cumulativamente, funções de conselheiros em diversas Empresas, Fundações, Órgãos Governamentais e Entidades Representativas de Classe, nacionais e internacionais.</w:t>
            </w:r>
          </w:p>
          <w:p w:rsidR="00AE55C1" w:rsidRPr="00966B19" w:rsidRDefault="00AE55C1" w:rsidP="00AE55C1">
            <w:pPr>
              <w:spacing w:after="100" w:afterAutospacing="1"/>
              <w:cnfStyle w:val="000000010000"/>
              <w:rPr>
                <w:rFonts w:ascii="Times New Roman" w:hAnsi="Times New Roman"/>
                <w:color w:val="000000"/>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 13/02/2003 a 13/05/2007</w:t>
            </w:r>
          </w:p>
        </w:tc>
        <w:tc>
          <w:tcPr>
            <w:tcW w:w="953"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Metalurgia e Siderurgia. Associações corporativas.</w:t>
            </w:r>
          </w:p>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Vinculação ao Estado restrito.</w:t>
            </w: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43) Roberto Egydio Setubal</w:t>
            </w:r>
          </w:p>
        </w:tc>
        <w:tc>
          <w:tcPr>
            <w:tcW w:w="3048" w:type="pct"/>
          </w:tcPr>
          <w:p w:rsidR="00AE55C1" w:rsidRPr="00966B19" w:rsidRDefault="00AE55C1" w:rsidP="00AE55C1">
            <w:pPr>
              <w:spacing w:after="0"/>
              <w:jc w:val="both"/>
              <w:cnfStyle w:val="000000100000"/>
              <w:rPr>
                <w:rFonts w:ascii="Times New Roman" w:hAnsi="Times New Roman"/>
                <w:color w:val="000000"/>
                <w:sz w:val="20"/>
                <w:szCs w:val="20"/>
              </w:rPr>
            </w:pPr>
            <w:r w:rsidRPr="00966B19">
              <w:rPr>
                <w:rFonts w:ascii="Times New Roman" w:hAnsi="Times New Roman"/>
                <w:color w:val="000000"/>
                <w:sz w:val="20"/>
                <w:szCs w:val="20"/>
              </w:rPr>
              <w:t>Presidente e Diretor Geral do Banco Itaú. Durante o período de 1983 e 1984, deixou o Banco Itaú para atuar no CitiBank. Presidente da Federação Nacional de Bancos – FEBRABAN (1997-2000). Membro da Conferência Monetária Internacional, setor Latino Americano, IIF International Finance e do Steering Committee, Crisis Prevention and Capital Adequacy. Em 2002 tornou-se membro do Comitê Consultivo Internacional de NY do Federal Reserve Bank. Membro do Conselho Consultivo do Instituto Ethos, que atua em parceria com a Fundação Ford e a Fundação Kellogg, entre outras. É membro fundador e Presidente da Comissão Executiva do Programa Itaú Social que tem desenvolvido vários projetos de cunho social, em parceria com o UNICEF e outras organizações não governamentais. É membro do Conselho Executivo do Instituto Itaú Cultural.</w:t>
            </w:r>
          </w:p>
          <w:p w:rsidR="00AE55C1" w:rsidRPr="00966B19" w:rsidRDefault="00AE55C1" w:rsidP="00AE55C1">
            <w:pPr>
              <w:spacing w:after="100" w:afterAutospacing="1"/>
              <w:jc w:val="both"/>
              <w:cnfStyle w:val="000000100000"/>
              <w:rPr>
                <w:rFonts w:ascii="Times New Roman" w:hAnsi="Times New Roman"/>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 13/02/2003 a 13/05/2007</w:t>
            </w:r>
          </w:p>
        </w:tc>
        <w:tc>
          <w:tcPr>
            <w:tcW w:w="953" w:type="pct"/>
          </w:tcPr>
          <w:p w:rsidR="00AE55C1" w:rsidRPr="00966B19" w:rsidRDefault="00AE55C1" w:rsidP="00AE55C1">
            <w:pPr>
              <w:pStyle w:val="NormalWeb"/>
              <w:spacing w:before="0" w:beforeAutospacing="0" w:after="0" w:afterAutospacing="0"/>
              <w:jc w:val="center"/>
              <w:cnfStyle w:val="000000100000"/>
              <w:rPr>
                <w:sz w:val="20"/>
                <w:szCs w:val="20"/>
              </w:rPr>
            </w:pPr>
            <w:r w:rsidRPr="00966B19">
              <w:rPr>
                <w:sz w:val="20"/>
                <w:szCs w:val="20"/>
              </w:rPr>
              <w:t>Setor Financeiro/Bancário. Associações corporativas e societais.</w:t>
            </w:r>
          </w:p>
          <w:p w:rsidR="00AE55C1" w:rsidRPr="00966B19" w:rsidRDefault="00AE55C1" w:rsidP="00AE55C1">
            <w:pPr>
              <w:pStyle w:val="NormalWeb"/>
              <w:spacing w:before="0" w:beforeAutospacing="0" w:after="0" w:afterAutospacing="0"/>
              <w:jc w:val="center"/>
              <w:cnfStyle w:val="000000100000"/>
              <w:rPr>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44) Robson Braga de Andrade</w:t>
            </w:r>
          </w:p>
        </w:tc>
        <w:tc>
          <w:tcPr>
            <w:tcW w:w="3048" w:type="pct"/>
          </w:tcPr>
          <w:p w:rsidR="00AE55C1" w:rsidRPr="00966B19" w:rsidRDefault="00AE55C1" w:rsidP="00AE55C1">
            <w:pPr>
              <w:spacing w:before="100" w:beforeAutospacing="1" w:after="0"/>
              <w:jc w:val="both"/>
              <w:cnfStyle w:val="000000010000"/>
              <w:rPr>
                <w:rFonts w:ascii="Times New Roman" w:hAnsi="Times New Roman"/>
                <w:color w:val="000000"/>
                <w:sz w:val="20"/>
                <w:szCs w:val="20"/>
              </w:rPr>
            </w:pPr>
            <w:r w:rsidRPr="00966B19">
              <w:rPr>
                <w:rFonts w:ascii="Times New Roman" w:hAnsi="Times New Roman"/>
                <w:color w:val="000000"/>
                <w:sz w:val="20"/>
                <w:szCs w:val="20"/>
              </w:rPr>
              <w:t xml:space="preserve">Diretor-Presidente da ORTENG Equipamentos e Sistemas LTDA, empresa brasileira, fornecedora de Sistemas Integrados de Energia e Automação, atuando nos segmentos de energia, petróleo, gás, mineração, siderurgia, saneamento, telecomunicações e transportes. </w:t>
            </w:r>
            <w:r w:rsidRPr="00966B19">
              <w:rPr>
                <w:rFonts w:ascii="Times New Roman" w:hAnsi="Times New Roman"/>
                <w:sz w:val="20"/>
                <w:szCs w:val="20"/>
              </w:rPr>
              <w:t>Presidente da Confederação Nacional da Indústria (CNI)</w:t>
            </w:r>
            <w:r w:rsidRPr="00966B19">
              <w:rPr>
                <w:rFonts w:ascii="Times New Roman" w:hAnsi="Times New Roman"/>
                <w:color w:val="000000"/>
                <w:sz w:val="20"/>
                <w:szCs w:val="20"/>
              </w:rPr>
              <w:t>. Exerceu a presidência do Sistema FIEMG – Federação das Indústrias do Estado de Minas Gerais; gestão 2002/2006 e 2006/2010. Membro do Conselho de Desenvolvimento Econômico e Social do Estado de Minas Gerais. Membro do Conselho Consultivo do Setor Privado (CONEX) da CAMEX. Participou do Programa de Gestão Estratégica para Dirigentes Empresariais pela Fundação Dom Cabral e INSEAD / França (1999).</w:t>
            </w:r>
          </w:p>
          <w:p w:rsidR="00AE55C1" w:rsidRPr="00966B19" w:rsidRDefault="00AE55C1" w:rsidP="003E7B44">
            <w:pPr>
              <w:pStyle w:val="NormalWeb"/>
              <w:spacing w:before="0" w:beforeAutospacing="0" w:after="240" w:afterAutospacing="0"/>
              <w:jc w:val="both"/>
              <w:cnfStyle w:val="000000010000"/>
              <w:rPr>
                <w:sz w:val="20"/>
                <w:szCs w:val="20"/>
              </w:rPr>
            </w:pPr>
            <w:r w:rsidRPr="00966B19">
              <w:rPr>
                <w:b/>
                <w:sz w:val="20"/>
                <w:szCs w:val="20"/>
              </w:rPr>
              <w:t>Período: desde 06/09/2010 e de 13/02/2003 a 25/08/2009</w:t>
            </w:r>
          </w:p>
        </w:tc>
        <w:tc>
          <w:tcPr>
            <w:tcW w:w="953" w:type="pct"/>
          </w:tcPr>
          <w:p w:rsidR="00AE55C1" w:rsidRPr="00966B19" w:rsidRDefault="00AE55C1" w:rsidP="00AE55C1">
            <w:pPr>
              <w:pStyle w:val="NormalWeb"/>
              <w:spacing w:before="0" w:beforeAutospacing="0" w:after="0" w:afterAutospacing="0"/>
              <w:jc w:val="center"/>
              <w:cnfStyle w:val="000000010000"/>
              <w:rPr>
                <w:sz w:val="20"/>
                <w:szCs w:val="20"/>
              </w:rPr>
            </w:pPr>
            <w:r w:rsidRPr="00966B19">
              <w:rPr>
                <w:sz w:val="20"/>
                <w:szCs w:val="20"/>
              </w:rPr>
              <w:t xml:space="preserve">Indústria com atuação em diversos setores. </w:t>
            </w:r>
            <w:r w:rsidRPr="00966B19">
              <w:rPr>
                <w:color w:val="000000"/>
                <w:sz w:val="20"/>
                <w:szCs w:val="20"/>
              </w:rPr>
              <w:t xml:space="preserve">Vinculações com o Estado restrito. </w:t>
            </w:r>
            <w:r w:rsidRPr="00966B19">
              <w:rPr>
                <w:sz w:val="20"/>
                <w:szCs w:val="20"/>
              </w:rPr>
              <w:t>Associações corporativas e setoriais.</w:t>
            </w:r>
          </w:p>
          <w:p w:rsidR="00AE55C1" w:rsidRPr="00966B19" w:rsidRDefault="00AE55C1" w:rsidP="00AE55C1">
            <w:pPr>
              <w:pStyle w:val="NormalWeb"/>
              <w:spacing w:before="0" w:beforeAutospacing="0" w:after="0" w:afterAutospacing="0"/>
              <w:jc w:val="center"/>
              <w:cnfStyle w:val="000000010000"/>
              <w:rPr>
                <w:sz w:val="20"/>
                <w:szCs w:val="20"/>
              </w:rPr>
            </w:pP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45) Rodrigo Loures</w:t>
            </w:r>
          </w:p>
        </w:tc>
        <w:tc>
          <w:tcPr>
            <w:tcW w:w="3048" w:type="pct"/>
          </w:tcPr>
          <w:p w:rsidR="00AE55C1" w:rsidRPr="00966B19" w:rsidRDefault="00AE55C1" w:rsidP="00AE55C1">
            <w:pPr>
              <w:spacing w:after="0"/>
              <w:jc w:val="both"/>
              <w:cnfStyle w:val="000000100000"/>
              <w:rPr>
                <w:rFonts w:ascii="Times New Roman" w:hAnsi="Times New Roman"/>
                <w:color w:val="000000"/>
                <w:sz w:val="20"/>
                <w:szCs w:val="20"/>
              </w:rPr>
            </w:pPr>
            <w:r w:rsidRPr="00966B19">
              <w:rPr>
                <w:rFonts w:ascii="Times New Roman" w:hAnsi="Times New Roman"/>
                <w:color w:val="000000"/>
                <w:sz w:val="20"/>
                <w:szCs w:val="20"/>
              </w:rPr>
              <w:t xml:space="preserve">Em 1968, fundou a Nutrimental, indústria do segmento alimentício. Presidente da Federação de Indústrias do Estado do Paraná (FIEPR). Vice-presidente da CNI; Presidente do Conselho Deliberativo do Instituto Brasileiro de Qualidade e Produtividade - IBQP e vice-presidente da PROTEC - Sociedade Brasileira Pró-Inovação Tecnológica. Integra o CCT - Conselho Nacional de Ciência e Tecnologia da Presidência da República, o Conselho Diretor do Fundo Nacional de Desenvolvimento Científico e Tecnológico - FNDCT, do MCT, o Conselho Nacional do SESI-SENAI, o Fórum Nacional da Indústria e representa a CNI </w:t>
            </w:r>
            <w:r w:rsidRPr="00966B19">
              <w:rPr>
                <w:rFonts w:ascii="Times New Roman" w:hAnsi="Times New Roman"/>
                <w:sz w:val="20"/>
                <w:szCs w:val="20"/>
              </w:rPr>
              <w:t>no Conselho Deliberativo da ABDI -</w:t>
            </w:r>
            <w:r w:rsidRPr="00966B19">
              <w:rPr>
                <w:rFonts w:ascii="Times New Roman" w:hAnsi="Times New Roman"/>
                <w:color w:val="000000"/>
                <w:sz w:val="20"/>
                <w:szCs w:val="20"/>
              </w:rPr>
              <w:t xml:space="preserve"> Agência Brasileira de Desenvolvimento Industrial (MDIC). É conselheiro consultivo da ANPROTEC - Associação Nacional de Entidades Promotoras de Empreendimentos Inovadores e membro do Conselho Deliberativo do SEBRAE-PR, da Associação do Comércio Exterior do Brasil - AEB, do Comitê Gestor do Fundo Verde-Amarelo (MCT), da FBDS - Fundação Brasileira do Desenvolvimento Sustentável, da WBA - World Business Academy, do IONS - Institute Of Noetic Sciences, da SOL - Society for Organizacional Learning e do Instituto ETHOS. Presidente Conselho Superior de Inovação e Competitividade (CONIC) da FIESP.</w:t>
            </w:r>
          </w:p>
          <w:p w:rsidR="00AE55C1" w:rsidRPr="00966B19" w:rsidRDefault="00AE55C1" w:rsidP="00AE55C1">
            <w:pPr>
              <w:jc w:val="both"/>
              <w:cnfStyle w:val="000000100000"/>
              <w:rPr>
                <w:rFonts w:ascii="Times New Roman" w:hAnsi="Times New Roman"/>
                <w:b/>
                <w:color w:val="000000"/>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desde 13/02/2003</w:t>
            </w:r>
          </w:p>
        </w:tc>
        <w:tc>
          <w:tcPr>
            <w:tcW w:w="953" w:type="pct"/>
          </w:tcPr>
          <w:p w:rsidR="00AE55C1" w:rsidRPr="00966B19" w:rsidRDefault="00AE55C1" w:rsidP="00AE55C1">
            <w:pPr>
              <w:jc w:val="center"/>
              <w:cnfStyle w:val="000000100000"/>
              <w:rPr>
                <w:rFonts w:ascii="Times New Roman" w:hAnsi="Times New Roman"/>
                <w:sz w:val="20"/>
                <w:szCs w:val="20"/>
              </w:rPr>
            </w:pPr>
            <w:r w:rsidRPr="00966B19">
              <w:rPr>
                <w:rFonts w:ascii="Times New Roman" w:hAnsi="Times New Roman"/>
                <w:sz w:val="20"/>
                <w:szCs w:val="20"/>
              </w:rPr>
              <w:t xml:space="preserve">Indústria alimentícia. </w:t>
            </w:r>
            <w:r w:rsidRPr="00966B19">
              <w:rPr>
                <w:rFonts w:ascii="Times New Roman" w:hAnsi="Times New Roman"/>
                <w:color w:val="000000"/>
                <w:sz w:val="20"/>
                <w:szCs w:val="20"/>
              </w:rPr>
              <w:t>Vinculações com o Estado restrito.</w:t>
            </w:r>
            <w:r w:rsidRPr="00966B19">
              <w:rPr>
                <w:rFonts w:ascii="Times New Roman" w:hAnsi="Times New Roman"/>
                <w:sz w:val="20"/>
                <w:szCs w:val="20"/>
              </w:rPr>
              <w:t xml:space="preserve"> Associações corporativas, setoriais e societais.</w:t>
            </w:r>
          </w:p>
          <w:p w:rsidR="00AE55C1" w:rsidRPr="00966B19" w:rsidRDefault="00AE55C1" w:rsidP="00AE55C1">
            <w:pPr>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46) Roger Agnelli</w:t>
            </w:r>
          </w:p>
        </w:tc>
        <w:tc>
          <w:tcPr>
            <w:tcW w:w="3048" w:type="pct"/>
          </w:tcPr>
          <w:p w:rsidR="00AE55C1" w:rsidRPr="00966B19" w:rsidRDefault="00AE55C1" w:rsidP="00AE55C1">
            <w:pPr>
              <w:spacing w:before="100" w:beforeAutospacing="1" w:after="0"/>
              <w:jc w:val="both"/>
              <w:cnfStyle w:val="000000010000"/>
              <w:rPr>
                <w:rFonts w:ascii="Times New Roman" w:hAnsi="Times New Roman"/>
                <w:color w:val="000000"/>
                <w:sz w:val="20"/>
                <w:szCs w:val="20"/>
              </w:rPr>
            </w:pPr>
            <w:r w:rsidRPr="00966B19">
              <w:rPr>
                <w:rFonts w:ascii="Times New Roman" w:hAnsi="Times New Roman"/>
                <w:color w:val="000000"/>
                <w:sz w:val="20"/>
                <w:szCs w:val="20"/>
              </w:rPr>
              <w:t xml:space="preserve">Presidente da Cia Vale do Rio Doce (CVRD). Trabalhou entre 1981 e 2001 no grupo Bradesco, tendo sido Diretor Executivo do Banco Bradesco de </w:t>
            </w:r>
            <w:smartTag w:uri="urn:schemas-microsoft-com:office:smarttags" w:element="metricconverter">
              <w:smartTagPr>
                <w:attr w:name="ProductID" w:val="1998 a"/>
              </w:smartTagPr>
              <w:r w:rsidRPr="00966B19">
                <w:rPr>
                  <w:rFonts w:ascii="Times New Roman" w:hAnsi="Times New Roman"/>
                  <w:color w:val="000000"/>
                  <w:sz w:val="20"/>
                  <w:szCs w:val="20"/>
                </w:rPr>
                <w:t>1998 a</w:t>
              </w:r>
            </w:smartTag>
            <w:r w:rsidRPr="00966B19">
              <w:rPr>
                <w:rFonts w:ascii="Times New Roman" w:hAnsi="Times New Roman"/>
                <w:color w:val="000000"/>
                <w:sz w:val="20"/>
                <w:szCs w:val="20"/>
              </w:rPr>
              <w:t xml:space="preserve"> 2000 e Diretor Presidente da Bradespar S.A. de </w:t>
            </w:r>
            <w:smartTag w:uri="urn:schemas-microsoft-com:office:smarttags" w:element="metricconverter">
              <w:smartTagPr>
                <w:attr w:name="ProductID" w:val="2000 a"/>
              </w:smartTagPr>
              <w:r w:rsidRPr="00966B19">
                <w:rPr>
                  <w:rFonts w:ascii="Times New Roman" w:hAnsi="Times New Roman"/>
                  <w:color w:val="000000"/>
                  <w:sz w:val="20"/>
                  <w:szCs w:val="20"/>
                </w:rPr>
                <w:t>2000 a</w:t>
              </w:r>
            </w:smartTag>
            <w:r w:rsidRPr="00966B19">
              <w:rPr>
                <w:rFonts w:ascii="Times New Roman" w:hAnsi="Times New Roman"/>
                <w:color w:val="000000"/>
                <w:sz w:val="20"/>
                <w:szCs w:val="20"/>
              </w:rPr>
              <w:t xml:space="preserve"> 2001. Foi Presidente do C. A. da CVRD, membro dos C.As. da Valepar S.A., Companhia Paulista de Força e Luz, Companhia Siderúrgica Nacional, Latas de Alumínio S.A. - LATASA, VBC Energia S.A., Brasmotor S.A., Mahle Metal Leve S.A., Rio Grande Energia S.A. e Serra da Mesa Energia S.A., Diretor da UGB Participações S.A. e Vice-Presidente da ANDIB - Associação Nacional dos Bancos de Investimento. Atualmente, é também membro do Conselho de Administração da ABB - Asea Brown Boveri e Presidente do Comitê de Cooperação Empresarial - CCE, da FGV. Diretor da Associação Parceria Contra as Drogas. Membro do </w:t>
            </w:r>
            <w:r w:rsidRPr="00966B19">
              <w:rPr>
                <w:rFonts w:ascii="Times New Roman" w:hAnsi="Times New Roman"/>
                <w:sz w:val="20"/>
                <w:szCs w:val="20"/>
              </w:rPr>
              <w:t xml:space="preserve">Conselho Empresarial Brasileiro para o Desenvolvimento Sustentável. Membro do Conselho Superior Estratégico da FIESP. Membro do Conselho do IEDI. Membro do </w:t>
            </w:r>
            <w:r w:rsidRPr="00966B19">
              <w:rPr>
                <w:rFonts w:ascii="Times New Roman" w:hAnsi="Times New Roman"/>
                <w:color w:val="000000"/>
                <w:sz w:val="20"/>
                <w:szCs w:val="20"/>
              </w:rPr>
              <w:t>Conselho Consultivo do Setor Privado (CONEX) da CAMEX.</w:t>
            </w:r>
          </w:p>
          <w:p w:rsidR="00AE55C1" w:rsidRPr="00966B19" w:rsidRDefault="00AE55C1" w:rsidP="00AE55C1">
            <w:pPr>
              <w:pStyle w:val="NormalWeb"/>
              <w:spacing w:before="0" w:beforeAutospacing="0"/>
              <w:jc w:val="both"/>
              <w:cnfStyle w:val="000000010000"/>
              <w:rPr>
                <w:color w:val="000000"/>
                <w:sz w:val="20"/>
                <w:szCs w:val="20"/>
              </w:rPr>
            </w:pPr>
            <w:r w:rsidRPr="00966B19">
              <w:rPr>
                <w:b/>
                <w:color w:val="000000"/>
                <w:sz w:val="20"/>
                <w:szCs w:val="20"/>
              </w:rPr>
              <w:t xml:space="preserve">Período: </w:t>
            </w:r>
            <w:r w:rsidRPr="00966B19">
              <w:rPr>
                <w:b/>
                <w:sz w:val="20"/>
                <w:szCs w:val="20"/>
              </w:rPr>
              <w:t>de 13/02/2003 a 13/05/2007</w:t>
            </w:r>
          </w:p>
        </w:tc>
        <w:tc>
          <w:tcPr>
            <w:tcW w:w="953"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 xml:space="preserve">Setor de energia elétrica, metalurgia, mineração e siderurgia. Setor Financeiro/Bancário. </w:t>
            </w:r>
          </w:p>
          <w:p w:rsidR="00AE55C1" w:rsidRPr="00966B19" w:rsidRDefault="00AE55C1" w:rsidP="003E7B44">
            <w:pPr>
              <w:spacing w:after="0"/>
              <w:jc w:val="center"/>
              <w:cnfStyle w:val="000000010000"/>
              <w:rPr>
                <w:rFonts w:ascii="Times New Roman" w:hAnsi="Times New Roman"/>
                <w:sz w:val="20"/>
                <w:szCs w:val="20"/>
              </w:rPr>
            </w:pPr>
            <w:r w:rsidRPr="00966B19">
              <w:rPr>
                <w:rFonts w:ascii="Times New Roman" w:hAnsi="Times New Roman"/>
                <w:sz w:val="20"/>
                <w:szCs w:val="20"/>
              </w:rPr>
              <w:t>Vinculações com o Estado restrito. Associações corporativas, setoriais e societais.</w:t>
            </w:r>
          </w:p>
          <w:p w:rsidR="00AE55C1" w:rsidRPr="00966B19" w:rsidRDefault="00AE55C1" w:rsidP="00AE55C1">
            <w:pPr>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47) Sérgio Haberfeld</w:t>
            </w:r>
          </w:p>
        </w:tc>
        <w:tc>
          <w:tcPr>
            <w:tcW w:w="3048" w:type="pct"/>
          </w:tcPr>
          <w:p w:rsidR="00AE55C1" w:rsidRPr="00966B19" w:rsidRDefault="00AE55C1" w:rsidP="00AE55C1">
            <w:pPr>
              <w:spacing w:after="0"/>
              <w:jc w:val="both"/>
              <w:cnfStyle w:val="000000100000"/>
              <w:rPr>
                <w:rFonts w:ascii="Times New Roman" w:hAnsi="Times New Roman"/>
                <w:color w:val="000000"/>
                <w:sz w:val="20"/>
                <w:szCs w:val="20"/>
              </w:rPr>
            </w:pPr>
            <w:r w:rsidRPr="00966B19">
              <w:rPr>
                <w:rFonts w:ascii="Times New Roman" w:hAnsi="Times New Roman"/>
                <w:color w:val="000000"/>
                <w:sz w:val="20"/>
                <w:szCs w:val="20"/>
              </w:rPr>
              <w:t>Presidente do Grupo Dixier Toga S.A. Atua também em diversas instituições: Presidente da WPO - World Packaging Association. Presidente da ABIEF - Associação Brasileira das Indústrias de Embalagens Plásticas Flexíveis; Presidente do SEPACO - Hospital do Setor Papeleiro e de Embalagem; Membro do Conselho da FIESP; Membro do Conselho do IEDI; Membro do Conselho de Política Econômica da CNI - Confederação Nacional das Indústrias; Presidente do Comitê ALCA da AMCHAM - Câmara Americana de Comércio São Paulo; Em 21/02/03, assumirá a Presidência do Conselho de Administração da AMCHAM - Câmara Americana de Comércio São Paulo.</w:t>
            </w:r>
          </w:p>
          <w:p w:rsidR="00AE55C1" w:rsidRPr="00966B19" w:rsidRDefault="00AE55C1" w:rsidP="00AE55C1">
            <w:pPr>
              <w:jc w:val="both"/>
              <w:cnfStyle w:val="000000100000"/>
              <w:rPr>
                <w:rFonts w:ascii="Times New Roman" w:hAnsi="Times New Roman"/>
                <w:b/>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 13/02/2003 a 14/02/2005</w:t>
            </w:r>
          </w:p>
        </w:tc>
        <w:tc>
          <w:tcPr>
            <w:tcW w:w="953" w:type="pct"/>
          </w:tcPr>
          <w:p w:rsidR="00AE55C1" w:rsidRPr="00966B19" w:rsidRDefault="00AE55C1" w:rsidP="00AE55C1">
            <w:pPr>
              <w:jc w:val="center"/>
              <w:cnfStyle w:val="000000100000"/>
              <w:rPr>
                <w:rFonts w:ascii="Times New Roman" w:hAnsi="Times New Roman"/>
                <w:sz w:val="20"/>
                <w:szCs w:val="20"/>
              </w:rPr>
            </w:pPr>
            <w:r w:rsidRPr="00966B19">
              <w:rPr>
                <w:rFonts w:ascii="Times New Roman" w:hAnsi="Times New Roman"/>
                <w:sz w:val="20"/>
                <w:szCs w:val="20"/>
              </w:rPr>
              <w:t>Indústria de embalagens. Associações corporativas e setoriais.</w:t>
            </w:r>
          </w:p>
          <w:p w:rsidR="00AE55C1" w:rsidRPr="00966B19" w:rsidRDefault="00AE55C1" w:rsidP="00AE55C1">
            <w:pPr>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48) Viviane Senna</w:t>
            </w:r>
          </w:p>
        </w:tc>
        <w:tc>
          <w:tcPr>
            <w:tcW w:w="3048" w:type="pct"/>
          </w:tcPr>
          <w:p w:rsidR="00AE55C1" w:rsidRPr="00966B19" w:rsidRDefault="00AE55C1" w:rsidP="00AE55C1">
            <w:pPr>
              <w:tabs>
                <w:tab w:val="left" w:pos="4724"/>
              </w:tabs>
              <w:spacing w:after="0"/>
              <w:jc w:val="both"/>
              <w:cnfStyle w:val="000000010000"/>
              <w:rPr>
                <w:rFonts w:ascii="Times New Roman" w:hAnsi="Times New Roman"/>
                <w:sz w:val="20"/>
                <w:szCs w:val="20"/>
              </w:rPr>
            </w:pPr>
            <w:r w:rsidRPr="00966B19">
              <w:rPr>
                <w:rFonts w:ascii="Times New Roman" w:hAnsi="Times New Roman"/>
                <w:sz w:val="20"/>
                <w:szCs w:val="20"/>
              </w:rPr>
              <w:t>Fundadora e Presidente do Instituto Ayrton Senna. Membro dos Conselhos Consultivos da Febraban e Citibank Brasil; Conselho de Educação da CNI e FIESP; Conselhos dos Institutos Coca-Cola, Energias do Brasil (EDP), da Associação de Dirigentes de Vendas e Marketing do Brasil (ADVB). Membro do Conselho de Governança e Fundadora do Movimento Todos pela Educação; Comitês de orientação e investimentos sociais dos bancos Itaú e Unibanco. Nomeada um dos Líderes para o Novo Milênio (CNN/Revista Time).</w:t>
            </w:r>
          </w:p>
          <w:p w:rsidR="00AE55C1" w:rsidRPr="00966B19" w:rsidRDefault="00AE55C1" w:rsidP="00AE55C1">
            <w:pPr>
              <w:tabs>
                <w:tab w:val="left" w:pos="4724"/>
              </w:tabs>
              <w:jc w:val="both"/>
              <w:cnfStyle w:val="000000010000"/>
              <w:rPr>
                <w:rFonts w:ascii="Times New Roman" w:hAnsi="Times New Roman"/>
                <w:sz w:val="20"/>
                <w:szCs w:val="20"/>
              </w:rPr>
            </w:pPr>
            <w:r w:rsidRPr="00966B19">
              <w:rPr>
                <w:rFonts w:ascii="Times New Roman" w:hAnsi="Times New Roman"/>
                <w:b/>
                <w:color w:val="000000"/>
                <w:sz w:val="20"/>
                <w:szCs w:val="20"/>
              </w:rPr>
              <w:t xml:space="preserve">Período: </w:t>
            </w:r>
            <w:r w:rsidRPr="00966B19">
              <w:rPr>
                <w:rFonts w:ascii="Times New Roman" w:hAnsi="Times New Roman"/>
                <w:b/>
                <w:sz w:val="20"/>
                <w:szCs w:val="20"/>
              </w:rPr>
              <w:t>desde 13/02/2003</w:t>
            </w:r>
          </w:p>
        </w:tc>
        <w:tc>
          <w:tcPr>
            <w:tcW w:w="953"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Setor Financeiro/Bancário e Industrial. Associações corporativas, setoriais e societais.</w:t>
            </w: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49) Waldemar Verdi Junior</w:t>
            </w:r>
          </w:p>
        </w:tc>
        <w:tc>
          <w:tcPr>
            <w:tcW w:w="3048" w:type="pct"/>
          </w:tcPr>
          <w:p w:rsidR="00AE55C1" w:rsidRPr="00966B19" w:rsidRDefault="00AE55C1" w:rsidP="00AE55C1">
            <w:pPr>
              <w:spacing w:after="0"/>
              <w:jc w:val="both"/>
              <w:cnfStyle w:val="000000100000"/>
              <w:rPr>
                <w:rFonts w:ascii="Times New Roman" w:hAnsi="Times New Roman"/>
                <w:color w:val="000000"/>
                <w:sz w:val="20"/>
                <w:szCs w:val="20"/>
              </w:rPr>
            </w:pPr>
            <w:r w:rsidRPr="00966B19">
              <w:rPr>
                <w:rFonts w:ascii="Times New Roman" w:hAnsi="Times New Roman"/>
                <w:color w:val="000000"/>
                <w:sz w:val="20"/>
                <w:szCs w:val="20"/>
              </w:rPr>
              <w:t xml:space="preserve">Vice-Presidente da </w:t>
            </w:r>
            <w:r w:rsidRPr="00966B19">
              <w:rPr>
                <w:rFonts w:ascii="Times New Roman" w:hAnsi="Times New Roman"/>
                <w:sz w:val="20"/>
                <w:szCs w:val="20"/>
              </w:rPr>
              <w:t xml:space="preserve">Federação Nacional da Distribuição de Veículos Automotores – FENABRAVE. </w:t>
            </w:r>
            <w:r w:rsidRPr="00966B19">
              <w:rPr>
                <w:rFonts w:ascii="Times New Roman" w:hAnsi="Times New Roman"/>
                <w:color w:val="000000"/>
                <w:sz w:val="20"/>
                <w:szCs w:val="20"/>
              </w:rPr>
              <w:t>Representação Social: Vice-Presidente do Conselho de Acionistas do Grupo Verdi - GV Holding S/A, que atua no setor de distribuição de veículos, consórcios, seguros, instituições financeiras, importação de automóveis, gás natural, construção civil. Membro do C. A. do Banco Dibens S/A; Foi Presidente da ASSOBENS - Associação Brasileira dos Distribuidores Mercedes-Benz. Diretor da ABRAD - Associação Brasileira das Administradoras de Consórcio dos Distribuidores de Veículos Automotores. Presidente dos Conselhos Diretor e Deliberativo. Membro do Conselho Superior Estratégico da FIESP.</w:t>
            </w:r>
          </w:p>
          <w:p w:rsidR="00AE55C1" w:rsidRPr="00966B19" w:rsidRDefault="00AE55C1" w:rsidP="00AE55C1">
            <w:pPr>
              <w:cnfStyle w:val="000000100000"/>
              <w:rPr>
                <w:rFonts w:ascii="Times New Roman" w:hAnsi="Times New Roman"/>
                <w:color w:val="000000"/>
                <w:sz w:val="20"/>
                <w:szCs w:val="20"/>
              </w:rPr>
            </w:pPr>
            <w:r w:rsidRPr="00966B19">
              <w:rPr>
                <w:rFonts w:ascii="Times New Roman" w:hAnsi="Times New Roman"/>
                <w:b/>
                <w:sz w:val="20"/>
                <w:szCs w:val="20"/>
              </w:rPr>
              <w:t>Periodo: de 13/02/2003 a 13/05/2007</w:t>
            </w:r>
          </w:p>
        </w:tc>
        <w:tc>
          <w:tcPr>
            <w:tcW w:w="953" w:type="pct"/>
          </w:tcPr>
          <w:p w:rsidR="00AE55C1" w:rsidRPr="00966B19" w:rsidRDefault="00AE55C1" w:rsidP="00AE55C1">
            <w:pPr>
              <w:jc w:val="center"/>
              <w:cnfStyle w:val="000000100000"/>
              <w:rPr>
                <w:rFonts w:ascii="Times New Roman" w:hAnsi="Times New Roman"/>
                <w:sz w:val="20"/>
                <w:szCs w:val="20"/>
              </w:rPr>
            </w:pPr>
            <w:r w:rsidRPr="00966B19">
              <w:rPr>
                <w:rFonts w:ascii="Times New Roman" w:hAnsi="Times New Roman"/>
                <w:sz w:val="20"/>
                <w:szCs w:val="20"/>
              </w:rPr>
              <w:t>Fenabrave: Fabricação de Veículos. GV Holding: diversos ramos econômicos. Setor Financeiro. Associações corporativas e setoriais.</w:t>
            </w:r>
          </w:p>
          <w:p w:rsidR="00AE55C1" w:rsidRPr="00966B19" w:rsidRDefault="00AE55C1" w:rsidP="00AE55C1">
            <w:pPr>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rPr>
                <w:rFonts w:ascii="Times New Roman" w:hAnsi="Times New Roman"/>
                <w:sz w:val="20"/>
                <w:szCs w:val="20"/>
              </w:rPr>
            </w:pPr>
            <w:r w:rsidRPr="00966B19">
              <w:rPr>
                <w:rFonts w:ascii="Times New Roman" w:hAnsi="Times New Roman"/>
                <w:sz w:val="20"/>
                <w:szCs w:val="20"/>
              </w:rPr>
              <w:t>Total</w:t>
            </w:r>
          </w:p>
        </w:tc>
        <w:tc>
          <w:tcPr>
            <w:tcW w:w="3048" w:type="pct"/>
          </w:tcPr>
          <w:p w:rsidR="00AE55C1" w:rsidRPr="00966B19" w:rsidRDefault="003E7B44" w:rsidP="00AE55C1">
            <w:pPr>
              <w:pStyle w:val="DecimalAligned"/>
              <w:tabs>
                <w:tab w:val="clear" w:pos="360"/>
                <w:tab w:val="decimal" w:pos="32"/>
              </w:tabs>
              <w:spacing w:after="0" w:line="240" w:lineRule="auto"/>
              <w:jc w:val="both"/>
              <w:cnfStyle w:val="000000010000"/>
              <w:rPr>
                <w:rFonts w:ascii="Times New Roman" w:hAnsi="Times New Roman"/>
                <w:sz w:val="20"/>
                <w:szCs w:val="20"/>
              </w:rPr>
            </w:pPr>
            <w:r>
              <w:rPr>
                <w:rFonts w:ascii="Times New Roman" w:hAnsi="Times New Roman"/>
                <w:sz w:val="20"/>
                <w:szCs w:val="20"/>
              </w:rPr>
              <w:t>49 Conselheiros-</w:t>
            </w:r>
            <w:r w:rsidR="00AE55C1" w:rsidRPr="00966B19">
              <w:rPr>
                <w:rFonts w:ascii="Times New Roman" w:hAnsi="Times New Roman"/>
                <w:sz w:val="20"/>
                <w:szCs w:val="20"/>
              </w:rPr>
              <w:t>Empresários</w:t>
            </w:r>
          </w:p>
        </w:tc>
        <w:tc>
          <w:tcPr>
            <w:tcW w:w="953" w:type="pct"/>
          </w:tcPr>
          <w:p w:rsidR="00AE55C1" w:rsidRPr="00966B19" w:rsidRDefault="00AE55C1" w:rsidP="00AE55C1">
            <w:pPr>
              <w:pStyle w:val="DecimalAligned"/>
              <w:spacing w:after="0"/>
              <w:jc w:val="center"/>
              <w:cnfStyle w:val="000000010000"/>
              <w:rPr>
                <w:rFonts w:ascii="Times New Roman" w:hAnsi="Times New Roman"/>
                <w:sz w:val="20"/>
                <w:szCs w:val="20"/>
              </w:rPr>
            </w:pPr>
          </w:p>
        </w:tc>
      </w:tr>
    </w:tbl>
    <w:p w:rsidR="00AE55C1" w:rsidRPr="00966B19" w:rsidRDefault="00AE55C1" w:rsidP="00AE55C1">
      <w:pPr>
        <w:pStyle w:val="Textodenotaderodap"/>
        <w:ind w:left="-851"/>
        <w:rPr>
          <w:rFonts w:ascii="Times New Roman" w:hAnsi="Times New Roman"/>
          <w:b/>
        </w:rPr>
      </w:pPr>
    </w:p>
    <w:p w:rsidR="00AE55C1" w:rsidRPr="00966B19" w:rsidRDefault="00AE55C1" w:rsidP="00AE55C1">
      <w:pPr>
        <w:rPr>
          <w:rFonts w:ascii="Times New Roman" w:hAnsi="Times New Roman"/>
          <w:sz w:val="20"/>
          <w:szCs w:val="20"/>
        </w:rPr>
      </w:pPr>
    </w:p>
    <w:p w:rsidR="00A87CE6" w:rsidRPr="00A87CE6" w:rsidRDefault="00A87CE6" w:rsidP="00A87CE6">
      <w:pPr>
        <w:spacing w:line="240" w:lineRule="auto"/>
        <w:jc w:val="center"/>
        <w:rPr>
          <w:rFonts w:ascii="Times New Roman" w:hAnsi="Times New Roman"/>
          <w:b/>
          <w:sz w:val="24"/>
          <w:szCs w:val="24"/>
        </w:rPr>
      </w:pPr>
      <w:r>
        <w:rPr>
          <w:rFonts w:ascii="Times New Roman" w:hAnsi="Times New Roman"/>
          <w:b/>
          <w:sz w:val="24"/>
          <w:szCs w:val="24"/>
        </w:rPr>
        <w:t>Presença do Empresariado (e de seus Prepostos) no Conselho de Desenvolvimento Econômico e Social (</w:t>
      </w:r>
      <w:r w:rsidR="004A0803">
        <w:rPr>
          <w:rFonts w:ascii="Times New Roman" w:hAnsi="Times New Roman"/>
          <w:b/>
          <w:sz w:val="24"/>
          <w:szCs w:val="24"/>
        </w:rPr>
        <w:t>ingresso</w:t>
      </w:r>
      <w:r w:rsidR="003E7B44">
        <w:rPr>
          <w:rFonts w:ascii="Times New Roman" w:hAnsi="Times New Roman"/>
          <w:b/>
          <w:sz w:val="24"/>
          <w:szCs w:val="24"/>
        </w:rPr>
        <w:t>s</w:t>
      </w:r>
      <w:r w:rsidR="004A0803">
        <w:rPr>
          <w:rFonts w:ascii="Times New Roman" w:hAnsi="Times New Roman"/>
          <w:b/>
          <w:sz w:val="24"/>
          <w:szCs w:val="24"/>
        </w:rPr>
        <w:t xml:space="preserve"> em </w:t>
      </w:r>
      <w:r>
        <w:rPr>
          <w:rFonts w:ascii="Times New Roman" w:hAnsi="Times New Roman"/>
          <w:b/>
          <w:sz w:val="24"/>
          <w:szCs w:val="24"/>
        </w:rPr>
        <w:t>2004)</w:t>
      </w:r>
    </w:p>
    <w:p w:rsidR="00AE55C1" w:rsidRPr="00966B19" w:rsidRDefault="00AE55C1" w:rsidP="00AE55C1">
      <w:pPr>
        <w:rPr>
          <w:rFonts w:ascii="Times New Roman" w:hAnsi="Times New Roman"/>
          <w:sz w:val="20"/>
          <w:szCs w:val="20"/>
        </w:rPr>
      </w:pPr>
    </w:p>
    <w:tbl>
      <w:tblPr>
        <w:tblStyle w:val="GradeClara-nfase11"/>
        <w:tblW w:w="5234" w:type="pct"/>
        <w:tblInd w:w="-459" w:type="dxa"/>
        <w:tblLayout w:type="fixed"/>
        <w:tblLook w:val="04A0"/>
      </w:tblPr>
      <w:tblGrid>
        <w:gridCol w:w="2977"/>
        <w:gridCol w:w="9073"/>
        <w:gridCol w:w="2834"/>
      </w:tblGrid>
      <w:tr w:rsidR="00AE55C1" w:rsidRPr="00966B19" w:rsidTr="00E776C4">
        <w:trPr>
          <w:cnfStyle w:val="100000000000"/>
        </w:trPr>
        <w:tc>
          <w:tcPr>
            <w:cnfStyle w:val="001000000000"/>
            <w:tcW w:w="1000" w:type="pct"/>
          </w:tcPr>
          <w:p w:rsidR="00AE55C1" w:rsidRPr="00966B19" w:rsidRDefault="00AE55C1" w:rsidP="00AE55C1">
            <w:pPr>
              <w:rPr>
                <w:rFonts w:ascii="Times New Roman" w:hAnsi="Times New Roman"/>
                <w:sz w:val="20"/>
                <w:szCs w:val="20"/>
              </w:rPr>
            </w:pPr>
            <w:r w:rsidRPr="00966B19">
              <w:rPr>
                <w:rFonts w:ascii="Times New Roman" w:hAnsi="Times New Roman"/>
                <w:sz w:val="20"/>
                <w:szCs w:val="20"/>
              </w:rPr>
              <w:t>Conselheiros-Empresários</w:t>
            </w:r>
          </w:p>
        </w:tc>
        <w:tc>
          <w:tcPr>
            <w:tcW w:w="3048" w:type="pct"/>
          </w:tcPr>
          <w:p w:rsidR="00AE55C1" w:rsidRPr="00966B19" w:rsidRDefault="00AE55C1" w:rsidP="00AE55C1">
            <w:pPr>
              <w:jc w:val="both"/>
              <w:cnfStyle w:val="100000000000"/>
              <w:rPr>
                <w:rFonts w:ascii="Times New Roman" w:hAnsi="Times New Roman"/>
                <w:sz w:val="20"/>
                <w:szCs w:val="20"/>
              </w:rPr>
            </w:pPr>
            <w:r w:rsidRPr="00966B19">
              <w:rPr>
                <w:rFonts w:ascii="Times New Roman" w:hAnsi="Times New Roman"/>
                <w:sz w:val="20"/>
                <w:szCs w:val="20"/>
              </w:rPr>
              <w:t>Trajetórias e Vinculações</w:t>
            </w:r>
          </w:p>
        </w:tc>
        <w:tc>
          <w:tcPr>
            <w:tcW w:w="952" w:type="pct"/>
          </w:tcPr>
          <w:p w:rsidR="00AE55C1" w:rsidRPr="00966B19" w:rsidRDefault="00AE55C1" w:rsidP="00AE55C1">
            <w:pPr>
              <w:pStyle w:val="DecimalAligned"/>
              <w:tabs>
                <w:tab w:val="clear" w:pos="360"/>
              </w:tabs>
              <w:spacing w:after="0" w:line="240" w:lineRule="auto"/>
              <w:jc w:val="center"/>
              <w:cnfStyle w:val="100000000000"/>
              <w:rPr>
                <w:rFonts w:ascii="Times New Roman" w:hAnsi="Times New Roman"/>
                <w:sz w:val="20"/>
                <w:szCs w:val="20"/>
              </w:rPr>
            </w:pPr>
            <w:r w:rsidRPr="00966B19">
              <w:rPr>
                <w:rFonts w:ascii="Times New Roman" w:hAnsi="Times New Roman"/>
                <w:sz w:val="20"/>
                <w:szCs w:val="20"/>
              </w:rPr>
              <w:t>Atividades Principais e Tipo</w:t>
            </w:r>
            <w:r w:rsidR="004A0803">
              <w:rPr>
                <w:rFonts w:ascii="Times New Roman" w:hAnsi="Times New Roman"/>
                <w:sz w:val="20"/>
                <w:szCs w:val="20"/>
              </w:rPr>
              <w:t>s</w:t>
            </w:r>
            <w:r w:rsidRPr="00966B19">
              <w:rPr>
                <w:rFonts w:ascii="Times New Roman" w:hAnsi="Times New Roman"/>
                <w:sz w:val="20"/>
                <w:szCs w:val="20"/>
              </w:rPr>
              <w:t xml:space="preserve"> de Associações </w:t>
            </w:r>
          </w:p>
        </w:tc>
      </w:tr>
      <w:tr w:rsidR="00AE55C1" w:rsidRPr="00966B19" w:rsidTr="00E776C4">
        <w:trPr>
          <w:cnfStyle w:val="000000100000"/>
        </w:trPr>
        <w:tc>
          <w:tcPr>
            <w:cnfStyle w:val="001000000000"/>
            <w:tcW w:w="1000"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1) Carlos Jereissati Filho</w:t>
            </w:r>
          </w:p>
          <w:p w:rsidR="00AE55C1" w:rsidRPr="00966B19" w:rsidRDefault="00AE55C1" w:rsidP="00AE55C1">
            <w:pPr>
              <w:rPr>
                <w:rFonts w:ascii="Times New Roman" w:hAnsi="Times New Roman"/>
                <w:sz w:val="20"/>
                <w:szCs w:val="20"/>
              </w:rPr>
            </w:pPr>
          </w:p>
        </w:tc>
        <w:tc>
          <w:tcPr>
            <w:tcW w:w="3048" w:type="pct"/>
          </w:tcPr>
          <w:p w:rsidR="00AE55C1" w:rsidRPr="00966B19" w:rsidRDefault="00AE55C1" w:rsidP="00AE55C1">
            <w:pPr>
              <w:pStyle w:val="NormalWeb"/>
              <w:spacing w:after="0" w:afterAutospacing="0"/>
              <w:cnfStyle w:val="000000100000"/>
              <w:rPr>
                <w:sz w:val="20"/>
                <w:szCs w:val="20"/>
              </w:rPr>
            </w:pPr>
            <w:r w:rsidRPr="00966B19">
              <w:rPr>
                <w:sz w:val="20"/>
                <w:szCs w:val="20"/>
              </w:rPr>
              <w:t>Presidente e CEO do Grupo Iguatemi. Desde 1994 atua como diretor superintendente na Iguatemi Empresa de Shopping Centers. Presidente da Associação Brasileira de Shopping Center – ABRASCE. Acionista majoritário da Telemar. Membro do Conselho do IEDI.</w:t>
            </w:r>
          </w:p>
          <w:p w:rsidR="00AE55C1" w:rsidRPr="00966B19" w:rsidRDefault="00AE55C1" w:rsidP="00AE55C1">
            <w:pPr>
              <w:pStyle w:val="NormalWeb"/>
              <w:spacing w:before="0" w:beforeAutospacing="0" w:after="0" w:afterAutospacing="0"/>
              <w:cnfStyle w:val="000000100000"/>
              <w:rPr>
                <w:b/>
                <w:color w:val="FF0000"/>
                <w:sz w:val="20"/>
                <w:szCs w:val="20"/>
              </w:rPr>
            </w:pPr>
            <w:r w:rsidRPr="00966B19">
              <w:rPr>
                <w:rStyle w:val="Forte"/>
                <w:sz w:val="20"/>
                <w:szCs w:val="20"/>
              </w:rPr>
              <w:t>Período:</w:t>
            </w:r>
            <w:r w:rsidRPr="00966B19">
              <w:rPr>
                <w:b/>
                <w:sz w:val="20"/>
                <w:szCs w:val="20"/>
              </w:rPr>
              <w:t xml:space="preserve">de 28/07/2004 a 13/05/2007 </w:t>
            </w:r>
          </w:p>
        </w:tc>
        <w:tc>
          <w:tcPr>
            <w:tcW w:w="952"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 xml:space="preserve">Setor de construção e telecomunicações.  </w:t>
            </w:r>
            <w:r w:rsidRPr="00966B19">
              <w:rPr>
                <w:rFonts w:ascii="Times New Roman" w:hAnsi="Times New Roman"/>
                <w:sz w:val="20"/>
                <w:szCs w:val="20"/>
                <w:lang w:val="en-US"/>
              </w:rPr>
              <w:t xml:space="preserve">Empresa full service em shoppings centers. </w:t>
            </w:r>
            <w:r w:rsidRPr="00966B19">
              <w:rPr>
                <w:rFonts w:ascii="Times New Roman" w:hAnsi="Times New Roman"/>
                <w:sz w:val="20"/>
                <w:szCs w:val="20"/>
              </w:rPr>
              <w:t>Comércio.</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Associação setorial.</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2) Oded Grajew</w:t>
            </w:r>
          </w:p>
        </w:tc>
        <w:tc>
          <w:tcPr>
            <w:tcW w:w="3048" w:type="pct"/>
          </w:tcPr>
          <w:p w:rsidR="00AE55C1" w:rsidRPr="00966B19" w:rsidRDefault="00AE55C1" w:rsidP="00AE55C1">
            <w:pPr>
              <w:pStyle w:val="pleft"/>
              <w:spacing w:after="0" w:afterAutospacing="0"/>
              <w:jc w:val="both"/>
              <w:cnfStyle w:val="000000010000"/>
              <w:rPr>
                <w:sz w:val="20"/>
                <w:szCs w:val="20"/>
              </w:rPr>
            </w:pPr>
            <w:r w:rsidRPr="00966B19">
              <w:rPr>
                <w:sz w:val="20"/>
                <w:szCs w:val="20"/>
              </w:rPr>
              <w:t>Fundador da Grow Jogos e Brinquedos. Participou do grupo fundador e foi o coordenador geral do Pensamento Nacional das Bases Empresariais (PNBE). Foi presidente da Associação Brasileira dos Fabricantes de Brinquedos (Abrinq) e Presidente da Federação Latino-Americana de Fabricantes de Brinquedos. Criou a Fundação Abrinq pelos Direitos da Criança e do Adolescente, da qual foi diretor-presidente até 1998 e, atualmente é membro do Conselho de Administração. Fundou a Cives - Associação Brasileira de Empresários pela Cidadania. Fundador e presidente do Instituto Ethos de Empresas e Responsabilidade Social. É membro do Conselho Consultivo do Global Compact. Foi o idealizador do Fórum Social Mundial. Foi um dos fundadores da ONG Movimento Nossa São Paulo.</w:t>
            </w:r>
          </w:p>
          <w:p w:rsidR="00AE55C1" w:rsidRPr="00966B19" w:rsidRDefault="00AE55C1" w:rsidP="00AE55C1">
            <w:pPr>
              <w:pStyle w:val="pleft"/>
              <w:spacing w:before="0" w:beforeAutospacing="0"/>
              <w:jc w:val="both"/>
              <w:cnfStyle w:val="000000010000"/>
              <w:rPr>
                <w:b/>
                <w:color w:val="000000"/>
                <w:sz w:val="20"/>
                <w:szCs w:val="20"/>
              </w:rPr>
            </w:pPr>
            <w:r w:rsidRPr="00966B19">
              <w:rPr>
                <w:rStyle w:val="Forte"/>
                <w:sz w:val="20"/>
                <w:szCs w:val="20"/>
              </w:rPr>
              <w:t>Período:</w:t>
            </w:r>
            <w:r w:rsidRPr="00966B19">
              <w:rPr>
                <w:b/>
                <w:sz w:val="20"/>
                <w:szCs w:val="20"/>
              </w:rPr>
              <w:t xml:space="preserve"> desde 28/07/2004</w:t>
            </w:r>
          </w:p>
        </w:tc>
        <w:tc>
          <w:tcPr>
            <w:tcW w:w="952" w:type="pct"/>
          </w:tcPr>
          <w:p w:rsidR="00AE55C1" w:rsidRPr="00966B19" w:rsidRDefault="00AE55C1" w:rsidP="00AE55C1">
            <w:pPr>
              <w:jc w:val="center"/>
              <w:cnfStyle w:val="000000010000"/>
              <w:rPr>
                <w:rFonts w:ascii="Times New Roman" w:hAnsi="Times New Roman"/>
                <w:sz w:val="20"/>
                <w:szCs w:val="20"/>
                <w:lang w:val="pt-PT"/>
              </w:rPr>
            </w:pPr>
            <w:r w:rsidRPr="00966B19">
              <w:rPr>
                <w:rFonts w:ascii="Times New Roman" w:hAnsi="Times New Roman"/>
                <w:sz w:val="20"/>
                <w:szCs w:val="20"/>
                <w:lang w:val="pt-PT"/>
              </w:rPr>
              <w:t xml:space="preserve">Fabricante de brinquedos e jogos recreativos. </w:t>
            </w:r>
            <w:r w:rsidRPr="00966B19">
              <w:rPr>
                <w:rFonts w:ascii="Times New Roman" w:hAnsi="Times New Roman"/>
                <w:color w:val="000000"/>
                <w:sz w:val="20"/>
                <w:szCs w:val="20"/>
              </w:rPr>
              <w:t>Vinculações com o Estado restrito.</w:t>
            </w:r>
          </w:p>
          <w:p w:rsidR="00AE55C1" w:rsidRPr="00966B19" w:rsidRDefault="00AE55C1" w:rsidP="00AE55C1">
            <w:pPr>
              <w:jc w:val="center"/>
              <w:cnfStyle w:val="000000010000"/>
              <w:rPr>
                <w:rFonts w:ascii="Times New Roman" w:hAnsi="Times New Roman"/>
                <w:sz w:val="20"/>
                <w:szCs w:val="20"/>
                <w:lang w:val="pt-PT"/>
              </w:rPr>
            </w:pPr>
            <w:r w:rsidRPr="00966B19">
              <w:rPr>
                <w:rFonts w:ascii="Times New Roman" w:hAnsi="Times New Roman"/>
                <w:sz w:val="20"/>
                <w:szCs w:val="20"/>
                <w:lang w:val="pt-PT"/>
              </w:rPr>
              <w:t>Associações corporativas, setoriais e societais.</w:t>
            </w:r>
          </w:p>
          <w:p w:rsidR="00AE55C1" w:rsidRPr="00966B19" w:rsidRDefault="00AE55C1" w:rsidP="00AE55C1">
            <w:pPr>
              <w:jc w:val="center"/>
              <w:cnfStyle w:val="000000010000"/>
              <w:rPr>
                <w:rFonts w:ascii="Times New Roman" w:hAnsi="Times New Roman"/>
                <w:sz w:val="20"/>
                <w:szCs w:val="20"/>
                <w:lang w:val="pt-PT"/>
              </w:rPr>
            </w:pP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3) Paulo Godoy</w:t>
            </w:r>
          </w:p>
        </w:tc>
        <w:tc>
          <w:tcPr>
            <w:tcW w:w="3048" w:type="pct"/>
          </w:tcPr>
          <w:p w:rsidR="00AE55C1" w:rsidRPr="00966B19" w:rsidRDefault="00AE55C1" w:rsidP="00AE55C1">
            <w:pPr>
              <w:spacing w:before="100" w:beforeAutospacing="1" w:after="0"/>
              <w:jc w:val="both"/>
              <w:cnfStyle w:val="000000100000"/>
              <w:rPr>
                <w:rFonts w:ascii="Times New Roman" w:hAnsi="Times New Roman"/>
                <w:sz w:val="20"/>
                <w:szCs w:val="20"/>
              </w:rPr>
            </w:pPr>
            <w:r w:rsidRPr="00966B19">
              <w:rPr>
                <w:rFonts w:ascii="Times New Roman" w:hAnsi="Times New Roman"/>
                <w:sz w:val="20"/>
                <w:szCs w:val="20"/>
              </w:rPr>
              <w:t xml:space="preserve">Presidente da ABDIB (Associação Brasileira da Infraestrutura e Indústrias de Base). É Diretor Presidente do Grupo Alusa, conglomerado composto pelas empresas Alusa Engenharia, Cavan e Alupar. Participa de diversos Conselhos e Comitês, com destaque para: CNDI - Conselho Nacional para o Desenvolvimento Industrial - (Governo Federal); </w:t>
            </w:r>
            <w:r w:rsidRPr="00966B19">
              <w:rPr>
                <w:rFonts w:ascii="Times New Roman" w:hAnsi="Times New Roman"/>
                <w:color w:val="000000"/>
                <w:sz w:val="20"/>
                <w:szCs w:val="20"/>
              </w:rPr>
              <w:t xml:space="preserve">Conselho Consultivo do Setor Privado (CONEX) da CAMEX; </w:t>
            </w:r>
            <w:r w:rsidRPr="00966B19">
              <w:rPr>
                <w:rFonts w:ascii="Times New Roman" w:hAnsi="Times New Roman"/>
                <w:sz w:val="20"/>
                <w:szCs w:val="20"/>
              </w:rPr>
              <w:t xml:space="preserve">INVESTE SÃO PAULO - Membro do Conselho de Administração (Governo do Estado de São Paulo); FNI - Fórum Nacional da Indústria (CNI - Confederação Nacional da Indústria); membro do conselho consultivo da Febraban; membro do </w:t>
            </w:r>
            <w:r w:rsidRPr="00966B19">
              <w:rPr>
                <w:rFonts w:ascii="Times New Roman" w:hAnsi="Times New Roman"/>
                <w:color w:val="000000"/>
                <w:sz w:val="20"/>
                <w:szCs w:val="20"/>
              </w:rPr>
              <w:t>COINFRA - Conselho Superior de Infraestrutura (FIESP - Federação das Indústrias do Estado de São Paulo).</w:t>
            </w:r>
          </w:p>
          <w:p w:rsidR="00AE55C1" w:rsidRPr="00966B19" w:rsidRDefault="00AE55C1" w:rsidP="00AE55C1">
            <w:pPr>
              <w:pStyle w:val="pleft"/>
              <w:spacing w:before="0" w:beforeAutospacing="0" w:after="0" w:afterAutospacing="0"/>
              <w:jc w:val="both"/>
              <w:cnfStyle w:val="000000100000"/>
              <w:rPr>
                <w:sz w:val="20"/>
                <w:szCs w:val="20"/>
              </w:rPr>
            </w:pPr>
            <w:r w:rsidRPr="00966B19">
              <w:rPr>
                <w:rStyle w:val="Forte"/>
                <w:sz w:val="20"/>
                <w:szCs w:val="20"/>
              </w:rPr>
              <w:t>Período:</w:t>
            </w:r>
            <w:r w:rsidRPr="00966B19">
              <w:rPr>
                <w:b/>
                <w:sz w:val="20"/>
                <w:szCs w:val="20"/>
              </w:rPr>
              <w:t xml:space="preserve"> desde 28/07/2004</w:t>
            </w:r>
          </w:p>
        </w:tc>
        <w:tc>
          <w:tcPr>
            <w:tcW w:w="952" w:type="pct"/>
          </w:tcPr>
          <w:p w:rsidR="00AE55C1" w:rsidRPr="00966B19" w:rsidRDefault="00AE55C1" w:rsidP="00AE55C1">
            <w:pPr>
              <w:jc w:val="center"/>
              <w:cnfStyle w:val="000000100000"/>
              <w:rPr>
                <w:rFonts w:ascii="Times New Roman" w:hAnsi="Times New Roman"/>
                <w:sz w:val="20"/>
                <w:szCs w:val="20"/>
                <w:lang w:val="pt-PT"/>
              </w:rPr>
            </w:pPr>
            <w:r w:rsidRPr="00966B19">
              <w:rPr>
                <w:rFonts w:ascii="Times New Roman" w:hAnsi="Times New Roman"/>
                <w:sz w:val="20"/>
                <w:szCs w:val="20"/>
                <w:lang w:val="pt-PT"/>
              </w:rPr>
              <w:t xml:space="preserve">Holding atuante em energia, construção civil, óleo e gás. </w:t>
            </w:r>
            <w:r w:rsidRPr="00966B19">
              <w:rPr>
                <w:rFonts w:ascii="Times New Roman" w:hAnsi="Times New Roman"/>
                <w:color w:val="000000"/>
                <w:sz w:val="20"/>
                <w:szCs w:val="20"/>
              </w:rPr>
              <w:t>Vinculações com o Estado restrito.</w:t>
            </w:r>
          </w:p>
          <w:p w:rsidR="00AE55C1" w:rsidRPr="00966B19" w:rsidRDefault="00AE55C1" w:rsidP="00AE55C1">
            <w:pPr>
              <w:jc w:val="center"/>
              <w:cnfStyle w:val="000000100000"/>
              <w:rPr>
                <w:rFonts w:ascii="Times New Roman" w:hAnsi="Times New Roman"/>
                <w:sz w:val="20"/>
                <w:szCs w:val="20"/>
                <w:lang w:val="pt-PT"/>
              </w:rPr>
            </w:pPr>
            <w:r w:rsidRPr="00966B19">
              <w:rPr>
                <w:rFonts w:ascii="Times New Roman" w:hAnsi="Times New Roman"/>
                <w:sz w:val="20"/>
                <w:szCs w:val="20"/>
                <w:lang w:val="pt-PT"/>
              </w:rPr>
              <w:t>Associações corporativas.</w:t>
            </w:r>
          </w:p>
          <w:p w:rsidR="00AE55C1" w:rsidRPr="00966B19" w:rsidRDefault="00AE55C1" w:rsidP="00AE55C1">
            <w:pPr>
              <w:jc w:val="center"/>
              <w:cnfStyle w:val="000000100000"/>
              <w:rPr>
                <w:rFonts w:ascii="Times New Roman" w:hAnsi="Times New Roman"/>
                <w:sz w:val="20"/>
                <w:szCs w:val="20"/>
                <w:lang w:val="pt-PT"/>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4) Rogelio Golfarb</w:t>
            </w:r>
          </w:p>
        </w:tc>
        <w:tc>
          <w:tcPr>
            <w:tcW w:w="3048" w:type="pct"/>
          </w:tcPr>
          <w:p w:rsidR="00AE55C1" w:rsidRPr="00966B19" w:rsidRDefault="00AE55C1" w:rsidP="00AE55C1">
            <w:pPr>
              <w:spacing w:after="0"/>
              <w:jc w:val="both"/>
              <w:cnfStyle w:val="000000010000"/>
              <w:rPr>
                <w:rFonts w:ascii="Times New Roman" w:hAnsi="Times New Roman"/>
                <w:sz w:val="20"/>
                <w:szCs w:val="20"/>
              </w:rPr>
            </w:pPr>
            <w:r w:rsidRPr="00966B19">
              <w:rPr>
                <w:rFonts w:ascii="Times New Roman" w:hAnsi="Times New Roman"/>
                <w:sz w:val="20"/>
                <w:szCs w:val="20"/>
              </w:rPr>
              <w:t xml:space="preserve">Diretor de Assuntos Corporativos e Comunicação da Ford para América do Sul Atualmente é Membro do Conselho Consultivo do IPT (Instituto de Pesquisas Tecnológicas de São Paulo), do Conselho de Desenvolvimento Econômico de São Bernardo do Campo e do Conselho de Comércio Exterior da FIESP. No periodo </w:t>
            </w:r>
            <w:smartTag w:uri="urn:schemas-microsoft-com:office:smarttags" w:element="metricconverter">
              <w:smartTagPr>
                <w:attr w:name="ProductID" w:val="2004 a"/>
              </w:smartTagPr>
              <w:r w:rsidRPr="00966B19">
                <w:rPr>
                  <w:rFonts w:ascii="Times New Roman" w:hAnsi="Times New Roman"/>
                  <w:sz w:val="20"/>
                  <w:szCs w:val="20"/>
                </w:rPr>
                <w:t>2004 a</w:t>
              </w:r>
            </w:smartTag>
            <w:r w:rsidRPr="00966B19">
              <w:rPr>
                <w:rFonts w:ascii="Times New Roman" w:hAnsi="Times New Roman"/>
                <w:sz w:val="20"/>
                <w:szCs w:val="20"/>
              </w:rPr>
              <w:t xml:space="preserve"> 2007 foi Presidente da Associação Nacional dos Fabricantes de Veículos Automotores (ANFAVEA) e do Sindicato Nacional da Indústria de Tratores, Caminhões, Automóveis e Veículos Similares (SINFAVEA), sendo Vice-presidente da ANFAVEA na gestão 2001-2004. É também diretor titular do Centro de Indústrias do Estado da Bahia. Membro do Conselho Consultivo da Associação Nacional das Instituições de Crédito, Financiamento e Investimento (ACREFI).</w:t>
            </w:r>
          </w:p>
          <w:p w:rsidR="00AE55C1" w:rsidRPr="00966B19" w:rsidRDefault="00AE55C1" w:rsidP="00AE55C1">
            <w:pPr>
              <w:cnfStyle w:val="000000010000"/>
              <w:rPr>
                <w:rFonts w:ascii="Times New Roman" w:hAnsi="Times New Roman"/>
                <w:color w:val="000000"/>
                <w:sz w:val="20"/>
                <w:szCs w:val="20"/>
              </w:rPr>
            </w:pPr>
            <w:r w:rsidRPr="00966B19">
              <w:rPr>
                <w:rStyle w:val="Forte"/>
                <w:rFonts w:ascii="Times New Roman" w:hAnsi="Times New Roman"/>
                <w:sz w:val="20"/>
                <w:szCs w:val="20"/>
              </w:rPr>
              <w:t>Membro do CDES:</w:t>
            </w:r>
            <w:r w:rsidRPr="00966B19">
              <w:rPr>
                <w:rFonts w:ascii="Times New Roman" w:hAnsi="Times New Roman"/>
                <w:b/>
                <w:sz w:val="20"/>
                <w:szCs w:val="20"/>
              </w:rPr>
              <w:t>desde 04/11/2008 e de 28/07/2004 a 13/05/2007</w:t>
            </w:r>
          </w:p>
        </w:tc>
        <w:tc>
          <w:tcPr>
            <w:tcW w:w="952"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Fabricação de veículos. Setor Financeiro. Associação corporativa e setorial.</w:t>
            </w:r>
          </w:p>
          <w:p w:rsidR="00AE55C1" w:rsidRPr="00966B19" w:rsidRDefault="00AE55C1" w:rsidP="00AE55C1">
            <w:pPr>
              <w:jc w:val="center"/>
              <w:cnfStyle w:val="000000010000"/>
              <w:rPr>
                <w:rFonts w:ascii="Times New Roman" w:hAnsi="Times New Roman"/>
                <w:sz w:val="20"/>
                <w:szCs w:val="20"/>
              </w:rPr>
            </w:pPr>
          </w:p>
        </w:tc>
      </w:tr>
    </w:tbl>
    <w:p w:rsidR="00AE55C1" w:rsidRPr="00966B19" w:rsidRDefault="00AE55C1" w:rsidP="00AE55C1">
      <w:pPr>
        <w:rPr>
          <w:rFonts w:ascii="Times New Roman" w:hAnsi="Times New Roman"/>
          <w:sz w:val="20"/>
          <w:szCs w:val="20"/>
        </w:rPr>
      </w:pPr>
    </w:p>
    <w:p w:rsidR="00A87CE6" w:rsidRPr="00A87CE6" w:rsidRDefault="00A87CE6" w:rsidP="00A87CE6">
      <w:pPr>
        <w:spacing w:before="240" w:line="240" w:lineRule="auto"/>
        <w:jc w:val="center"/>
        <w:rPr>
          <w:rFonts w:ascii="Times New Roman" w:hAnsi="Times New Roman"/>
          <w:b/>
          <w:sz w:val="24"/>
          <w:szCs w:val="24"/>
        </w:rPr>
      </w:pPr>
      <w:r>
        <w:rPr>
          <w:rFonts w:ascii="Times New Roman" w:hAnsi="Times New Roman"/>
          <w:b/>
          <w:sz w:val="24"/>
          <w:szCs w:val="24"/>
        </w:rPr>
        <w:t>Presença do Empresariado (e de seus Prepostos) no Conselho de Desenvolvimento Econômico e Social (</w:t>
      </w:r>
      <w:r w:rsidR="004A0803">
        <w:rPr>
          <w:rFonts w:ascii="Times New Roman" w:hAnsi="Times New Roman"/>
          <w:b/>
          <w:sz w:val="24"/>
          <w:szCs w:val="24"/>
        </w:rPr>
        <w:t>ingresso</w:t>
      </w:r>
      <w:r w:rsidR="003E7B44">
        <w:rPr>
          <w:rFonts w:ascii="Times New Roman" w:hAnsi="Times New Roman"/>
          <w:b/>
          <w:sz w:val="24"/>
          <w:szCs w:val="24"/>
        </w:rPr>
        <w:t>s</w:t>
      </w:r>
      <w:r w:rsidR="004A0803">
        <w:rPr>
          <w:rFonts w:ascii="Times New Roman" w:hAnsi="Times New Roman"/>
          <w:b/>
          <w:sz w:val="24"/>
          <w:szCs w:val="24"/>
        </w:rPr>
        <w:t xml:space="preserve"> em </w:t>
      </w:r>
      <w:r>
        <w:rPr>
          <w:rFonts w:ascii="Times New Roman" w:hAnsi="Times New Roman"/>
          <w:b/>
          <w:sz w:val="24"/>
          <w:szCs w:val="24"/>
        </w:rPr>
        <w:t>2005</w:t>
      </w:r>
      <w:r w:rsidR="004A0803">
        <w:rPr>
          <w:rFonts w:ascii="Times New Roman" w:hAnsi="Times New Roman"/>
          <w:b/>
          <w:sz w:val="24"/>
          <w:szCs w:val="24"/>
        </w:rPr>
        <w:t xml:space="preserve"> e </w:t>
      </w:r>
      <w:r>
        <w:rPr>
          <w:rFonts w:ascii="Times New Roman" w:hAnsi="Times New Roman"/>
          <w:b/>
          <w:sz w:val="24"/>
          <w:szCs w:val="24"/>
        </w:rPr>
        <w:t>2006)</w:t>
      </w:r>
    </w:p>
    <w:p w:rsidR="00AE55C1" w:rsidRPr="00966B19" w:rsidRDefault="00AE55C1" w:rsidP="00AE55C1">
      <w:pPr>
        <w:rPr>
          <w:rFonts w:ascii="Times New Roman" w:hAnsi="Times New Roman"/>
          <w:b/>
          <w:sz w:val="20"/>
          <w:szCs w:val="20"/>
        </w:rPr>
      </w:pPr>
    </w:p>
    <w:tbl>
      <w:tblPr>
        <w:tblStyle w:val="GradeClara-nfase11"/>
        <w:tblW w:w="5234" w:type="pct"/>
        <w:tblInd w:w="-459" w:type="dxa"/>
        <w:tblLayout w:type="fixed"/>
        <w:tblLook w:val="04A0"/>
      </w:tblPr>
      <w:tblGrid>
        <w:gridCol w:w="2977"/>
        <w:gridCol w:w="9070"/>
        <w:gridCol w:w="2837"/>
      </w:tblGrid>
      <w:tr w:rsidR="00AE55C1" w:rsidRPr="00966B19" w:rsidTr="00E776C4">
        <w:trPr>
          <w:cnfStyle w:val="100000000000"/>
        </w:trPr>
        <w:tc>
          <w:tcPr>
            <w:cnfStyle w:val="001000000000"/>
            <w:tcW w:w="1000" w:type="pct"/>
          </w:tcPr>
          <w:p w:rsidR="00AE55C1" w:rsidRPr="003409D0" w:rsidRDefault="00AE55C1" w:rsidP="00AE55C1">
            <w:pPr>
              <w:rPr>
                <w:rFonts w:ascii="Times New Roman" w:hAnsi="Times New Roman"/>
                <w:sz w:val="20"/>
                <w:szCs w:val="20"/>
              </w:rPr>
            </w:pPr>
            <w:r w:rsidRPr="003409D0">
              <w:rPr>
                <w:rFonts w:ascii="Times New Roman" w:hAnsi="Times New Roman"/>
                <w:sz w:val="20"/>
                <w:szCs w:val="20"/>
              </w:rPr>
              <w:t>Conselheiros-Empresários</w:t>
            </w:r>
          </w:p>
        </w:tc>
        <w:tc>
          <w:tcPr>
            <w:tcW w:w="3047" w:type="pct"/>
          </w:tcPr>
          <w:p w:rsidR="00AE55C1" w:rsidRPr="003409D0" w:rsidRDefault="00AE55C1" w:rsidP="00AE55C1">
            <w:pPr>
              <w:jc w:val="both"/>
              <w:cnfStyle w:val="100000000000"/>
              <w:rPr>
                <w:rFonts w:ascii="Times New Roman" w:hAnsi="Times New Roman"/>
                <w:sz w:val="20"/>
                <w:szCs w:val="20"/>
              </w:rPr>
            </w:pPr>
            <w:r w:rsidRPr="003409D0">
              <w:rPr>
                <w:rFonts w:ascii="Times New Roman" w:hAnsi="Times New Roman"/>
                <w:sz w:val="20"/>
                <w:szCs w:val="20"/>
              </w:rPr>
              <w:t>Trajetórias e Vinculações</w:t>
            </w:r>
          </w:p>
        </w:tc>
        <w:tc>
          <w:tcPr>
            <w:tcW w:w="953" w:type="pct"/>
          </w:tcPr>
          <w:p w:rsidR="00AE55C1" w:rsidRPr="003409D0" w:rsidRDefault="00AE55C1" w:rsidP="00AE55C1">
            <w:pPr>
              <w:pStyle w:val="DecimalAligned"/>
              <w:tabs>
                <w:tab w:val="clear" w:pos="360"/>
              </w:tabs>
              <w:spacing w:after="0" w:line="240" w:lineRule="auto"/>
              <w:jc w:val="center"/>
              <w:cnfStyle w:val="100000000000"/>
              <w:rPr>
                <w:rFonts w:ascii="Times New Roman" w:hAnsi="Times New Roman"/>
                <w:sz w:val="20"/>
                <w:szCs w:val="20"/>
              </w:rPr>
            </w:pPr>
            <w:r w:rsidRPr="003409D0">
              <w:rPr>
                <w:rFonts w:ascii="Times New Roman" w:hAnsi="Times New Roman"/>
                <w:sz w:val="20"/>
                <w:szCs w:val="20"/>
              </w:rPr>
              <w:t xml:space="preserve">Atividades Principais e Tipos de Associações </w:t>
            </w:r>
          </w:p>
        </w:tc>
      </w:tr>
      <w:tr w:rsidR="00AE55C1" w:rsidRPr="00966B19" w:rsidTr="00E776C4">
        <w:trPr>
          <w:cnfStyle w:val="000000100000"/>
        </w:trPr>
        <w:tc>
          <w:tcPr>
            <w:cnfStyle w:val="001000000000"/>
            <w:tcW w:w="1000"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 xml:space="preserve">1) Gisela Gorovitz </w:t>
            </w:r>
          </w:p>
        </w:tc>
        <w:tc>
          <w:tcPr>
            <w:tcW w:w="3047" w:type="pct"/>
          </w:tcPr>
          <w:p w:rsidR="00AE55C1" w:rsidRPr="00966B19" w:rsidRDefault="00AE55C1" w:rsidP="00AE55C1">
            <w:pPr>
              <w:pStyle w:val="NormalWeb"/>
              <w:spacing w:after="0" w:afterAutospacing="0"/>
              <w:jc w:val="both"/>
              <w:cnfStyle w:val="000000100000"/>
              <w:rPr>
                <w:rStyle w:val="Forte"/>
                <w:b w:val="0"/>
                <w:sz w:val="20"/>
                <w:szCs w:val="20"/>
              </w:rPr>
            </w:pPr>
            <w:r w:rsidRPr="00966B19">
              <w:rPr>
                <w:rStyle w:val="Forte"/>
                <w:sz w:val="20"/>
                <w:szCs w:val="20"/>
              </w:rPr>
              <w:t>Coordenadora da Associação Brasileira de Empresários pela Cidadania – CIVES</w:t>
            </w:r>
          </w:p>
          <w:p w:rsidR="00AE55C1" w:rsidRPr="00966B19" w:rsidRDefault="00AE55C1" w:rsidP="00AE55C1">
            <w:pPr>
              <w:pStyle w:val="NormalWeb"/>
              <w:spacing w:before="0" w:beforeAutospacing="0" w:after="0" w:afterAutospacing="0"/>
              <w:cnfStyle w:val="000000100000"/>
              <w:rPr>
                <w:b/>
                <w:color w:val="FF0000"/>
                <w:sz w:val="20"/>
                <w:szCs w:val="20"/>
              </w:rPr>
            </w:pPr>
            <w:r w:rsidRPr="00966B19">
              <w:rPr>
                <w:rStyle w:val="Forte"/>
                <w:sz w:val="20"/>
                <w:szCs w:val="20"/>
              </w:rPr>
              <w:t>Período:</w:t>
            </w:r>
            <w:r w:rsidRPr="00966B19">
              <w:rPr>
                <w:b/>
                <w:sz w:val="20"/>
                <w:szCs w:val="20"/>
              </w:rPr>
              <w:t xml:space="preserve">de 09/03/2005 a 13/05/2007 </w:t>
            </w:r>
          </w:p>
        </w:tc>
        <w:tc>
          <w:tcPr>
            <w:tcW w:w="953"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Associação societal.</w:t>
            </w: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2) João Bosco Borba</w:t>
            </w:r>
          </w:p>
        </w:tc>
        <w:tc>
          <w:tcPr>
            <w:tcW w:w="3047" w:type="pct"/>
          </w:tcPr>
          <w:p w:rsidR="00AE55C1" w:rsidRPr="00966B19" w:rsidRDefault="00AE55C1" w:rsidP="00AE55C1">
            <w:pPr>
              <w:pStyle w:val="pleft"/>
              <w:spacing w:before="0" w:beforeAutospacing="0" w:after="0" w:afterAutospacing="0"/>
              <w:jc w:val="both"/>
              <w:cnfStyle w:val="000000010000"/>
              <w:rPr>
                <w:sz w:val="20"/>
                <w:szCs w:val="20"/>
              </w:rPr>
            </w:pPr>
            <w:r w:rsidRPr="00966B19">
              <w:rPr>
                <w:sz w:val="20"/>
                <w:szCs w:val="20"/>
              </w:rPr>
              <w:t>Presidente da Associação Nacional de Empresários e Empreendedores Afro-Brasileiro (Anceabra). Consultor do Mercado Africano.</w:t>
            </w:r>
          </w:p>
          <w:p w:rsidR="00AE55C1" w:rsidRPr="00966B19" w:rsidRDefault="00AE55C1" w:rsidP="00AE55C1">
            <w:pPr>
              <w:pStyle w:val="pleft"/>
              <w:spacing w:before="0" w:beforeAutospacing="0"/>
              <w:cnfStyle w:val="000000010000"/>
              <w:rPr>
                <w:b/>
                <w:color w:val="000000"/>
                <w:sz w:val="20"/>
                <w:szCs w:val="20"/>
              </w:rPr>
            </w:pPr>
            <w:r w:rsidRPr="00966B19">
              <w:rPr>
                <w:rStyle w:val="Forte"/>
                <w:sz w:val="20"/>
                <w:szCs w:val="20"/>
              </w:rPr>
              <w:t>Período:</w:t>
            </w:r>
            <w:r w:rsidRPr="00966B19">
              <w:rPr>
                <w:b/>
                <w:sz w:val="20"/>
                <w:szCs w:val="20"/>
              </w:rPr>
              <w:t>desde 09/03/2005</w:t>
            </w:r>
          </w:p>
        </w:tc>
        <w:tc>
          <w:tcPr>
            <w:tcW w:w="953"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Associação societal.</w:t>
            </w:r>
          </w:p>
        </w:tc>
      </w:tr>
      <w:tr w:rsidR="00AE55C1" w:rsidRPr="00966B19" w:rsidTr="00E776C4">
        <w:trPr>
          <w:cnfStyle w:val="000000100000"/>
        </w:trPr>
        <w:tc>
          <w:tcPr>
            <w:cnfStyle w:val="001000000000"/>
            <w:tcW w:w="1000"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3) João Elísio Ferraz de Campos</w:t>
            </w:r>
          </w:p>
        </w:tc>
        <w:tc>
          <w:tcPr>
            <w:tcW w:w="3047" w:type="pct"/>
          </w:tcPr>
          <w:p w:rsidR="00AE55C1" w:rsidRPr="00966B19" w:rsidRDefault="00AE55C1" w:rsidP="00AE55C1">
            <w:pPr>
              <w:spacing w:before="100" w:beforeAutospacing="1" w:after="0"/>
              <w:jc w:val="both"/>
              <w:cnfStyle w:val="000000100000"/>
              <w:rPr>
                <w:rFonts w:ascii="Times New Roman" w:hAnsi="Times New Roman"/>
                <w:sz w:val="20"/>
                <w:szCs w:val="20"/>
              </w:rPr>
            </w:pPr>
            <w:r w:rsidRPr="00966B19">
              <w:rPr>
                <w:rFonts w:ascii="Times New Roman" w:hAnsi="Times New Roman"/>
                <w:sz w:val="20"/>
                <w:szCs w:val="20"/>
              </w:rPr>
              <w:t>Preside o Conselho de Administração da Centauro Vida e Previdência S.A. e o Conselho de Administração da Seguradora Brasileira de Crédito à Exportação. Ex-Presidente da Confederação Nacional das Empresas de Seguros Gerais, Previdência Privada e Vida, Saúde Suplementar e Capitalização - CNSeg, da Federação Nacional das Empresas de Seguros Privados e de Capitalização – FENASEG. Foi segurador do Bamerindus. Foi Superintendente da Fundação Educacional do Paraná - FUNDEPAR, Secretário de Administração, Deputado Estadual pela ARENA, Vice-Governador, acumulando o cargo de Presidente do Banco de Desenvolvimento do Paraná S/A - BADEP, Secretário de Finanças, vindo a ser finalmente Governador do Estado do Paraná.</w:t>
            </w:r>
          </w:p>
          <w:p w:rsidR="00AE55C1" w:rsidRPr="00966B19" w:rsidRDefault="00AE55C1" w:rsidP="00AE55C1">
            <w:pPr>
              <w:spacing w:after="100" w:afterAutospacing="1"/>
              <w:jc w:val="both"/>
              <w:cnfStyle w:val="000000100000"/>
              <w:rPr>
                <w:rFonts w:ascii="Times New Roman" w:hAnsi="Times New Roman"/>
                <w:sz w:val="20"/>
                <w:szCs w:val="20"/>
              </w:rPr>
            </w:pPr>
            <w:r w:rsidRPr="00966B19">
              <w:rPr>
                <w:rFonts w:ascii="Times New Roman" w:hAnsi="Times New Roman"/>
                <w:b/>
                <w:bCs/>
                <w:sz w:val="20"/>
                <w:szCs w:val="20"/>
              </w:rPr>
              <w:t>Período:</w:t>
            </w:r>
            <w:r w:rsidRPr="00966B19">
              <w:rPr>
                <w:rFonts w:ascii="Times New Roman" w:hAnsi="Times New Roman"/>
                <w:b/>
                <w:sz w:val="20"/>
                <w:szCs w:val="20"/>
              </w:rPr>
              <w:t>desde 21/03/2006</w:t>
            </w:r>
          </w:p>
        </w:tc>
        <w:tc>
          <w:tcPr>
            <w:tcW w:w="953"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Setor financeiro/bancário.</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Vinculações com o Estado restrito.</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Associações corporativas.</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p>
        </w:tc>
      </w:tr>
    </w:tbl>
    <w:p w:rsidR="00AE55C1" w:rsidRPr="00966B19" w:rsidRDefault="00AE55C1" w:rsidP="00AE55C1">
      <w:pPr>
        <w:rPr>
          <w:rFonts w:ascii="Times New Roman" w:hAnsi="Times New Roman"/>
          <w:sz w:val="20"/>
          <w:szCs w:val="20"/>
        </w:rPr>
      </w:pPr>
    </w:p>
    <w:p w:rsidR="00AE55C1" w:rsidRPr="00A87CE6" w:rsidRDefault="00A87CE6" w:rsidP="00A87CE6">
      <w:pPr>
        <w:spacing w:after="0" w:line="240" w:lineRule="auto"/>
        <w:jc w:val="center"/>
        <w:rPr>
          <w:rFonts w:ascii="Times New Roman" w:hAnsi="Times New Roman"/>
          <w:b/>
          <w:sz w:val="24"/>
          <w:szCs w:val="24"/>
        </w:rPr>
      </w:pPr>
      <w:r w:rsidRPr="00A87CE6">
        <w:rPr>
          <w:rFonts w:ascii="Times New Roman" w:hAnsi="Times New Roman"/>
          <w:b/>
          <w:sz w:val="24"/>
          <w:szCs w:val="24"/>
        </w:rPr>
        <w:t>Presença do Empresariado (e de seus Prepostos) no Conselho de Desenvolvimento Econômico e Social (</w:t>
      </w:r>
      <w:r w:rsidR="004A0803">
        <w:rPr>
          <w:rFonts w:ascii="Times New Roman" w:hAnsi="Times New Roman"/>
          <w:b/>
          <w:sz w:val="24"/>
          <w:szCs w:val="24"/>
        </w:rPr>
        <w:t>ingresso</w:t>
      </w:r>
      <w:r w:rsidR="003E7B44">
        <w:rPr>
          <w:rFonts w:ascii="Times New Roman" w:hAnsi="Times New Roman"/>
          <w:b/>
          <w:sz w:val="24"/>
          <w:szCs w:val="24"/>
        </w:rPr>
        <w:t>s</w:t>
      </w:r>
      <w:r w:rsidR="004A0803">
        <w:rPr>
          <w:rFonts w:ascii="Times New Roman" w:hAnsi="Times New Roman"/>
          <w:b/>
          <w:sz w:val="24"/>
          <w:szCs w:val="24"/>
        </w:rPr>
        <w:t xml:space="preserve"> em</w:t>
      </w:r>
      <w:r w:rsidRPr="00A87CE6">
        <w:rPr>
          <w:rFonts w:ascii="Times New Roman" w:hAnsi="Times New Roman"/>
          <w:b/>
          <w:sz w:val="24"/>
          <w:szCs w:val="24"/>
        </w:rPr>
        <w:t>2007)</w:t>
      </w:r>
    </w:p>
    <w:p w:rsidR="00AE55C1" w:rsidRPr="00966B19" w:rsidRDefault="00AE55C1" w:rsidP="00AE55C1">
      <w:pPr>
        <w:rPr>
          <w:rFonts w:ascii="Times New Roman" w:hAnsi="Times New Roman"/>
          <w:b/>
          <w:sz w:val="20"/>
          <w:szCs w:val="20"/>
        </w:rPr>
      </w:pPr>
    </w:p>
    <w:tbl>
      <w:tblPr>
        <w:tblStyle w:val="GradeClara-nfase11"/>
        <w:tblW w:w="5234" w:type="pct"/>
        <w:tblInd w:w="-459" w:type="dxa"/>
        <w:tblLayout w:type="fixed"/>
        <w:tblLook w:val="04A0"/>
      </w:tblPr>
      <w:tblGrid>
        <w:gridCol w:w="2980"/>
        <w:gridCol w:w="9073"/>
        <w:gridCol w:w="2831"/>
      </w:tblGrid>
      <w:tr w:rsidR="00AE55C1" w:rsidRPr="00966B19" w:rsidTr="00E776C4">
        <w:trPr>
          <w:cnfStyle w:val="100000000000"/>
        </w:trPr>
        <w:tc>
          <w:tcPr>
            <w:cnfStyle w:val="001000000000"/>
            <w:tcW w:w="1001" w:type="pct"/>
          </w:tcPr>
          <w:p w:rsidR="00AE55C1" w:rsidRPr="003409D0" w:rsidRDefault="00AE55C1" w:rsidP="00AE55C1">
            <w:pPr>
              <w:rPr>
                <w:rFonts w:ascii="Times New Roman" w:hAnsi="Times New Roman"/>
                <w:sz w:val="20"/>
                <w:szCs w:val="20"/>
              </w:rPr>
            </w:pPr>
            <w:r w:rsidRPr="003409D0">
              <w:rPr>
                <w:rFonts w:ascii="Times New Roman" w:hAnsi="Times New Roman"/>
                <w:sz w:val="20"/>
                <w:szCs w:val="20"/>
              </w:rPr>
              <w:t>Conselheiros-Empresários</w:t>
            </w:r>
          </w:p>
        </w:tc>
        <w:tc>
          <w:tcPr>
            <w:tcW w:w="3048" w:type="pct"/>
          </w:tcPr>
          <w:p w:rsidR="00AE55C1" w:rsidRPr="003409D0" w:rsidRDefault="00AE55C1" w:rsidP="00AE55C1">
            <w:pPr>
              <w:jc w:val="both"/>
              <w:cnfStyle w:val="100000000000"/>
              <w:rPr>
                <w:rFonts w:ascii="Times New Roman" w:hAnsi="Times New Roman"/>
                <w:sz w:val="20"/>
                <w:szCs w:val="20"/>
              </w:rPr>
            </w:pPr>
            <w:r w:rsidRPr="003409D0">
              <w:rPr>
                <w:rFonts w:ascii="Times New Roman" w:hAnsi="Times New Roman"/>
                <w:sz w:val="20"/>
                <w:szCs w:val="20"/>
              </w:rPr>
              <w:t>Trajetórias e Vinculações</w:t>
            </w:r>
          </w:p>
        </w:tc>
        <w:tc>
          <w:tcPr>
            <w:tcW w:w="952" w:type="pct"/>
          </w:tcPr>
          <w:p w:rsidR="00AE55C1" w:rsidRPr="003409D0" w:rsidRDefault="00AE55C1" w:rsidP="00AE55C1">
            <w:pPr>
              <w:pStyle w:val="DecimalAligned"/>
              <w:tabs>
                <w:tab w:val="clear" w:pos="360"/>
              </w:tabs>
              <w:spacing w:after="0" w:line="240" w:lineRule="auto"/>
              <w:jc w:val="center"/>
              <w:cnfStyle w:val="100000000000"/>
              <w:rPr>
                <w:rFonts w:ascii="Times New Roman" w:hAnsi="Times New Roman"/>
                <w:sz w:val="20"/>
                <w:szCs w:val="20"/>
              </w:rPr>
            </w:pPr>
            <w:r w:rsidRPr="003409D0">
              <w:rPr>
                <w:rFonts w:ascii="Times New Roman" w:hAnsi="Times New Roman"/>
                <w:sz w:val="20"/>
                <w:szCs w:val="20"/>
              </w:rPr>
              <w:t xml:space="preserve">Atividades Principais e Tipos de Associações </w:t>
            </w:r>
          </w:p>
        </w:tc>
      </w:tr>
      <w:tr w:rsidR="00AE55C1" w:rsidRPr="00966B19" w:rsidTr="00E776C4">
        <w:trPr>
          <w:cnfStyle w:val="000000100000"/>
        </w:trPr>
        <w:tc>
          <w:tcPr>
            <w:cnfStyle w:val="001000000000"/>
            <w:tcW w:w="1001" w:type="pct"/>
          </w:tcPr>
          <w:p w:rsidR="00AE55C1" w:rsidRPr="00966B19" w:rsidRDefault="00AE55C1" w:rsidP="00AE55C1">
            <w:pPr>
              <w:spacing w:after="0"/>
              <w:rPr>
                <w:rFonts w:ascii="Times New Roman" w:hAnsi="Times New Roman"/>
                <w:b w:val="0"/>
                <w:color w:val="FF0000"/>
                <w:sz w:val="20"/>
                <w:szCs w:val="20"/>
              </w:rPr>
            </w:pPr>
            <w:r w:rsidRPr="00966B19">
              <w:rPr>
                <w:rFonts w:ascii="Times New Roman" w:hAnsi="Times New Roman"/>
                <w:b w:val="0"/>
                <w:sz w:val="20"/>
                <w:szCs w:val="20"/>
              </w:rPr>
              <w:t>1) Alair Martins do Nascimento</w:t>
            </w:r>
          </w:p>
          <w:p w:rsidR="00AE55C1" w:rsidRPr="00966B19" w:rsidRDefault="00AE55C1" w:rsidP="00AE55C1">
            <w:pPr>
              <w:rPr>
                <w:rFonts w:ascii="Times New Roman" w:hAnsi="Times New Roman"/>
                <w:b w:val="0"/>
                <w:color w:val="FF0000"/>
                <w:sz w:val="20"/>
                <w:szCs w:val="20"/>
              </w:rPr>
            </w:pPr>
          </w:p>
          <w:p w:rsidR="00AE55C1" w:rsidRPr="00966B19" w:rsidRDefault="00AE55C1" w:rsidP="00AE55C1">
            <w:pPr>
              <w:rPr>
                <w:rFonts w:ascii="Times New Roman" w:hAnsi="Times New Roman"/>
                <w:b w:val="0"/>
                <w:color w:val="FF0000"/>
                <w:sz w:val="20"/>
                <w:szCs w:val="20"/>
              </w:rPr>
            </w:pPr>
          </w:p>
          <w:p w:rsidR="00AE55C1" w:rsidRPr="00966B19" w:rsidRDefault="00AE55C1" w:rsidP="00AE55C1">
            <w:pPr>
              <w:rPr>
                <w:rFonts w:ascii="Times New Roman" w:hAnsi="Times New Roman"/>
                <w:b w:val="0"/>
                <w:color w:val="FF0000"/>
                <w:sz w:val="20"/>
                <w:szCs w:val="20"/>
              </w:rPr>
            </w:pPr>
          </w:p>
          <w:p w:rsidR="00AE55C1" w:rsidRPr="00966B19" w:rsidRDefault="00AE55C1" w:rsidP="00AE55C1">
            <w:pPr>
              <w:rPr>
                <w:rFonts w:ascii="Times New Roman" w:hAnsi="Times New Roman"/>
                <w:b w:val="0"/>
                <w:color w:val="FF0000"/>
                <w:sz w:val="20"/>
                <w:szCs w:val="20"/>
              </w:rPr>
            </w:pPr>
          </w:p>
          <w:p w:rsidR="00AE55C1" w:rsidRPr="00966B19" w:rsidRDefault="00AE55C1" w:rsidP="00AE55C1">
            <w:pPr>
              <w:rPr>
                <w:rFonts w:ascii="Times New Roman" w:hAnsi="Times New Roman"/>
                <w:b w:val="0"/>
                <w:sz w:val="20"/>
                <w:szCs w:val="20"/>
              </w:rPr>
            </w:pPr>
          </w:p>
        </w:tc>
        <w:tc>
          <w:tcPr>
            <w:tcW w:w="3048" w:type="pct"/>
          </w:tcPr>
          <w:p w:rsidR="00AE55C1" w:rsidRPr="00966B19" w:rsidRDefault="00AE55C1" w:rsidP="00AE55C1">
            <w:pPr>
              <w:spacing w:before="100" w:beforeAutospacing="1" w:after="0"/>
              <w:jc w:val="both"/>
              <w:cnfStyle w:val="000000100000"/>
              <w:rPr>
                <w:rFonts w:ascii="Times New Roman" w:hAnsi="Times New Roman"/>
                <w:color w:val="000000"/>
                <w:sz w:val="20"/>
                <w:szCs w:val="20"/>
              </w:rPr>
            </w:pPr>
            <w:r w:rsidRPr="00966B19">
              <w:rPr>
                <w:rFonts w:ascii="Times New Roman" w:hAnsi="Times New Roman"/>
                <w:color w:val="000000"/>
                <w:sz w:val="20"/>
                <w:szCs w:val="20"/>
              </w:rPr>
              <w:t>Presidente da Martins Comércio e Serviços de Distribuição S/A. Acionista majoritário (direta ou indiretamente) das empresas: Banco Triângulo S.A, Farma Service Distribuidora Ltda Vidalink do Brasil S.A., Rede Smart Varejos, EZ Food Serviços S.A (Apprimus), Repom S.A, Presidente Fundador do Martins Comércio &amp; Serviços de Distribuição S.A. Membro da Diretoria ABAD (Associação Brasileira dos Atacadistas Distribuidores) desde sua fundação, há vinte anos. Vice-Presidente da Federação do Comércio do Estado de Minas Gerais, Diretor da ADEMIG (Associação dos Distribuidores do Estado de Minas Gerais), Membro do Conselho Fiscal da ACIUB (Associação Comercial e Industrial de Uberlândia), Vice-Presidente do Conselho Deliberativo do Praia Clube (Clube recreativo com sede em Uberlândia), Membro do Fórum de Líderes Empresariais, Membro do Conselho Superior Estratégico da FIESP.</w:t>
            </w:r>
          </w:p>
          <w:p w:rsidR="00AE55C1" w:rsidRPr="00966B19" w:rsidRDefault="00AE55C1" w:rsidP="00AE55C1">
            <w:pPr>
              <w:spacing w:after="0"/>
              <w:jc w:val="both"/>
              <w:cnfStyle w:val="000000100000"/>
              <w:rPr>
                <w:rFonts w:ascii="Times New Roman" w:hAnsi="Times New Roman"/>
                <w:b/>
                <w:color w:val="FF0000"/>
                <w:sz w:val="20"/>
                <w:szCs w:val="20"/>
              </w:rPr>
            </w:pPr>
            <w:r w:rsidRPr="00966B19">
              <w:rPr>
                <w:rStyle w:val="Forte"/>
                <w:rFonts w:ascii="Times New Roman" w:hAnsi="Times New Roman"/>
                <w:color w:val="000000"/>
                <w:sz w:val="20"/>
                <w:szCs w:val="20"/>
              </w:rPr>
              <w:t>Período:</w:t>
            </w:r>
            <w:r w:rsidRPr="00966B19">
              <w:rPr>
                <w:rFonts w:ascii="Times New Roman" w:hAnsi="Times New Roman"/>
                <w:b/>
                <w:color w:val="000000"/>
                <w:sz w:val="20"/>
                <w:szCs w:val="20"/>
              </w:rPr>
              <w:t xml:space="preserve"> de 15/05/2007 a 25/08/2009</w:t>
            </w:r>
          </w:p>
        </w:tc>
        <w:tc>
          <w:tcPr>
            <w:tcW w:w="952" w:type="pct"/>
          </w:tcPr>
          <w:p w:rsidR="00AE55C1" w:rsidRPr="00966B19" w:rsidRDefault="00AE55C1" w:rsidP="00AE55C1">
            <w:pPr>
              <w:pStyle w:val="DecimalAligned"/>
              <w:tabs>
                <w:tab w:val="clear" w:pos="360"/>
                <w:tab w:val="left" w:pos="1361"/>
              </w:tabs>
              <w:spacing w:after="0" w:line="240" w:lineRule="auto"/>
              <w:jc w:val="center"/>
              <w:cnfStyle w:val="000000100000"/>
              <w:rPr>
                <w:rFonts w:ascii="Times New Roman" w:hAnsi="Times New Roman"/>
                <w:color w:val="000000"/>
                <w:sz w:val="20"/>
                <w:szCs w:val="20"/>
              </w:rPr>
            </w:pPr>
            <w:r w:rsidRPr="00966B19">
              <w:rPr>
                <w:rFonts w:ascii="Times New Roman" w:hAnsi="Times New Roman"/>
                <w:color w:val="000000"/>
                <w:sz w:val="20"/>
                <w:szCs w:val="20"/>
              </w:rPr>
              <w:t>Comércio varejista. Setor Financeiro</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color w:val="000000"/>
                <w:sz w:val="20"/>
                <w:szCs w:val="20"/>
              </w:rPr>
            </w:pPr>
            <w:r w:rsidRPr="00966B19">
              <w:rPr>
                <w:rFonts w:ascii="Times New Roman" w:hAnsi="Times New Roman"/>
                <w:color w:val="000000"/>
                <w:sz w:val="20"/>
                <w:szCs w:val="20"/>
              </w:rPr>
              <w:t>Associações corporativas, setoriais e societais.</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2) Humberto Eustáquio César Mota</w:t>
            </w:r>
          </w:p>
        </w:tc>
        <w:tc>
          <w:tcPr>
            <w:tcW w:w="3048" w:type="pct"/>
          </w:tcPr>
          <w:p w:rsidR="00AE55C1" w:rsidRPr="00966B19" w:rsidRDefault="00AE55C1" w:rsidP="00AE55C1">
            <w:pPr>
              <w:spacing w:before="100" w:beforeAutospacing="1" w:after="0"/>
              <w:jc w:val="both"/>
              <w:cnfStyle w:val="000000010000"/>
              <w:rPr>
                <w:rFonts w:ascii="Times New Roman" w:hAnsi="Times New Roman"/>
                <w:sz w:val="20"/>
                <w:szCs w:val="20"/>
              </w:rPr>
            </w:pPr>
            <w:r w:rsidRPr="00966B19">
              <w:rPr>
                <w:rFonts w:ascii="Times New Roman" w:hAnsi="Times New Roman"/>
                <w:sz w:val="20"/>
                <w:szCs w:val="20"/>
              </w:rPr>
              <w:t>Presidente da Dufry do Brasil, Presidente do Conselho Superior da Associação Comercial do Rio de Janeiro - ACRJ, Presidente da Associação Nacional das Empresas Concessionárias de Aeroportos Brasileiros - ANCAB, Vice-Presidente das Empresas Brasif, Membro do Conselho Temático de Infraestrutura da Confederação Nacional da Indústria - COINFRA, Membro do Conselho Consultivo da Agência Nacional de Aviação Civil - ANAC, Diretor da Câmara de Comércio Americana do Rio - AMCHAM e membro do Conselho Empresarial da Candidatura da Cidade do Rio de Janeiro às Olimpíadas 2016. Foi Secretário de Estado de Desenvolvimento Econômico do Estado do Rio de Janeiro, Presidente da Empresa Brasileira de Correios e Telégrafos, Chefe de Gabinete da Secretaria de Planejamento do Governo do Estado de Minas Gerais, Assessor Especial do Ministro de Estado da Fazenda, Presidente do Plano Estratégico da Cidade do Rio de Janeiro, fundador e Presidente da Agência Rio - Promoção, Desenvolvimento e Meio Ambiente e Presidente do Conselho de Administração da Companhia de Desenvolvimento Industrial do Rio de Janeiro.</w:t>
            </w:r>
          </w:p>
          <w:p w:rsidR="00AE55C1" w:rsidRPr="00966B19" w:rsidRDefault="00AE55C1" w:rsidP="00AE55C1">
            <w:pPr>
              <w:spacing w:after="100" w:afterAutospacing="1"/>
              <w:cnfStyle w:val="000000010000"/>
              <w:rPr>
                <w:rFonts w:ascii="Times New Roman" w:hAnsi="Times New Roman"/>
                <w:b/>
                <w:sz w:val="20"/>
                <w:szCs w:val="20"/>
              </w:rPr>
            </w:pPr>
            <w:r w:rsidRPr="00966B19">
              <w:rPr>
                <w:rFonts w:ascii="Times New Roman" w:hAnsi="Times New Roman"/>
                <w:b/>
                <w:bCs/>
                <w:sz w:val="20"/>
                <w:szCs w:val="20"/>
              </w:rPr>
              <w:t>Período:</w:t>
            </w:r>
            <w:r w:rsidRPr="00966B19">
              <w:rPr>
                <w:rFonts w:ascii="Times New Roman" w:hAnsi="Times New Roman"/>
                <w:b/>
                <w:sz w:val="20"/>
                <w:szCs w:val="20"/>
              </w:rPr>
              <w:t xml:space="preserve"> desde 14/05/2007</w:t>
            </w:r>
          </w:p>
        </w:tc>
        <w:tc>
          <w:tcPr>
            <w:tcW w:w="952" w:type="pct"/>
          </w:tcPr>
          <w:p w:rsidR="00AE55C1" w:rsidRPr="00966B19" w:rsidRDefault="00AE55C1" w:rsidP="00AE55C1">
            <w:pPr>
              <w:jc w:val="center"/>
              <w:cnfStyle w:val="000000010000"/>
              <w:rPr>
                <w:rFonts w:ascii="Times New Roman" w:hAnsi="Times New Roman"/>
                <w:sz w:val="20"/>
                <w:szCs w:val="20"/>
                <w:lang w:val="pt-PT"/>
              </w:rPr>
            </w:pPr>
            <w:r w:rsidRPr="00966B19">
              <w:rPr>
                <w:rFonts w:ascii="Times New Roman" w:hAnsi="Times New Roman"/>
                <w:sz w:val="20"/>
                <w:szCs w:val="20"/>
                <w:lang w:val="pt-PT"/>
              </w:rPr>
              <w:t>Comércio varejista de viagens.</w:t>
            </w:r>
          </w:p>
          <w:p w:rsidR="00AE55C1" w:rsidRPr="00966B19" w:rsidRDefault="00AE55C1" w:rsidP="00AE55C1">
            <w:pPr>
              <w:jc w:val="center"/>
              <w:cnfStyle w:val="000000010000"/>
              <w:rPr>
                <w:rFonts w:ascii="Times New Roman" w:hAnsi="Times New Roman"/>
                <w:sz w:val="20"/>
                <w:szCs w:val="20"/>
                <w:lang w:val="pt-PT"/>
              </w:rPr>
            </w:pPr>
            <w:r w:rsidRPr="00966B19">
              <w:rPr>
                <w:rFonts w:ascii="Times New Roman" w:hAnsi="Times New Roman"/>
                <w:sz w:val="20"/>
                <w:szCs w:val="20"/>
                <w:lang w:val="pt-PT"/>
              </w:rPr>
              <w:t>Setor de Serviços.</w:t>
            </w:r>
          </w:p>
          <w:p w:rsidR="00AE55C1" w:rsidRPr="00966B19" w:rsidRDefault="00AE55C1" w:rsidP="00AE55C1">
            <w:pPr>
              <w:jc w:val="center"/>
              <w:cnfStyle w:val="000000010000"/>
              <w:rPr>
                <w:rFonts w:ascii="Times New Roman" w:hAnsi="Times New Roman"/>
                <w:sz w:val="20"/>
                <w:szCs w:val="20"/>
                <w:lang w:val="pt-PT"/>
              </w:rPr>
            </w:pPr>
            <w:r w:rsidRPr="00966B19">
              <w:rPr>
                <w:rFonts w:ascii="Times New Roman" w:hAnsi="Times New Roman"/>
                <w:sz w:val="20"/>
                <w:szCs w:val="20"/>
                <w:lang w:val="pt-PT"/>
              </w:rPr>
              <w:t>Vinculações com o Estado restrito.</w:t>
            </w:r>
          </w:p>
          <w:p w:rsidR="00AE55C1" w:rsidRPr="00966B19" w:rsidRDefault="00AE55C1" w:rsidP="00AE55C1">
            <w:pPr>
              <w:jc w:val="center"/>
              <w:cnfStyle w:val="000000010000"/>
              <w:rPr>
                <w:rFonts w:ascii="Times New Roman" w:hAnsi="Times New Roman"/>
                <w:sz w:val="20"/>
                <w:szCs w:val="20"/>
                <w:lang w:val="pt-PT"/>
              </w:rPr>
            </w:pPr>
            <w:r w:rsidRPr="00966B19">
              <w:rPr>
                <w:rFonts w:ascii="Times New Roman" w:hAnsi="Times New Roman"/>
                <w:sz w:val="20"/>
                <w:szCs w:val="20"/>
                <w:lang w:val="pt-PT"/>
              </w:rPr>
              <w:t>Associações corporativas e setoriais.</w:t>
            </w:r>
          </w:p>
          <w:p w:rsidR="00AE55C1" w:rsidRPr="00966B19" w:rsidRDefault="00AE55C1" w:rsidP="00AE55C1">
            <w:pPr>
              <w:jc w:val="center"/>
              <w:cnfStyle w:val="000000010000"/>
              <w:rPr>
                <w:rFonts w:ascii="Times New Roman" w:hAnsi="Times New Roman"/>
                <w:sz w:val="20"/>
                <w:szCs w:val="20"/>
                <w:lang w:val="pt-PT"/>
              </w:rPr>
            </w:pPr>
          </w:p>
        </w:tc>
      </w:tr>
      <w:tr w:rsidR="00AE55C1" w:rsidRPr="00966B19" w:rsidTr="00E776C4">
        <w:trPr>
          <w:cnfStyle w:val="00000010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3) Ivan Zurita</w:t>
            </w:r>
          </w:p>
        </w:tc>
        <w:tc>
          <w:tcPr>
            <w:tcW w:w="3048" w:type="pct"/>
          </w:tcPr>
          <w:p w:rsidR="00AE55C1" w:rsidRPr="00966B19" w:rsidRDefault="00AE55C1" w:rsidP="00AE55C1">
            <w:pPr>
              <w:spacing w:before="100" w:beforeAutospacing="1" w:after="0"/>
              <w:jc w:val="both"/>
              <w:cnfStyle w:val="000000100000"/>
              <w:rPr>
                <w:rFonts w:ascii="Times New Roman" w:hAnsi="Times New Roman"/>
                <w:sz w:val="20"/>
                <w:szCs w:val="20"/>
              </w:rPr>
            </w:pPr>
            <w:r w:rsidRPr="00966B19">
              <w:rPr>
                <w:rFonts w:ascii="Times New Roman" w:hAnsi="Times New Roman"/>
                <w:sz w:val="20"/>
                <w:szCs w:val="20"/>
              </w:rPr>
              <w:t>Presidente da Nestlé Brasil, tendo desempenhado anteriormente a função de Presidente nas unidades da Nestlé em outros países: México, Costa Rica, El Salvador, Nicarágua, Guatemala e Honduras. Membro da Academia Brasileira de Marketing, do Conselho Estratégico Superior da Indústria da FIESP e da Academia Latino-Americana de Nutrologia, além de pertencer a outras associações no exterior. Prêmio Personalidade Empresarial (2006) e Prêmio Empreendedor do Ano (2005).</w:t>
            </w:r>
          </w:p>
          <w:p w:rsidR="00AE55C1" w:rsidRPr="00966B19" w:rsidRDefault="00AE55C1" w:rsidP="00AE55C1">
            <w:pPr>
              <w:spacing w:after="100" w:afterAutospacing="1"/>
              <w:cnfStyle w:val="000000100000"/>
              <w:rPr>
                <w:rFonts w:ascii="Times New Roman" w:hAnsi="Times New Roman"/>
                <w:b/>
                <w:color w:val="000000"/>
                <w:sz w:val="20"/>
                <w:szCs w:val="20"/>
              </w:rPr>
            </w:pPr>
            <w:r w:rsidRPr="00966B19">
              <w:rPr>
                <w:rFonts w:ascii="Times New Roman" w:hAnsi="Times New Roman"/>
                <w:b/>
                <w:bCs/>
                <w:sz w:val="20"/>
                <w:szCs w:val="20"/>
              </w:rPr>
              <w:t>Período:</w:t>
            </w:r>
            <w:r w:rsidRPr="00966B19">
              <w:rPr>
                <w:rFonts w:ascii="Times New Roman" w:hAnsi="Times New Roman"/>
                <w:b/>
                <w:sz w:val="20"/>
                <w:szCs w:val="20"/>
              </w:rPr>
              <w:t xml:space="preserve"> de 14/05/2007 a 25/08/2009.</w:t>
            </w:r>
          </w:p>
        </w:tc>
        <w:tc>
          <w:tcPr>
            <w:tcW w:w="952" w:type="pct"/>
          </w:tcPr>
          <w:p w:rsidR="00AE55C1" w:rsidRPr="00966B19" w:rsidRDefault="00AE55C1" w:rsidP="00AE55C1">
            <w:pPr>
              <w:jc w:val="center"/>
              <w:cnfStyle w:val="000000100000"/>
              <w:rPr>
                <w:rFonts w:ascii="Times New Roman" w:hAnsi="Times New Roman"/>
                <w:sz w:val="20"/>
                <w:szCs w:val="20"/>
                <w:lang w:val="pt-PT"/>
              </w:rPr>
            </w:pPr>
            <w:r w:rsidRPr="00966B19">
              <w:rPr>
                <w:rFonts w:ascii="Times New Roman" w:hAnsi="Times New Roman"/>
                <w:sz w:val="20"/>
                <w:szCs w:val="20"/>
                <w:lang w:val="pt-PT"/>
              </w:rPr>
              <w:t>Indústria de alimentos.</w:t>
            </w:r>
          </w:p>
          <w:p w:rsidR="00AE55C1" w:rsidRPr="00966B19" w:rsidRDefault="00AE55C1" w:rsidP="00AE55C1">
            <w:pPr>
              <w:jc w:val="center"/>
              <w:cnfStyle w:val="000000100000"/>
              <w:rPr>
                <w:rFonts w:ascii="Times New Roman" w:hAnsi="Times New Roman"/>
                <w:sz w:val="20"/>
                <w:szCs w:val="20"/>
                <w:lang w:val="pt-PT"/>
              </w:rPr>
            </w:pPr>
            <w:r w:rsidRPr="00966B19">
              <w:rPr>
                <w:rFonts w:ascii="Times New Roman" w:hAnsi="Times New Roman"/>
                <w:sz w:val="20"/>
                <w:szCs w:val="20"/>
                <w:lang w:val="pt-PT"/>
              </w:rPr>
              <w:t>Associações corporativas.</w:t>
            </w:r>
          </w:p>
          <w:p w:rsidR="00AE55C1" w:rsidRPr="00966B19" w:rsidRDefault="00AE55C1" w:rsidP="00AE55C1">
            <w:pPr>
              <w:jc w:val="center"/>
              <w:cnfStyle w:val="000000100000"/>
              <w:rPr>
                <w:rFonts w:ascii="Times New Roman" w:hAnsi="Times New Roman"/>
                <w:sz w:val="20"/>
                <w:szCs w:val="20"/>
                <w:lang w:val="pt-PT"/>
              </w:rPr>
            </w:pPr>
          </w:p>
        </w:tc>
      </w:tr>
      <w:tr w:rsidR="00AE55C1" w:rsidRPr="00966B19" w:rsidTr="00E776C4">
        <w:trPr>
          <w:cnfStyle w:val="00000001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4) Jackson Schneider</w:t>
            </w:r>
          </w:p>
        </w:tc>
        <w:tc>
          <w:tcPr>
            <w:tcW w:w="3048" w:type="pct"/>
          </w:tcPr>
          <w:p w:rsidR="00AE55C1" w:rsidRPr="00966B19" w:rsidRDefault="00AE55C1" w:rsidP="00AE55C1">
            <w:pPr>
              <w:spacing w:before="100" w:beforeAutospacing="1" w:after="0"/>
              <w:jc w:val="both"/>
              <w:cnfStyle w:val="000000010000"/>
              <w:rPr>
                <w:rFonts w:ascii="Times New Roman" w:hAnsi="Times New Roman"/>
                <w:sz w:val="20"/>
                <w:szCs w:val="20"/>
              </w:rPr>
            </w:pPr>
            <w:r w:rsidRPr="00966B19">
              <w:rPr>
                <w:rFonts w:ascii="Times New Roman" w:hAnsi="Times New Roman"/>
                <w:sz w:val="20"/>
                <w:szCs w:val="20"/>
              </w:rPr>
              <w:t xml:space="preserve">Vice-Presidente de Relações Institucionais da </w:t>
            </w:r>
            <w:r w:rsidRPr="00966B19">
              <w:rPr>
                <w:rFonts w:ascii="Times New Roman" w:hAnsi="Times New Roman"/>
                <w:bCs/>
                <w:sz w:val="20"/>
                <w:szCs w:val="20"/>
              </w:rPr>
              <w:t>Empresa Brasileira de Aeronáutica S.A. (EMBRAER). A</w:t>
            </w:r>
            <w:r w:rsidRPr="00966B19">
              <w:rPr>
                <w:rFonts w:ascii="Times New Roman" w:hAnsi="Times New Roman"/>
                <w:sz w:val="20"/>
                <w:szCs w:val="20"/>
              </w:rPr>
              <w:t>tual Vice-Presidente de RH, Jurídico &amp; Relações Institucionais da Mercedes-Benz, Vice-Presidente da FIESP e da ANFAVEA/SINFAVEA.</w:t>
            </w:r>
          </w:p>
          <w:p w:rsidR="00AE55C1" w:rsidRPr="00966B19" w:rsidRDefault="00AE55C1" w:rsidP="00AE55C1">
            <w:pPr>
              <w:spacing w:after="0"/>
              <w:cnfStyle w:val="000000010000"/>
              <w:rPr>
                <w:rFonts w:ascii="Times New Roman" w:hAnsi="Times New Roman"/>
                <w:b/>
                <w:color w:val="000000"/>
                <w:sz w:val="20"/>
                <w:szCs w:val="20"/>
              </w:rPr>
            </w:pPr>
            <w:r w:rsidRPr="00966B19">
              <w:rPr>
                <w:rFonts w:ascii="Times New Roman" w:hAnsi="Times New Roman"/>
                <w:b/>
                <w:bCs/>
                <w:sz w:val="20"/>
                <w:szCs w:val="20"/>
              </w:rPr>
              <w:t>Período:</w:t>
            </w:r>
            <w:r w:rsidRPr="00966B19">
              <w:rPr>
                <w:rFonts w:ascii="Times New Roman" w:hAnsi="Times New Roman"/>
                <w:b/>
                <w:sz w:val="20"/>
                <w:szCs w:val="20"/>
              </w:rPr>
              <w:t xml:space="preserve"> desde 14/05/2007.</w:t>
            </w:r>
          </w:p>
        </w:tc>
        <w:tc>
          <w:tcPr>
            <w:tcW w:w="952" w:type="pct"/>
          </w:tcPr>
          <w:p w:rsidR="00AE55C1" w:rsidRPr="00966B19" w:rsidRDefault="00AE55C1" w:rsidP="00AE55C1">
            <w:pPr>
              <w:jc w:val="center"/>
              <w:cnfStyle w:val="000000010000"/>
              <w:rPr>
                <w:rFonts w:ascii="Times New Roman" w:hAnsi="Times New Roman"/>
                <w:sz w:val="20"/>
                <w:szCs w:val="20"/>
                <w:lang w:val="pt-PT"/>
              </w:rPr>
            </w:pPr>
            <w:r w:rsidRPr="00966B19">
              <w:rPr>
                <w:rFonts w:ascii="Times New Roman" w:hAnsi="Times New Roman"/>
                <w:sz w:val="20"/>
                <w:szCs w:val="20"/>
                <w:lang w:val="pt-PT"/>
              </w:rPr>
              <w:t>Indústria aeronáutica. Associações corporativas e setoriais.</w:t>
            </w:r>
          </w:p>
          <w:p w:rsidR="00AE55C1" w:rsidRPr="00966B19" w:rsidRDefault="00AE55C1" w:rsidP="00AE55C1">
            <w:pPr>
              <w:jc w:val="center"/>
              <w:cnfStyle w:val="000000010000"/>
              <w:rPr>
                <w:rFonts w:ascii="Times New Roman" w:hAnsi="Times New Roman"/>
                <w:sz w:val="20"/>
                <w:szCs w:val="20"/>
                <w:lang w:val="pt-PT"/>
              </w:rPr>
            </w:pPr>
          </w:p>
        </w:tc>
      </w:tr>
      <w:tr w:rsidR="00AE55C1" w:rsidRPr="00966B19" w:rsidTr="00E776C4">
        <w:trPr>
          <w:cnfStyle w:val="00000010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5) Lincoln Fernandes</w:t>
            </w:r>
          </w:p>
        </w:tc>
        <w:tc>
          <w:tcPr>
            <w:tcW w:w="3048" w:type="pct"/>
          </w:tcPr>
          <w:p w:rsidR="00AE55C1" w:rsidRPr="00966B19" w:rsidRDefault="00AE55C1" w:rsidP="00AE55C1">
            <w:pPr>
              <w:spacing w:before="100" w:beforeAutospacing="1" w:after="0"/>
              <w:jc w:val="both"/>
              <w:cnfStyle w:val="000000100000"/>
              <w:rPr>
                <w:rFonts w:ascii="Times New Roman" w:hAnsi="Times New Roman"/>
                <w:sz w:val="20"/>
                <w:szCs w:val="20"/>
              </w:rPr>
            </w:pPr>
            <w:r w:rsidRPr="00966B19">
              <w:rPr>
                <w:rFonts w:ascii="Times New Roman" w:hAnsi="Times New Roman"/>
                <w:sz w:val="20"/>
                <w:szCs w:val="20"/>
              </w:rPr>
              <w:t xml:space="preserve">Sócio Controlador do Grupo Carfepe, com atuação nas áreas de Biotecnologia, Genética Avícola, Alimentação, Construção e Previdência Privada. Presidente da ITV Empreendimentos Imobiliários.  Presidente do Moinho Sete Irmãos (farinha de trigo). Presidente da Carfepe Sociedade de Previdência Privada. Diretor Conselheiro da Carfepe Holding. Presidente do Conselho de Política Econômica e Industrial da FIEMG - Federação das Indústrias do Estado de Minas Gerais. Membro do Conselho de Política Econômica da CNI - Confederação Nacional da Indústria. </w:t>
            </w:r>
          </w:p>
          <w:p w:rsidR="00AE55C1" w:rsidRPr="00966B19" w:rsidRDefault="00AE55C1" w:rsidP="00AE55C1">
            <w:pPr>
              <w:spacing w:after="100" w:afterAutospacing="1"/>
              <w:jc w:val="both"/>
              <w:cnfStyle w:val="000000100000"/>
              <w:rPr>
                <w:rFonts w:ascii="Times New Roman" w:hAnsi="Times New Roman"/>
                <w:color w:val="000000"/>
                <w:sz w:val="20"/>
                <w:szCs w:val="20"/>
              </w:rPr>
            </w:pPr>
            <w:r w:rsidRPr="00966B19">
              <w:rPr>
                <w:rFonts w:ascii="Times New Roman" w:hAnsi="Times New Roman"/>
                <w:b/>
                <w:bCs/>
                <w:sz w:val="20"/>
                <w:szCs w:val="20"/>
              </w:rPr>
              <w:t>Período:</w:t>
            </w:r>
            <w:r w:rsidRPr="00966B19">
              <w:rPr>
                <w:rFonts w:ascii="Times New Roman" w:hAnsi="Times New Roman"/>
                <w:b/>
                <w:sz w:val="20"/>
                <w:szCs w:val="20"/>
              </w:rPr>
              <w:t>desde 14/05/2007</w:t>
            </w:r>
          </w:p>
        </w:tc>
        <w:tc>
          <w:tcPr>
            <w:tcW w:w="952" w:type="pct"/>
          </w:tcPr>
          <w:p w:rsidR="00AE55C1" w:rsidRPr="00966B19" w:rsidRDefault="00AE55C1" w:rsidP="00AE55C1">
            <w:pPr>
              <w:jc w:val="center"/>
              <w:cnfStyle w:val="000000100000"/>
              <w:rPr>
                <w:rFonts w:ascii="Times New Roman" w:hAnsi="Times New Roman"/>
                <w:sz w:val="20"/>
                <w:szCs w:val="20"/>
              </w:rPr>
            </w:pPr>
            <w:r w:rsidRPr="00966B19">
              <w:rPr>
                <w:rFonts w:ascii="Times New Roman" w:hAnsi="Times New Roman"/>
                <w:sz w:val="20"/>
                <w:szCs w:val="20"/>
              </w:rPr>
              <w:t>Holding atuante em diversos setores econômicos.</w:t>
            </w:r>
          </w:p>
          <w:p w:rsidR="00AE55C1" w:rsidRPr="00966B19" w:rsidRDefault="00AE55C1" w:rsidP="00AE55C1">
            <w:pPr>
              <w:jc w:val="center"/>
              <w:cnfStyle w:val="000000100000"/>
              <w:rPr>
                <w:rFonts w:ascii="Times New Roman" w:hAnsi="Times New Roman"/>
                <w:sz w:val="20"/>
                <w:szCs w:val="20"/>
              </w:rPr>
            </w:pPr>
            <w:r w:rsidRPr="00966B19">
              <w:rPr>
                <w:rFonts w:ascii="Times New Roman" w:hAnsi="Times New Roman"/>
                <w:sz w:val="20"/>
                <w:szCs w:val="20"/>
              </w:rPr>
              <w:t>Associações corporativas.</w:t>
            </w:r>
          </w:p>
          <w:p w:rsidR="00AE55C1" w:rsidRPr="00966B19" w:rsidRDefault="00AE55C1" w:rsidP="00AE55C1">
            <w:pPr>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6) Luiza Helena Trajano</w:t>
            </w:r>
          </w:p>
        </w:tc>
        <w:tc>
          <w:tcPr>
            <w:tcW w:w="3048" w:type="pct"/>
          </w:tcPr>
          <w:p w:rsidR="00AE55C1" w:rsidRPr="00966B19" w:rsidRDefault="00AE55C1" w:rsidP="00AE55C1">
            <w:pPr>
              <w:pStyle w:val="pleft"/>
              <w:spacing w:after="0" w:afterAutospacing="0"/>
              <w:jc w:val="both"/>
              <w:cnfStyle w:val="000000010000"/>
              <w:rPr>
                <w:sz w:val="20"/>
                <w:szCs w:val="20"/>
              </w:rPr>
            </w:pPr>
            <w:r w:rsidRPr="00966B19">
              <w:rPr>
                <w:sz w:val="20"/>
                <w:szCs w:val="20"/>
              </w:rPr>
              <w:t xml:space="preserve">Presidente da rede Magazine Luiza. Membro do Conselho Nacional da Gestão Pública (gestão 2007-2010), e em 2008 membro do Conselho Superior Estratégico da FIESP. Recentemente ela assumiu também a presidência do IDV (Instituto para Desenvolvimento do Varejo) para o biênio 2009-2010. </w:t>
            </w:r>
          </w:p>
          <w:p w:rsidR="00AE55C1" w:rsidRPr="00966B19" w:rsidRDefault="00AE55C1" w:rsidP="00AE55C1">
            <w:pPr>
              <w:pStyle w:val="NormalWeb"/>
              <w:spacing w:before="0" w:beforeAutospacing="0"/>
              <w:jc w:val="both"/>
              <w:cnfStyle w:val="000000010000"/>
              <w:rPr>
                <w:color w:val="000000"/>
                <w:sz w:val="20"/>
                <w:szCs w:val="20"/>
              </w:rPr>
            </w:pPr>
            <w:r w:rsidRPr="00966B19">
              <w:rPr>
                <w:rStyle w:val="Forte"/>
                <w:sz w:val="20"/>
                <w:szCs w:val="20"/>
              </w:rPr>
              <w:t>Período:</w:t>
            </w:r>
            <w:r w:rsidRPr="00966B19">
              <w:rPr>
                <w:b/>
                <w:sz w:val="20"/>
                <w:szCs w:val="20"/>
              </w:rPr>
              <w:t xml:space="preserve"> desde 14/05/2007</w:t>
            </w:r>
          </w:p>
        </w:tc>
        <w:tc>
          <w:tcPr>
            <w:tcW w:w="952" w:type="pct"/>
          </w:tcPr>
          <w:p w:rsidR="00AE55C1" w:rsidRPr="00966B19" w:rsidRDefault="00AE55C1" w:rsidP="00AE55C1">
            <w:pPr>
              <w:spacing w:after="0"/>
              <w:jc w:val="center"/>
              <w:cnfStyle w:val="000000010000"/>
              <w:rPr>
                <w:rFonts w:ascii="Times New Roman" w:hAnsi="Times New Roman"/>
                <w:sz w:val="20"/>
                <w:szCs w:val="20"/>
              </w:rPr>
            </w:pPr>
            <w:r w:rsidRPr="00966B19">
              <w:rPr>
                <w:rFonts w:ascii="Times New Roman" w:hAnsi="Times New Roman"/>
                <w:sz w:val="20"/>
                <w:szCs w:val="20"/>
              </w:rPr>
              <w:t>Holding atuante principalmente no comércio e finanças.</w:t>
            </w:r>
          </w:p>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 xml:space="preserve">Associações corporativas e setoriais. </w:t>
            </w:r>
          </w:p>
        </w:tc>
      </w:tr>
      <w:tr w:rsidR="00AE55C1" w:rsidRPr="00966B19" w:rsidTr="00E776C4">
        <w:trPr>
          <w:cnfStyle w:val="00000010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7) Maurício Botelho</w:t>
            </w:r>
          </w:p>
        </w:tc>
        <w:tc>
          <w:tcPr>
            <w:tcW w:w="3048" w:type="pct"/>
          </w:tcPr>
          <w:p w:rsidR="00AE55C1" w:rsidRPr="00966B19" w:rsidRDefault="00AE55C1" w:rsidP="00AE55C1">
            <w:pPr>
              <w:spacing w:before="100" w:beforeAutospacing="1" w:after="0"/>
              <w:jc w:val="both"/>
              <w:cnfStyle w:val="000000100000"/>
              <w:rPr>
                <w:rFonts w:ascii="Times New Roman" w:hAnsi="Times New Roman"/>
                <w:sz w:val="20"/>
                <w:szCs w:val="20"/>
              </w:rPr>
            </w:pPr>
            <w:r w:rsidRPr="00966B19">
              <w:rPr>
                <w:rFonts w:ascii="Times New Roman" w:hAnsi="Times New Roman"/>
                <w:sz w:val="20"/>
                <w:szCs w:val="20"/>
              </w:rPr>
              <w:t xml:space="preserve">Presidente da Embraer (1995-2007). Presidente do Conselho de Administração da Embraer a partir de 2007. Atua como membro de Conselho e consultor em diferentes instituições e corporações, dentre as quais CBMM - Companhia Brasileira de Metalurgia e Mineração - Membro do Conselho de Administração e Mogno Consultoria de Negócios Ltda. - Presidente. De 2007 a 2009 foi Membro do Conselho de Administração da Perdigão e, de julho de 2008 a fevereiro de 2010, foi Membro do Conselho Consultivo para a América Latina do Deutsche Bank. Membro do Conselho Nacional de Desenvolvimento Industrial (CNDI) e do </w:t>
            </w:r>
            <w:r w:rsidRPr="00966B19">
              <w:rPr>
                <w:rFonts w:ascii="Times New Roman" w:hAnsi="Times New Roman"/>
                <w:color w:val="000000"/>
                <w:sz w:val="20"/>
                <w:szCs w:val="20"/>
              </w:rPr>
              <w:t>Conselho Consultivo do Setor Privado (CONEX) da CAMEX.</w:t>
            </w:r>
          </w:p>
          <w:p w:rsidR="00AE55C1" w:rsidRPr="00966B19" w:rsidRDefault="00AE55C1" w:rsidP="00AE55C1">
            <w:pPr>
              <w:jc w:val="both"/>
              <w:cnfStyle w:val="000000100000"/>
              <w:rPr>
                <w:rFonts w:ascii="Times New Roman" w:hAnsi="Times New Roman"/>
                <w:b/>
                <w:sz w:val="20"/>
                <w:szCs w:val="20"/>
              </w:rPr>
            </w:pPr>
            <w:r w:rsidRPr="00966B19">
              <w:rPr>
                <w:rFonts w:ascii="Times New Roman" w:hAnsi="Times New Roman"/>
                <w:b/>
                <w:sz w:val="20"/>
                <w:szCs w:val="20"/>
              </w:rPr>
              <w:t>Período: desde 14/05/2007</w:t>
            </w:r>
          </w:p>
        </w:tc>
        <w:tc>
          <w:tcPr>
            <w:tcW w:w="952" w:type="pct"/>
          </w:tcPr>
          <w:p w:rsidR="00AE55C1" w:rsidRPr="00966B19" w:rsidRDefault="00AE55C1" w:rsidP="00AE55C1">
            <w:pPr>
              <w:jc w:val="center"/>
              <w:cnfStyle w:val="000000100000"/>
              <w:rPr>
                <w:rFonts w:ascii="Times New Roman" w:hAnsi="Times New Roman"/>
                <w:sz w:val="20"/>
                <w:szCs w:val="20"/>
              </w:rPr>
            </w:pPr>
            <w:r w:rsidRPr="00966B19">
              <w:rPr>
                <w:rFonts w:ascii="Times New Roman" w:hAnsi="Times New Roman"/>
                <w:sz w:val="20"/>
                <w:szCs w:val="20"/>
              </w:rPr>
              <w:t>Indústria aeronáutica. Indústria alimentícia. Setor financeiro. Consultoria empresarial. Metalurgia.</w:t>
            </w:r>
          </w:p>
          <w:p w:rsidR="00AE55C1" w:rsidRPr="003409D0" w:rsidRDefault="00AE55C1" w:rsidP="00AE55C1">
            <w:pPr>
              <w:jc w:val="center"/>
              <w:cnfStyle w:val="000000100000"/>
              <w:rPr>
                <w:rFonts w:ascii="Times New Roman" w:hAnsi="Times New Roman"/>
                <w:sz w:val="20"/>
                <w:szCs w:val="20"/>
                <w:lang w:val="pt-PT"/>
              </w:rPr>
            </w:pPr>
            <w:r w:rsidRPr="00966B19">
              <w:rPr>
                <w:rFonts w:ascii="Times New Roman" w:hAnsi="Times New Roman"/>
                <w:sz w:val="20"/>
                <w:szCs w:val="20"/>
                <w:lang w:val="pt-PT"/>
              </w:rPr>
              <w:t>Vinculações com o Estado restrito.</w:t>
            </w:r>
          </w:p>
        </w:tc>
      </w:tr>
      <w:tr w:rsidR="00AE55C1" w:rsidRPr="00966B19" w:rsidTr="00E776C4">
        <w:trPr>
          <w:cnfStyle w:val="00000001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8) Murilo de Aragão</w:t>
            </w:r>
          </w:p>
        </w:tc>
        <w:tc>
          <w:tcPr>
            <w:tcW w:w="3048" w:type="pct"/>
          </w:tcPr>
          <w:p w:rsidR="00AE55C1" w:rsidRPr="00966B19" w:rsidRDefault="00AE55C1" w:rsidP="00AE55C1">
            <w:pPr>
              <w:pStyle w:val="pleft"/>
              <w:spacing w:after="0" w:afterAutospacing="0"/>
              <w:jc w:val="both"/>
              <w:cnfStyle w:val="000000010000"/>
              <w:rPr>
                <w:sz w:val="20"/>
                <w:szCs w:val="20"/>
              </w:rPr>
            </w:pPr>
            <w:r w:rsidRPr="00966B19">
              <w:rPr>
                <w:sz w:val="20"/>
                <w:szCs w:val="20"/>
              </w:rPr>
              <w:t xml:space="preserve">Advogado, jornalista e cientista político, mestre em Ciência Política e doutor em Sociologia pela Universidade de Brasília, Murillo de Aragão lidera uma das principais empresas de análise política e de políticas públicas da América Latina, a Arko Advice Pesquisas com sede em Brasília e escritórios em São Paulo, Rio de Janeiro, Porto Alegre e Nova York. A Arko Advice tem entre seus clientes bancos, empresas nacionais, multinacionais e entidades de classe. É associada à empresa Latin Source, rede de consultorias da América Latina. Comanda o noticioso Brazilian Intelligence e o Análise Política Latino- Americana, veiculado pela Agência Estado. </w:t>
            </w:r>
          </w:p>
          <w:p w:rsidR="00AE55C1" w:rsidRPr="00966B19" w:rsidRDefault="00AE55C1" w:rsidP="00AE55C1">
            <w:pPr>
              <w:pStyle w:val="NormalWeb"/>
              <w:spacing w:before="0" w:beforeAutospacing="0"/>
              <w:jc w:val="both"/>
              <w:cnfStyle w:val="000000010000"/>
              <w:rPr>
                <w:sz w:val="20"/>
                <w:szCs w:val="20"/>
                <w:lang w:val="pt-PT"/>
              </w:rPr>
            </w:pPr>
            <w:r w:rsidRPr="00966B19">
              <w:rPr>
                <w:rStyle w:val="Forte"/>
                <w:sz w:val="20"/>
                <w:szCs w:val="20"/>
              </w:rPr>
              <w:t>Período:</w:t>
            </w:r>
            <w:r w:rsidRPr="00966B19">
              <w:rPr>
                <w:b/>
                <w:sz w:val="20"/>
                <w:szCs w:val="20"/>
              </w:rPr>
              <w:t>desde 23/11/2007</w:t>
            </w:r>
          </w:p>
        </w:tc>
        <w:tc>
          <w:tcPr>
            <w:tcW w:w="952"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Consultoria.</w:t>
            </w:r>
          </w:p>
          <w:p w:rsidR="00AE55C1" w:rsidRPr="00966B19" w:rsidRDefault="00AE55C1" w:rsidP="00AE55C1">
            <w:pPr>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9) Nelson José Côrtes da Silveira</w:t>
            </w:r>
          </w:p>
        </w:tc>
        <w:tc>
          <w:tcPr>
            <w:tcW w:w="3048" w:type="pct"/>
          </w:tcPr>
          <w:p w:rsidR="00AE55C1" w:rsidRPr="00966B19" w:rsidRDefault="00AE55C1" w:rsidP="00AE55C1">
            <w:pPr>
              <w:spacing w:before="100" w:beforeAutospacing="1" w:after="0"/>
              <w:jc w:val="both"/>
              <w:cnfStyle w:val="000000100000"/>
              <w:rPr>
                <w:rFonts w:ascii="Times New Roman" w:hAnsi="Times New Roman"/>
                <w:sz w:val="20"/>
                <w:szCs w:val="20"/>
              </w:rPr>
            </w:pPr>
            <w:r w:rsidRPr="00966B19">
              <w:rPr>
                <w:rFonts w:ascii="Times New Roman" w:hAnsi="Times New Roman"/>
                <w:sz w:val="20"/>
                <w:szCs w:val="20"/>
              </w:rPr>
              <w:t>Empresário, sócio-fundador e administrador das empresas de termoeletricidade do Grupo Enguia Power Ltda e da produtora de biodiesel Brasil Ecodiesel S.A.. Atuando sempre na área de energias renováveis, é atualmente controlador e administrador da D F Vasconcelos Ltda, especializada em ótica e mecânica de precisão, onde busca desenvolver o uso da energia solar no país.</w:t>
            </w:r>
          </w:p>
          <w:p w:rsidR="00AE55C1" w:rsidRPr="00966B19" w:rsidRDefault="00AE55C1" w:rsidP="00AE55C1">
            <w:pPr>
              <w:cnfStyle w:val="000000100000"/>
              <w:rPr>
                <w:rFonts w:ascii="Times New Roman" w:hAnsi="Times New Roman"/>
                <w:color w:val="000000"/>
                <w:sz w:val="20"/>
                <w:szCs w:val="20"/>
              </w:rPr>
            </w:pPr>
            <w:r w:rsidRPr="00966B19">
              <w:rPr>
                <w:rFonts w:ascii="Times New Roman" w:hAnsi="Times New Roman"/>
                <w:b/>
                <w:bCs/>
                <w:sz w:val="20"/>
                <w:szCs w:val="20"/>
              </w:rPr>
              <w:t>Período:</w:t>
            </w:r>
            <w:r w:rsidRPr="00966B19">
              <w:rPr>
                <w:rFonts w:ascii="Times New Roman" w:hAnsi="Times New Roman"/>
                <w:b/>
                <w:sz w:val="20"/>
                <w:szCs w:val="20"/>
              </w:rPr>
              <w:t xml:space="preserve">desde 14/05/2007 </w:t>
            </w:r>
          </w:p>
        </w:tc>
        <w:tc>
          <w:tcPr>
            <w:tcW w:w="952" w:type="pct"/>
          </w:tcPr>
          <w:p w:rsidR="00AE55C1" w:rsidRPr="00966B19" w:rsidRDefault="00AE55C1" w:rsidP="00AE55C1">
            <w:pPr>
              <w:jc w:val="center"/>
              <w:cnfStyle w:val="000000100000"/>
              <w:rPr>
                <w:rFonts w:ascii="Times New Roman" w:hAnsi="Times New Roman"/>
                <w:sz w:val="20"/>
                <w:szCs w:val="20"/>
              </w:rPr>
            </w:pPr>
            <w:r w:rsidRPr="00966B19">
              <w:rPr>
                <w:rFonts w:ascii="Times New Roman" w:hAnsi="Times New Roman"/>
                <w:sz w:val="20"/>
                <w:szCs w:val="20"/>
              </w:rPr>
              <w:t>Setor de energia, combustível e tecnologia hospitalar.</w:t>
            </w:r>
          </w:p>
          <w:p w:rsidR="00AE55C1" w:rsidRPr="00966B19" w:rsidRDefault="00AE55C1" w:rsidP="00AE55C1">
            <w:pPr>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10) Paulo Tigre</w:t>
            </w:r>
          </w:p>
        </w:tc>
        <w:tc>
          <w:tcPr>
            <w:tcW w:w="3048" w:type="pct"/>
          </w:tcPr>
          <w:p w:rsidR="00AE55C1" w:rsidRPr="00966B19" w:rsidRDefault="00AE55C1" w:rsidP="00AE55C1">
            <w:pPr>
              <w:spacing w:before="100" w:beforeAutospacing="1"/>
              <w:jc w:val="both"/>
              <w:cnfStyle w:val="000000010000"/>
              <w:rPr>
                <w:rFonts w:ascii="Times New Roman" w:hAnsi="Times New Roman"/>
                <w:sz w:val="20"/>
                <w:szCs w:val="20"/>
              </w:rPr>
            </w:pPr>
            <w:r w:rsidRPr="00966B19">
              <w:rPr>
                <w:rFonts w:ascii="Times New Roman" w:hAnsi="Times New Roman"/>
                <w:sz w:val="20"/>
                <w:szCs w:val="20"/>
              </w:rPr>
              <w:t xml:space="preserve">Diretor da Holding DHB - Indústria e Comércio S/A e do Conselho de Administração da DHB Componentes Automotivos S/A, grupo industrial integrante da cadeia automotiva no segmento de autopeças. Presidente da Federação e do Centro das Indústrias do Rio Grande do Sul (2008-2011). Desde 2006, é um dos vice-presidentes da Confederação Nacional da Indústria. Em 2007, assumiu a presidência do Conselho de Integração Internacional da CNI. </w:t>
            </w:r>
          </w:p>
          <w:p w:rsidR="00AE55C1" w:rsidRPr="00966B19" w:rsidRDefault="00AE55C1" w:rsidP="00AE55C1">
            <w:pPr>
              <w:spacing w:after="100" w:afterAutospacing="1"/>
              <w:cnfStyle w:val="000000010000"/>
              <w:rPr>
                <w:rFonts w:ascii="Times New Roman" w:hAnsi="Times New Roman"/>
                <w:color w:val="000000"/>
                <w:sz w:val="20"/>
                <w:szCs w:val="20"/>
              </w:rPr>
            </w:pPr>
            <w:r w:rsidRPr="00966B19">
              <w:rPr>
                <w:rFonts w:ascii="Times New Roman" w:hAnsi="Times New Roman"/>
                <w:b/>
                <w:bCs/>
                <w:sz w:val="20"/>
                <w:szCs w:val="20"/>
              </w:rPr>
              <w:t>Período:</w:t>
            </w:r>
            <w:r w:rsidRPr="00966B19">
              <w:rPr>
                <w:rFonts w:ascii="Times New Roman" w:hAnsi="Times New Roman"/>
                <w:b/>
                <w:sz w:val="20"/>
                <w:szCs w:val="20"/>
              </w:rPr>
              <w:t xml:space="preserve"> desde 14/05/2007</w:t>
            </w:r>
          </w:p>
        </w:tc>
        <w:tc>
          <w:tcPr>
            <w:tcW w:w="952"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DHB: setor de autopeças. Associações corporativas.</w:t>
            </w:r>
          </w:p>
          <w:p w:rsidR="00AE55C1" w:rsidRPr="00966B19" w:rsidRDefault="00AE55C1" w:rsidP="00AE55C1">
            <w:pPr>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11) Rozani Holler</w:t>
            </w:r>
          </w:p>
        </w:tc>
        <w:tc>
          <w:tcPr>
            <w:tcW w:w="3048" w:type="pct"/>
          </w:tcPr>
          <w:p w:rsidR="00AE55C1" w:rsidRPr="00966B19" w:rsidRDefault="00AE55C1" w:rsidP="00AE55C1">
            <w:pPr>
              <w:spacing w:after="0"/>
              <w:jc w:val="both"/>
              <w:cnfStyle w:val="000000100000"/>
              <w:rPr>
                <w:rFonts w:ascii="Times New Roman" w:hAnsi="Times New Roman"/>
                <w:sz w:val="20"/>
                <w:szCs w:val="20"/>
              </w:rPr>
            </w:pPr>
            <w:r w:rsidRPr="00966B19">
              <w:rPr>
                <w:rFonts w:ascii="Times New Roman" w:hAnsi="Times New Roman"/>
                <w:sz w:val="20"/>
                <w:szCs w:val="20"/>
              </w:rPr>
              <w:t xml:space="preserve">Representante Nacional do Ramo Trabalho na OCB – Organização das Cooperativas Brasileiras, mandatos: 2001 a 2004 e 2004 a 2008. Participação das discussões sobre a regulamentação do Cooperativismo de Trabalho no Brasil – 2005/2006 e 2007. Ex-Presidente da Confederação Brasileira das Cooperativas de Trabalho - COOTRABALHO – 1999 a 2005. Ex-Presidente da Federação das Cooperativas de Trabalho do Estado da BA – 1997 a 2001. Participação no Fórum Nacional do Trabalho – 2003 e 2004. Participação do GT8 dentro do FNT – 2003 e 2004. </w:t>
            </w:r>
          </w:p>
          <w:p w:rsidR="00AE55C1" w:rsidRPr="00966B19" w:rsidRDefault="00AE55C1" w:rsidP="00AE55C1">
            <w:pPr>
              <w:jc w:val="both"/>
              <w:cnfStyle w:val="000000100000"/>
              <w:rPr>
                <w:rFonts w:ascii="Times New Roman" w:hAnsi="Times New Roman"/>
                <w:sz w:val="20"/>
                <w:szCs w:val="20"/>
              </w:rPr>
            </w:pPr>
            <w:r w:rsidRPr="00966B19">
              <w:rPr>
                <w:rFonts w:ascii="Times New Roman" w:hAnsi="Times New Roman"/>
                <w:b/>
                <w:bCs/>
                <w:sz w:val="20"/>
                <w:szCs w:val="20"/>
              </w:rPr>
              <w:t>Período:</w:t>
            </w:r>
            <w:r w:rsidRPr="00966B19">
              <w:rPr>
                <w:rFonts w:ascii="Times New Roman" w:hAnsi="Times New Roman"/>
                <w:b/>
                <w:sz w:val="20"/>
                <w:szCs w:val="20"/>
              </w:rPr>
              <w:t xml:space="preserve"> desde 14/05/2007</w:t>
            </w:r>
          </w:p>
        </w:tc>
        <w:tc>
          <w:tcPr>
            <w:tcW w:w="952" w:type="pct"/>
          </w:tcPr>
          <w:p w:rsidR="00AE55C1" w:rsidRPr="00966B19" w:rsidRDefault="00AE55C1" w:rsidP="00AE55C1">
            <w:pPr>
              <w:pStyle w:val="NormalWeb"/>
              <w:spacing w:before="0" w:beforeAutospacing="0" w:after="0" w:afterAutospacing="0"/>
              <w:jc w:val="center"/>
              <w:cnfStyle w:val="000000100000"/>
              <w:rPr>
                <w:sz w:val="20"/>
                <w:szCs w:val="20"/>
              </w:rPr>
            </w:pPr>
            <w:r w:rsidRPr="00966B19">
              <w:rPr>
                <w:sz w:val="20"/>
                <w:szCs w:val="20"/>
              </w:rPr>
              <w:t>Agroindústria.</w:t>
            </w:r>
          </w:p>
          <w:p w:rsidR="00AE55C1" w:rsidRPr="00966B19" w:rsidRDefault="00AE55C1" w:rsidP="00AE55C1">
            <w:pPr>
              <w:pStyle w:val="NormalWeb"/>
              <w:spacing w:before="0" w:beforeAutospacing="0" w:after="0" w:afterAutospacing="0"/>
              <w:jc w:val="center"/>
              <w:cnfStyle w:val="000000100000"/>
              <w:rPr>
                <w:sz w:val="20"/>
                <w:szCs w:val="20"/>
              </w:rPr>
            </w:pPr>
            <w:r w:rsidRPr="00966B19">
              <w:rPr>
                <w:sz w:val="20"/>
                <w:szCs w:val="20"/>
              </w:rPr>
              <w:t>Associações setoriais.</w:t>
            </w:r>
          </w:p>
          <w:p w:rsidR="00AE55C1" w:rsidRPr="00966B19" w:rsidRDefault="00AE55C1" w:rsidP="00AE55C1">
            <w:pPr>
              <w:pStyle w:val="NormalWeb"/>
              <w:spacing w:before="0" w:beforeAutospacing="0" w:after="0" w:afterAutospacing="0"/>
              <w:jc w:val="center"/>
              <w:cnfStyle w:val="000000100000"/>
              <w:rPr>
                <w:sz w:val="20"/>
                <w:szCs w:val="20"/>
              </w:rPr>
            </w:pPr>
          </w:p>
        </w:tc>
      </w:tr>
      <w:tr w:rsidR="00AE55C1" w:rsidRPr="00966B19" w:rsidTr="00E776C4">
        <w:trPr>
          <w:cnfStyle w:val="00000001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12) Sônia Regina Hess de Souza</w:t>
            </w:r>
          </w:p>
        </w:tc>
        <w:tc>
          <w:tcPr>
            <w:tcW w:w="3048" w:type="pct"/>
          </w:tcPr>
          <w:p w:rsidR="00AE55C1" w:rsidRPr="00966B19" w:rsidRDefault="00AE55C1" w:rsidP="00AE55C1">
            <w:pPr>
              <w:spacing w:before="100" w:beforeAutospacing="1" w:after="0"/>
              <w:jc w:val="both"/>
              <w:cnfStyle w:val="000000010000"/>
              <w:rPr>
                <w:rFonts w:ascii="Times New Roman" w:hAnsi="Times New Roman"/>
                <w:sz w:val="20"/>
                <w:szCs w:val="20"/>
              </w:rPr>
            </w:pPr>
            <w:r w:rsidRPr="00966B19">
              <w:rPr>
                <w:rFonts w:ascii="Times New Roman" w:hAnsi="Times New Roman"/>
                <w:sz w:val="20"/>
                <w:szCs w:val="20"/>
              </w:rPr>
              <w:t xml:space="preserve"> Presidente da Dudalina S/A, empresa de moda. Atuação: CONSULT: Conselho Consultivo Superior de Governo de Santa Catarina, FIESC - CIESC/SC - Conselho Fiscal, ADVB/SC - Vice-Presidente Conselho / Gestão 2011-2013, FIESP - Comitês: Responsabilidade Social (CORES), Têxtil (COMTÊXTIL), Conselho Superior de Responsabilidade Social (CONSOCIAL), ABIT / SP - Conselheira Vice-Presidente, Conselho Curador da Fundação Dom Cabral / MG, Presidente do LIDEM: Grupo de Mulheres Líderes Empresariais / SP, LIDE: Grupo de Líderes Empresariais / SP,  Conselho Consultivo do World Trade Center / SP, Jurada da Cartier Womens´s Initiative Awards / França - 2010. Fórum de Líderes.</w:t>
            </w:r>
          </w:p>
          <w:p w:rsidR="00AE55C1" w:rsidRPr="00966B19" w:rsidRDefault="00AE55C1" w:rsidP="00AE55C1">
            <w:pPr>
              <w:jc w:val="both"/>
              <w:cnfStyle w:val="000000010000"/>
              <w:rPr>
                <w:rFonts w:ascii="Times New Roman" w:hAnsi="Times New Roman"/>
                <w:sz w:val="20"/>
                <w:szCs w:val="20"/>
              </w:rPr>
            </w:pPr>
            <w:r w:rsidRPr="00966B19">
              <w:rPr>
                <w:rFonts w:ascii="Times New Roman" w:hAnsi="Times New Roman"/>
                <w:b/>
                <w:bCs/>
                <w:sz w:val="20"/>
                <w:szCs w:val="20"/>
              </w:rPr>
              <w:t>Período:</w:t>
            </w:r>
            <w:r w:rsidRPr="00966B19">
              <w:rPr>
                <w:rFonts w:ascii="Times New Roman" w:hAnsi="Times New Roman"/>
                <w:b/>
                <w:sz w:val="20"/>
                <w:szCs w:val="20"/>
              </w:rPr>
              <w:t xml:space="preserve"> desde 14/05/2007</w:t>
            </w:r>
          </w:p>
        </w:tc>
        <w:tc>
          <w:tcPr>
            <w:tcW w:w="952" w:type="pct"/>
          </w:tcPr>
          <w:p w:rsidR="00AE55C1" w:rsidRPr="00966B19" w:rsidRDefault="00AE55C1" w:rsidP="00AE55C1">
            <w:pPr>
              <w:pStyle w:val="NormalWeb"/>
              <w:spacing w:before="0" w:beforeAutospacing="0" w:after="0" w:afterAutospacing="0"/>
              <w:jc w:val="center"/>
              <w:cnfStyle w:val="000000010000"/>
              <w:rPr>
                <w:sz w:val="20"/>
                <w:szCs w:val="20"/>
              </w:rPr>
            </w:pPr>
            <w:r w:rsidRPr="00966B19">
              <w:rPr>
                <w:sz w:val="20"/>
                <w:szCs w:val="20"/>
              </w:rPr>
              <w:t>Indústria Têxtil. Comércio.</w:t>
            </w:r>
          </w:p>
          <w:p w:rsidR="00AE55C1" w:rsidRPr="00966B19" w:rsidRDefault="00AE55C1" w:rsidP="00AE55C1">
            <w:pPr>
              <w:pStyle w:val="NormalWeb"/>
              <w:spacing w:before="0" w:beforeAutospacing="0" w:after="0" w:afterAutospacing="0"/>
              <w:jc w:val="center"/>
              <w:cnfStyle w:val="000000010000"/>
              <w:rPr>
                <w:sz w:val="20"/>
                <w:szCs w:val="20"/>
              </w:rPr>
            </w:pPr>
            <w:r w:rsidRPr="00966B19">
              <w:rPr>
                <w:sz w:val="20"/>
                <w:szCs w:val="20"/>
              </w:rPr>
              <w:t>Associações corporativas, setoriais e societais.</w:t>
            </w:r>
          </w:p>
          <w:p w:rsidR="00AE55C1" w:rsidRPr="00966B19" w:rsidRDefault="00AE55C1" w:rsidP="00AE55C1">
            <w:pPr>
              <w:pStyle w:val="NormalWeb"/>
              <w:spacing w:before="0" w:beforeAutospacing="0" w:after="0" w:afterAutospacing="0"/>
              <w:jc w:val="center"/>
              <w:cnfStyle w:val="000000010000"/>
              <w:rPr>
                <w:sz w:val="20"/>
                <w:szCs w:val="20"/>
              </w:rPr>
            </w:pPr>
          </w:p>
        </w:tc>
      </w:tr>
      <w:tr w:rsidR="00AE55C1" w:rsidRPr="00966B19" w:rsidTr="00E776C4">
        <w:trPr>
          <w:cnfStyle w:val="00000010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13) Vicente Mattos</w:t>
            </w:r>
          </w:p>
        </w:tc>
        <w:tc>
          <w:tcPr>
            <w:tcW w:w="3048" w:type="pct"/>
          </w:tcPr>
          <w:p w:rsidR="00AE55C1" w:rsidRPr="00966B19" w:rsidRDefault="00AE55C1" w:rsidP="00AE55C1">
            <w:pPr>
              <w:spacing w:before="100" w:beforeAutospacing="1" w:after="0"/>
              <w:jc w:val="both"/>
              <w:cnfStyle w:val="000000100000"/>
              <w:rPr>
                <w:rFonts w:ascii="Times New Roman" w:hAnsi="Times New Roman"/>
                <w:sz w:val="20"/>
                <w:szCs w:val="20"/>
              </w:rPr>
            </w:pPr>
            <w:r w:rsidRPr="00966B19">
              <w:rPr>
                <w:rFonts w:ascii="Times New Roman" w:hAnsi="Times New Roman"/>
                <w:sz w:val="20"/>
                <w:szCs w:val="20"/>
              </w:rPr>
              <w:t>Empresário da Construção Civil, sócio da Concreta Tecnologia em Engenharia Ltda.  Vice-presidente da Federação das Indústrias do Estado da Bahia; vice-presidente da Câmara Brasileira da Indústria da Construção - CBIC; diretor de relações institucionais do Sindicato da Indústria da Construção do Estado da Bahia; membro do Conselho de Integração Nacional da CNI; membro do Conselho de Desenvolvimento Econômico e Social do Estado da Bahia; membro dos Conselhos de Economia e Desenvolvimento Industrial, de Responsabilidade Social e de Inovação Tecnológica da FIEBA; membro do Fórum Empresarial da Bahia e Coordenador do Projeto de Capacitação para Inovação da CBIC. Foi Diretor Regional do Instituto Brasileiro do Concreto (BA/SE). Forte atuação no Sindicato da Indústria da Construção do Estado da Bahia.</w:t>
            </w:r>
          </w:p>
          <w:p w:rsidR="00AE55C1" w:rsidRPr="00966B19" w:rsidRDefault="00AE55C1" w:rsidP="00AE55C1">
            <w:pPr>
              <w:spacing w:after="0"/>
              <w:cnfStyle w:val="000000100000"/>
              <w:rPr>
                <w:rFonts w:ascii="Times New Roman" w:hAnsi="Times New Roman"/>
                <w:sz w:val="20"/>
                <w:szCs w:val="20"/>
              </w:rPr>
            </w:pPr>
            <w:r w:rsidRPr="00966B19">
              <w:rPr>
                <w:rFonts w:ascii="Times New Roman" w:hAnsi="Times New Roman"/>
                <w:b/>
                <w:bCs/>
                <w:sz w:val="20"/>
                <w:szCs w:val="20"/>
              </w:rPr>
              <w:t>Período:</w:t>
            </w:r>
            <w:r w:rsidRPr="00966B19">
              <w:rPr>
                <w:rFonts w:ascii="Times New Roman" w:hAnsi="Times New Roman"/>
                <w:b/>
                <w:sz w:val="20"/>
                <w:szCs w:val="20"/>
              </w:rPr>
              <w:t>desde 14/05/2007</w:t>
            </w:r>
          </w:p>
        </w:tc>
        <w:tc>
          <w:tcPr>
            <w:tcW w:w="952" w:type="pct"/>
          </w:tcPr>
          <w:p w:rsidR="00AE55C1" w:rsidRPr="00966B19" w:rsidRDefault="00AE55C1" w:rsidP="00AE55C1">
            <w:pPr>
              <w:pStyle w:val="NormalWeb"/>
              <w:spacing w:before="0" w:beforeAutospacing="0" w:after="0" w:afterAutospacing="0"/>
              <w:jc w:val="center"/>
              <w:cnfStyle w:val="000000100000"/>
              <w:rPr>
                <w:sz w:val="20"/>
                <w:szCs w:val="20"/>
              </w:rPr>
            </w:pPr>
            <w:r w:rsidRPr="00966B19">
              <w:rPr>
                <w:sz w:val="20"/>
                <w:szCs w:val="20"/>
              </w:rPr>
              <w:t>Indústria da Construção Civil.</w:t>
            </w:r>
          </w:p>
          <w:p w:rsidR="00AE55C1" w:rsidRPr="00966B19" w:rsidRDefault="00AE55C1" w:rsidP="00AE55C1">
            <w:pPr>
              <w:pStyle w:val="NormalWeb"/>
              <w:spacing w:before="0" w:beforeAutospacing="0" w:after="0" w:afterAutospacing="0"/>
              <w:jc w:val="center"/>
              <w:cnfStyle w:val="000000100000"/>
              <w:rPr>
                <w:sz w:val="20"/>
                <w:szCs w:val="20"/>
              </w:rPr>
            </w:pPr>
            <w:r w:rsidRPr="00966B19">
              <w:rPr>
                <w:sz w:val="20"/>
                <w:szCs w:val="20"/>
              </w:rPr>
              <w:t>Associações corporativas e setoriais.</w:t>
            </w:r>
          </w:p>
          <w:p w:rsidR="00AE55C1" w:rsidRPr="00966B19" w:rsidRDefault="00AE55C1" w:rsidP="00AE55C1">
            <w:pPr>
              <w:pStyle w:val="NormalWeb"/>
              <w:spacing w:before="0" w:beforeAutospacing="0" w:after="0" w:afterAutospacing="0"/>
              <w:jc w:val="center"/>
              <w:cnfStyle w:val="000000100000"/>
              <w:rPr>
                <w:sz w:val="20"/>
                <w:szCs w:val="20"/>
              </w:rPr>
            </w:pPr>
          </w:p>
        </w:tc>
      </w:tr>
    </w:tbl>
    <w:p w:rsidR="00AE55C1" w:rsidRPr="00966B19" w:rsidRDefault="00AE55C1" w:rsidP="00AE55C1">
      <w:pPr>
        <w:rPr>
          <w:rFonts w:ascii="Times New Roman" w:hAnsi="Times New Roman"/>
          <w:sz w:val="20"/>
          <w:szCs w:val="20"/>
        </w:rPr>
      </w:pPr>
    </w:p>
    <w:p w:rsidR="00AE55C1" w:rsidRPr="00A87CE6" w:rsidRDefault="00A87CE6" w:rsidP="00A87CE6">
      <w:pPr>
        <w:spacing w:before="240" w:line="240" w:lineRule="auto"/>
        <w:jc w:val="center"/>
        <w:rPr>
          <w:rFonts w:ascii="Times New Roman" w:hAnsi="Times New Roman"/>
          <w:b/>
          <w:sz w:val="24"/>
          <w:szCs w:val="24"/>
        </w:rPr>
      </w:pPr>
      <w:r>
        <w:rPr>
          <w:rFonts w:ascii="Times New Roman" w:hAnsi="Times New Roman"/>
          <w:b/>
          <w:sz w:val="24"/>
          <w:szCs w:val="24"/>
        </w:rPr>
        <w:t>Presença do Empresariado (e de seus Prepostos) no Conselho de Desenvolvimento Econômico e Social (</w:t>
      </w:r>
      <w:r w:rsidR="004A0803">
        <w:rPr>
          <w:rFonts w:ascii="Times New Roman" w:hAnsi="Times New Roman"/>
          <w:b/>
          <w:sz w:val="24"/>
          <w:szCs w:val="24"/>
        </w:rPr>
        <w:t>ingresso</w:t>
      </w:r>
      <w:r w:rsidR="003E7B44">
        <w:rPr>
          <w:rFonts w:ascii="Times New Roman" w:hAnsi="Times New Roman"/>
          <w:b/>
          <w:sz w:val="24"/>
          <w:szCs w:val="24"/>
        </w:rPr>
        <w:t>s</w:t>
      </w:r>
      <w:r w:rsidR="004A0803">
        <w:rPr>
          <w:rFonts w:ascii="Times New Roman" w:hAnsi="Times New Roman"/>
          <w:b/>
          <w:sz w:val="24"/>
          <w:szCs w:val="24"/>
        </w:rPr>
        <w:t xml:space="preserve"> em </w:t>
      </w:r>
      <w:r>
        <w:rPr>
          <w:rFonts w:ascii="Times New Roman" w:hAnsi="Times New Roman"/>
          <w:b/>
          <w:sz w:val="24"/>
          <w:szCs w:val="24"/>
        </w:rPr>
        <w:t>2008)</w:t>
      </w:r>
    </w:p>
    <w:p w:rsidR="00AE55C1" w:rsidRPr="00966B19" w:rsidRDefault="00AE55C1" w:rsidP="00AE55C1">
      <w:pPr>
        <w:rPr>
          <w:rFonts w:ascii="Times New Roman" w:hAnsi="Times New Roman"/>
          <w:b/>
          <w:sz w:val="20"/>
          <w:szCs w:val="20"/>
        </w:rPr>
      </w:pPr>
    </w:p>
    <w:tbl>
      <w:tblPr>
        <w:tblStyle w:val="GradeClara-nfase11"/>
        <w:tblW w:w="5234" w:type="pct"/>
        <w:tblInd w:w="-459" w:type="dxa"/>
        <w:tblLayout w:type="fixed"/>
        <w:tblLook w:val="04A0"/>
      </w:tblPr>
      <w:tblGrid>
        <w:gridCol w:w="2980"/>
        <w:gridCol w:w="9070"/>
        <w:gridCol w:w="2834"/>
      </w:tblGrid>
      <w:tr w:rsidR="00AE55C1" w:rsidRPr="00966B19" w:rsidTr="00E776C4">
        <w:trPr>
          <w:cnfStyle w:val="100000000000"/>
        </w:trPr>
        <w:tc>
          <w:tcPr>
            <w:cnfStyle w:val="001000000000"/>
            <w:tcW w:w="1001" w:type="pct"/>
          </w:tcPr>
          <w:p w:rsidR="00AE55C1" w:rsidRPr="003409D0" w:rsidRDefault="00AE55C1" w:rsidP="00AE55C1">
            <w:pPr>
              <w:rPr>
                <w:rFonts w:ascii="Times New Roman" w:hAnsi="Times New Roman"/>
                <w:sz w:val="20"/>
                <w:szCs w:val="20"/>
              </w:rPr>
            </w:pPr>
            <w:r w:rsidRPr="003409D0">
              <w:rPr>
                <w:rFonts w:ascii="Times New Roman" w:hAnsi="Times New Roman"/>
                <w:sz w:val="20"/>
                <w:szCs w:val="20"/>
              </w:rPr>
              <w:t>Conselheiros-Empresários</w:t>
            </w:r>
          </w:p>
        </w:tc>
        <w:tc>
          <w:tcPr>
            <w:tcW w:w="3047" w:type="pct"/>
          </w:tcPr>
          <w:p w:rsidR="00AE55C1" w:rsidRPr="003409D0" w:rsidRDefault="00AE55C1" w:rsidP="00AE55C1">
            <w:pPr>
              <w:jc w:val="both"/>
              <w:cnfStyle w:val="100000000000"/>
              <w:rPr>
                <w:rFonts w:ascii="Times New Roman" w:hAnsi="Times New Roman"/>
                <w:sz w:val="20"/>
                <w:szCs w:val="20"/>
              </w:rPr>
            </w:pPr>
            <w:r w:rsidRPr="003409D0">
              <w:rPr>
                <w:rFonts w:ascii="Times New Roman" w:hAnsi="Times New Roman"/>
                <w:sz w:val="20"/>
                <w:szCs w:val="20"/>
              </w:rPr>
              <w:t>Trajetórias e Vinculações</w:t>
            </w:r>
          </w:p>
        </w:tc>
        <w:tc>
          <w:tcPr>
            <w:tcW w:w="952" w:type="pct"/>
          </w:tcPr>
          <w:p w:rsidR="00AE55C1" w:rsidRPr="003409D0" w:rsidRDefault="00AE55C1" w:rsidP="00AE55C1">
            <w:pPr>
              <w:pStyle w:val="DecimalAligned"/>
              <w:tabs>
                <w:tab w:val="clear" w:pos="360"/>
              </w:tabs>
              <w:spacing w:after="0" w:line="240" w:lineRule="auto"/>
              <w:jc w:val="center"/>
              <w:cnfStyle w:val="100000000000"/>
              <w:rPr>
                <w:rFonts w:ascii="Times New Roman" w:hAnsi="Times New Roman"/>
                <w:sz w:val="20"/>
                <w:szCs w:val="20"/>
              </w:rPr>
            </w:pPr>
            <w:r w:rsidRPr="003409D0">
              <w:rPr>
                <w:rFonts w:ascii="Times New Roman" w:hAnsi="Times New Roman"/>
                <w:sz w:val="20"/>
                <w:szCs w:val="20"/>
              </w:rPr>
              <w:t xml:space="preserve">Atividades Principais e Tipos de Associações </w:t>
            </w:r>
          </w:p>
        </w:tc>
      </w:tr>
      <w:tr w:rsidR="00AE55C1" w:rsidRPr="00966B19" w:rsidTr="00E776C4">
        <w:trPr>
          <w:cnfStyle w:val="000000100000"/>
        </w:trPr>
        <w:tc>
          <w:tcPr>
            <w:cnfStyle w:val="001000000000"/>
            <w:tcW w:w="1001"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1) Antonio Carbonari Neto</w:t>
            </w:r>
          </w:p>
        </w:tc>
        <w:tc>
          <w:tcPr>
            <w:tcW w:w="3047" w:type="pct"/>
          </w:tcPr>
          <w:p w:rsidR="00AE55C1" w:rsidRPr="00966B19" w:rsidRDefault="00AE55C1" w:rsidP="00E776C4">
            <w:pPr>
              <w:spacing w:before="100" w:beforeAutospacing="1" w:after="0"/>
              <w:jc w:val="both"/>
              <w:cnfStyle w:val="000000100000"/>
              <w:rPr>
                <w:rFonts w:ascii="Times New Roman" w:hAnsi="Times New Roman"/>
                <w:sz w:val="20"/>
                <w:szCs w:val="20"/>
              </w:rPr>
            </w:pPr>
            <w:r w:rsidRPr="00966B19">
              <w:rPr>
                <w:rFonts w:ascii="Times New Roman" w:hAnsi="Times New Roman"/>
                <w:sz w:val="20"/>
                <w:szCs w:val="20"/>
              </w:rPr>
              <w:t>Presidente da Anhanguera Educacional S.A., entidade mantenedora das Faculdades Integradas de Valinhos, Faculdade Comunitária de Campinas, Faculdade Politécnica de Jundiaí, Faculdade Politécnica de Matão, Faculdade Comunitária de Santa Bárbara, Faculdade Comunitária de Limeira, Faculdade Comunitária de Taubaté, Faculdade Comunitária de Piracicaba, Faculdade Comunitária de Sorocaba, Faculdade Comunitária de São José dos Campos e do Centro Universitário Anhanguera (Leme e Pirassununga); Diretor de Relações Institucionais do SEMESP - Sindicato das Entidades Mantenedoras de Estabelecimentos de Ensino Superior do Estado de São Paulo, 2005/2008; Vice-Presidente e Membro do Conselho Curador da Fundação Nacional de Desenvolvimento do Ensino Superior Particular/FUNADESP.</w:t>
            </w:r>
          </w:p>
          <w:p w:rsidR="00AE55C1" w:rsidRPr="00966B19" w:rsidRDefault="00AE55C1" w:rsidP="00AE55C1">
            <w:pPr>
              <w:spacing w:after="100" w:afterAutospacing="1"/>
              <w:jc w:val="both"/>
              <w:cnfStyle w:val="000000100000"/>
              <w:rPr>
                <w:rFonts w:ascii="Times New Roman" w:hAnsi="Times New Roman"/>
                <w:b/>
                <w:color w:val="FF0000"/>
                <w:sz w:val="20"/>
                <w:szCs w:val="20"/>
              </w:rPr>
            </w:pPr>
            <w:r w:rsidRPr="00966B19">
              <w:rPr>
                <w:rFonts w:ascii="Times New Roman" w:hAnsi="Times New Roman"/>
                <w:b/>
                <w:sz w:val="20"/>
                <w:szCs w:val="20"/>
              </w:rPr>
              <w:t>Período: de 07/07/2008 a 27/04/2010</w:t>
            </w:r>
          </w:p>
        </w:tc>
        <w:tc>
          <w:tcPr>
            <w:tcW w:w="952"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Empresariamento Educacional.</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Associações setoriais.</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2) Antonio Carlos Valente da Silva</w:t>
            </w:r>
          </w:p>
        </w:tc>
        <w:tc>
          <w:tcPr>
            <w:tcW w:w="3047" w:type="pct"/>
          </w:tcPr>
          <w:p w:rsidR="00AE55C1" w:rsidRPr="00966B19" w:rsidRDefault="00AE55C1" w:rsidP="00AE55C1">
            <w:pPr>
              <w:pStyle w:val="pleft"/>
              <w:spacing w:before="0" w:beforeAutospacing="0" w:after="0" w:afterAutospacing="0"/>
              <w:jc w:val="both"/>
              <w:cnfStyle w:val="000000010000"/>
              <w:rPr>
                <w:sz w:val="20"/>
                <w:szCs w:val="20"/>
              </w:rPr>
            </w:pPr>
            <w:r w:rsidRPr="00966B19">
              <w:rPr>
                <w:sz w:val="20"/>
                <w:szCs w:val="20"/>
              </w:rPr>
              <w:t>Presidente Executivo do Grupo Telefônica no Brasil, membro dos Conselhos de Administração da Telefónica Internacional S/A e da Telesp (Telefônica SP) e Presidente da AHCIET – Asociación Iberoamericana de Centros de Investigación y Empresas de Telecomunicaciones, e da Telebrasil. Foi presidente da Telefónica no Peru, Diretor-Geral para Temas Regulatórios do Grupo na América Latina e Vice-presidente da Anatel – Agência Nacional de Telecomunicações, entre dezembro de 2001 e junho de 2004. Antonio Carlos Valente é engenheiro, pós-graduado em administração e negócios, com cursos de especialização em Gerência de Sistemas e Negócios.</w:t>
            </w:r>
          </w:p>
          <w:p w:rsidR="00AE55C1" w:rsidRPr="00966B19" w:rsidRDefault="00AE55C1" w:rsidP="00AE55C1">
            <w:pPr>
              <w:pStyle w:val="pleft"/>
              <w:spacing w:before="0" w:beforeAutospacing="0"/>
              <w:jc w:val="both"/>
              <w:cnfStyle w:val="000000010000"/>
              <w:rPr>
                <w:b/>
                <w:color w:val="000000"/>
                <w:sz w:val="20"/>
                <w:szCs w:val="20"/>
              </w:rPr>
            </w:pPr>
            <w:r w:rsidRPr="00966B19">
              <w:rPr>
                <w:b/>
                <w:sz w:val="20"/>
                <w:szCs w:val="20"/>
              </w:rPr>
              <w:t>Período: desde 07/07/2008</w:t>
            </w:r>
          </w:p>
        </w:tc>
        <w:tc>
          <w:tcPr>
            <w:tcW w:w="952"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Setor de Telecomunicações. Vinculações com Estado restrito.</w:t>
            </w:r>
          </w:p>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Associações setoriais.</w:t>
            </w:r>
          </w:p>
          <w:p w:rsidR="00AE55C1" w:rsidRPr="00966B19" w:rsidRDefault="00AE55C1" w:rsidP="00AE55C1">
            <w:pPr>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1"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3) Carlos Gilberto Cavalcante Farias</w:t>
            </w:r>
          </w:p>
        </w:tc>
        <w:tc>
          <w:tcPr>
            <w:tcW w:w="3047" w:type="pct"/>
          </w:tcPr>
          <w:p w:rsidR="00AE55C1" w:rsidRPr="00966B19" w:rsidRDefault="00AE55C1" w:rsidP="00E776C4">
            <w:pPr>
              <w:spacing w:before="100" w:beforeAutospacing="1" w:after="0"/>
              <w:jc w:val="both"/>
              <w:cnfStyle w:val="000000100000"/>
              <w:rPr>
                <w:rFonts w:ascii="Times New Roman" w:hAnsi="Times New Roman"/>
                <w:sz w:val="20"/>
                <w:szCs w:val="20"/>
              </w:rPr>
            </w:pPr>
            <w:r w:rsidRPr="00966B19">
              <w:rPr>
                <w:rFonts w:ascii="Times New Roman" w:hAnsi="Times New Roman"/>
                <w:sz w:val="20"/>
                <w:szCs w:val="20"/>
              </w:rPr>
              <w:t xml:space="preserve">Diretor Institucional da Agrovale - Agro Indústrias do Vale do São Francisco S/A, Diretor da Agrivale - Agricultura do Vale S/A, Diretor da Fargon Ltda - Exportadora de Fruta para Europa e Estados Unidos, Diretor da A.M.F. - Construtora e imobiliária localizada em Petrolina – PE, Presidente do Conselho Nacional das Agroindústrias Brasileira – Confederação Nacional da Industria, Vice Presidente da Federação das Indústrias do Estado da Bahia, Membro do Conselho de Representantes da Confederação Nacional da Indústria, Presidente do Sindicato dos Produtores de Açúcar e Álcool da Bahia, Presidente da União dos Irrigantes do Médio e Sub-Médio São Francisco, Membro da Câmara Setorial dos Combustíveis do MAPA, Membro do Fórum Nacional do Setor Sucroalcooleiro. </w:t>
            </w:r>
          </w:p>
          <w:p w:rsidR="00AE55C1" w:rsidRPr="00966B19" w:rsidRDefault="00AE55C1" w:rsidP="00AE55C1">
            <w:pPr>
              <w:spacing w:after="100" w:afterAutospacing="1"/>
              <w:jc w:val="both"/>
              <w:cnfStyle w:val="000000100000"/>
              <w:rPr>
                <w:rFonts w:ascii="Times New Roman" w:hAnsi="Times New Roman"/>
                <w:b/>
                <w:color w:val="FF0000"/>
                <w:sz w:val="20"/>
                <w:szCs w:val="20"/>
              </w:rPr>
            </w:pPr>
            <w:r w:rsidRPr="00966B19">
              <w:rPr>
                <w:rFonts w:ascii="Times New Roman" w:hAnsi="Times New Roman"/>
                <w:b/>
                <w:bCs/>
                <w:sz w:val="20"/>
                <w:szCs w:val="20"/>
              </w:rPr>
              <w:t>Período:</w:t>
            </w:r>
            <w:r w:rsidRPr="00966B19">
              <w:rPr>
                <w:rFonts w:ascii="Times New Roman" w:hAnsi="Times New Roman"/>
                <w:b/>
                <w:sz w:val="20"/>
                <w:szCs w:val="20"/>
              </w:rPr>
              <w:t xml:space="preserve"> desde 04/11/2008 </w:t>
            </w:r>
          </w:p>
        </w:tc>
        <w:tc>
          <w:tcPr>
            <w:tcW w:w="952"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Agroindústria. Indústria da Construção Civil.</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Associação corporativa e setoriais.</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4) Marcos Jank</w:t>
            </w:r>
          </w:p>
        </w:tc>
        <w:tc>
          <w:tcPr>
            <w:tcW w:w="3047" w:type="pct"/>
          </w:tcPr>
          <w:p w:rsidR="00AE55C1" w:rsidRPr="00966B19" w:rsidRDefault="00AE55C1" w:rsidP="00E776C4">
            <w:pPr>
              <w:spacing w:before="100" w:beforeAutospacing="1" w:after="0"/>
              <w:jc w:val="both"/>
              <w:cnfStyle w:val="000000010000"/>
              <w:rPr>
                <w:rFonts w:ascii="Times New Roman" w:hAnsi="Times New Roman"/>
                <w:sz w:val="20"/>
                <w:szCs w:val="20"/>
              </w:rPr>
            </w:pPr>
            <w:r w:rsidRPr="00966B19">
              <w:rPr>
                <w:rFonts w:ascii="Times New Roman" w:hAnsi="Times New Roman"/>
                <w:sz w:val="20"/>
                <w:szCs w:val="20"/>
              </w:rPr>
              <w:t xml:space="preserve">Presidente e Diretor Executivo da União da Indústria da Cana-de-Açúcar (ÚNICA), Ex-Presidente e idealizador do Instituto de Estudos do Comércio e Negociações Internacionais (ICONE). Consultor e coordenador de projetos do Banco Mundial, BID, OCDE, FAO, PNUD, Fundação Hewlett, Agência Suíça para a Cooperação e o Desenvolvimento (SDC), Departamento para a Cooperação Internacional do Reino Unido (DFID) e German Marshall Fund of the United States (GMF). É também Diretor do Departamento de Agronegócios da FIESP. Membro do </w:t>
            </w:r>
            <w:r w:rsidRPr="00966B19">
              <w:rPr>
                <w:rFonts w:ascii="Times New Roman" w:hAnsi="Times New Roman"/>
                <w:color w:val="000000"/>
                <w:sz w:val="20"/>
                <w:szCs w:val="20"/>
              </w:rPr>
              <w:t>Conselho Consultivo do Setor Privado (CONEX) da CAMEX.</w:t>
            </w:r>
          </w:p>
          <w:p w:rsidR="00AE55C1" w:rsidRPr="00966B19" w:rsidRDefault="00AE55C1" w:rsidP="00E776C4">
            <w:pPr>
              <w:spacing w:after="0"/>
              <w:cnfStyle w:val="000000010000"/>
              <w:rPr>
                <w:rFonts w:ascii="Times New Roman" w:hAnsi="Times New Roman"/>
                <w:b/>
                <w:color w:val="000000"/>
                <w:sz w:val="20"/>
                <w:szCs w:val="20"/>
              </w:rPr>
            </w:pPr>
            <w:r w:rsidRPr="00966B19">
              <w:rPr>
                <w:rFonts w:ascii="Times New Roman" w:hAnsi="Times New Roman"/>
                <w:b/>
                <w:bCs/>
                <w:sz w:val="20"/>
                <w:szCs w:val="20"/>
              </w:rPr>
              <w:t>Período:</w:t>
            </w:r>
            <w:r w:rsidRPr="00966B19">
              <w:rPr>
                <w:rFonts w:ascii="Times New Roman" w:hAnsi="Times New Roman"/>
                <w:b/>
                <w:sz w:val="20"/>
                <w:szCs w:val="20"/>
              </w:rPr>
              <w:t>desde 07/07/2008</w:t>
            </w:r>
          </w:p>
        </w:tc>
        <w:tc>
          <w:tcPr>
            <w:tcW w:w="952"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Agroindústria.</w:t>
            </w:r>
          </w:p>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Vinculações com o Estado restrito.</w:t>
            </w:r>
          </w:p>
          <w:p w:rsidR="00AE55C1" w:rsidRPr="00966B19" w:rsidRDefault="00AE55C1" w:rsidP="00E776C4">
            <w:pPr>
              <w:jc w:val="center"/>
              <w:cnfStyle w:val="000000010000"/>
              <w:rPr>
                <w:rFonts w:ascii="Times New Roman" w:hAnsi="Times New Roman"/>
                <w:sz w:val="20"/>
                <w:szCs w:val="20"/>
              </w:rPr>
            </w:pPr>
            <w:r w:rsidRPr="00966B19">
              <w:rPr>
                <w:rFonts w:ascii="Times New Roman" w:hAnsi="Times New Roman"/>
                <w:sz w:val="20"/>
                <w:szCs w:val="20"/>
              </w:rPr>
              <w:t>Associações corporativas.</w:t>
            </w:r>
          </w:p>
        </w:tc>
      </w:tr>
      <w:tr w:rsidR="00AE55C1" w:rsidRPr="00966B19" w:rsidTr="00E776C4">
        <w:trPr>
          <w:cnfStyle w:val="000000100000"/>
        </w:trPr>
        <w:tc>
          <w:tcPr>
            <w:cnfStyle w:val="001000000000"/>
            <w:tcW w:w="1001"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5) Rogelio Golfarb</w:t>
            </w:r>
          </w:p>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(retornou)</w:t>
            </w:r>
          </w:p>
        </w:tc>
        <w:tc>
          <w:tcPr>
            <w:tcW w:w="3047" w:type="pct"/>
          </w:tcPr>
          <w:p w:rsidR="00AE55C1" w:rsidRPr="00966B19" w:rsidRDefault="00AE55C1" w:rsidP="00AE55C1">
            <w:pPr>
              <w:spacing w:after="0"/>
              <w:jc w:val="both"/>
              <w:cnfStyle w:val="000000100000"/>
              <w:rPr>
                <w:rFonts w:ascii="Times New Roman" w:hAnsi="Times New Roman"/>
                <w:sz w:val="20"/>
                <w:szCs w:val="20"/>
              </w:rPr>
            </w:pPr>
            <w:r w:rsidRPr="00966B19">
              <w:rPr>
                <w:rFonts w:ascii="Times New Roman" w:hAnsi="Times New Roman"/>
                <w:sz w:val="20"/>
                <w:szCs w:val="20"/>
              </w:rPr>
              <w:t xml:space="preserve">Diretor de Assuntos Corporativos e Comunicação da Ford para América do Sul. Atualmente é Membro do Conselho Consultivo do IPT (Instituto de Pesquisas Tecnológicas de São Paulo), do Conselho de Desenvolvimento Econômico de São Bernardo do Campo e do Conselho de Comércio Exterior da FIESP. No periodo </w:t>
            </w:r>
            <w:smartTag w:uri="urn:schemas-microsoft-com:office:smarttags" w:element="metricconverter">
              <w:smartTagPr>
                <w:attr w:name="ProductID" w:val="2004 a"/>
              </w:smartTagPr>
              <w:r w:rsidRPr="00966B19">
                <w:rPr>
                  <w:rFonts w:ascii="Times New Roman" w:hAnsi="Times New Roman"/>
                  <w:sz w:val="20"/>
                  <w:szCs w:val="20"/>
                </w:rPr>
                <w:t>2004 a</w:t>
              </w:r>
            </w:smartTag>
            <w:r w:rsidRPr="00966B19">
              <w:rPr>
                <w:rFonts w:ascii="Times New Roman" w:hAnsi="Times New Roman"/>
                <w:sz w:val="20"/>
                <w:szCs w:val="20"/>
              </w:rPr>
              <w:t xml:space="preserve"> 2007 foi Presidente da Associação Nacional dos Fabricantes de Veículos Automotores (ANFAVEA) e do e do Sindicato Nacional da Indústria de Tratores, Caminhões, Automóveis e Veículos Similares (SINFAVEA), sendo Vice-presidente da ANFAVEA na gestão 2001-2004. É também diretor titular do Centro de Indústrias do Estado da Bahia. Membro do Conselho Consultivo da Associação Nacional das Instituições de Crédito, Financiamento e Investimento (ACREFI).</w:t>
            </w:r>
          </w:p>
          <w:p w:rsidR="00AE55C1" w:rsidRPr="00966B19" w:rsidRDefault="00AE55C1" w:rsidP="00AE55C1">
            <w:pPr>
              <w:spacing w:after="100" w:afterAutospacing="1"/>
              <w:jc w:val="both"/>
              <w:cnfStyle w:val="000000100000"/>
              <w:rPr>
                <w:rFonts w:ascii="Times New Roman" w:hAnsi="Times New Roman"/>
                <w:sz w:val="20"/>
                <w:szCs w:val="20"/>
              </w:rPr>
            </w:pPr>
            <w:r w:rsidRPr="00966B19">
              <w:rPr>
                <w:rStyle w:val="Forte"/>
                <w:rFonts w:ascii="Times New Roman" w:hAnsi="Times New Roman"/>
                <w:sz w:val="20"/>
                <w:szCs w:val="20"/>
              </w:rPr>
              <w:t>Membro do CDES:</w:t>
            </w:r>
            <w:r w:rsidRPr="00966B19">
              <w:rPr>
                <w:rFonts w:ascii="Times New Roman" w:hAnsi="Times New Roman"/>
                <w:b/>
                <w:sz w:val="20"/>
                <w:szCs w:val="20"/>
              </w:rPr>
              <w:t>desde 04/11/2008 e de 28/07/2004 a 13/05/2007</w:t>
            </w:r>
          </w:p>
        </w:tc>
        <w:tc>
          <w:tcPr>
            <w:tcW w:w="952"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Fabricação de Veículos. Setor Financeiro. Associação corporativa e setorial.</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p>
        </w:tc>
      </w:tr>
    </w:tbl>
    <w:p w:rsidR="00A87CE6" w:rsidRDefault="00A87CE6" w:rsidP="00A87CE6">
      <w:pPr>
        <w:spacing w:line="240" w:lineRule="auto"/>
        <w:jc w:val="center"/>
        <w:rPr>
          <w:rFonts w:ascii="Times New Roman" w:hAnsi="Times New Roman"/>
          <w:b/>
          <w:sz w:val="24"/>
          <w:szCs w:val="24"/>
        </w:rPr>
      </w:pPr>
    </w:p>
    <w:p w:rsidR="00A87CE6" w:rsidRPr="00A87CE6" w:rsidRDefault="00A87CE6" w:rsidP="00A87CE6">
      <w:pPr>
        <w:spacing w:line="240" w:lineRule="auto"/>
        <w:jc w:val="center"/>
        <w:rPr>
          <w:rFonts w:ascii="Times New Roman" w:hAnsi="Times New Roman"/>
          <w:b/>
          <w:sz w:val="24"/>
          <w:szCs w:val="24"/>
        </w:rPr>
      </w:pPr>
      <w:r>
        <w:rPr>
          <w:rFonts w:ascii="Times New Roman" w:hAnsi="Times New Roman"/>
          <w:b/>
          <w:sz w:val="24"/>
          <w:szCs w:val="24"/>
        </w:rPr>
        <w:t>Presença do Empresariado (e de seus Prepostos) no Conselho de Desenvolvimento Econômico e Social (</w:t>
      </w:r>
      <w:r w:rsidR="004A0803">
        <w:rPr>
          <w:rFonts w:ascii="Times New Roman" w:hAnsi="Times New Roman"/>
          <w:b/>
          <w:sz w:val="24"/>
          <w:szCs w:val="24"/>
        </w:rPr>
        <w:t>ingresso</w:t>
      </w:r>
      <w:r w:rsidR="003E7B44">
        <w:rPr>
          <w:rFonts w:ascii="Times New Roman" w:hAnsi="Times New Roman"/>
          <w:b/>
          <w:sz w:val="24"/>
          <w:szCs w:val="24"/>
        </w:rPr>
        <w:t>s</w:t>
      </w:r>
      <w:r w:rsidR="004A0803">
        <w:rPr>
          <w:rFonts w:ascii="Times New Roman" w:hAnsi="Times New Roman"/>
          <w:b/>
          <w:sz w:val="24"/>
          <w:szCs w:val="24"/>
        </w:rPr>
        <w:t xml:space="preserve"> em </w:t>
      </w:r>
      <w:r>
        <w:rPr>
          <w:rFonts w:ascii="Times New Roman" w:hAnsi="Times New Roman"/>
          <w:b/>
          <w:sz w:val="24"/>
          <w:szCs w:val="24"/>
        </w:rPr>
        <w:t>2009)</w:t>
      </w:r>
    </w:p>
    <w:p w:rsidR="00AE55C1" w:rsidRPr="00966B19" w:rsidRDefault="00AE55C1" w:rsidP="00AE55C1">
      <w:pPr>
        <w:rPr>
          <w:rFonts w:ascii="Times New Roman" w:hAnsi="Times New Roman"/>
          <w:b/>
          <w:sz w:val="20"/>
          <w:szCs w:val="20"/>
        </w:rPr>
      </w:pPr>
    </w:p>
    <w:tbl>
      <w:tblPr>
        <w:tblStyle w:val="GradeClara-nfase11"/>
        <w:tblW w:w="5234" w:type="pct"/>
        <w:tblInd w:w="-459" w:type="dxa"/>
        <w:tblLayout w:type="fixed"/>
        <w:tblLook w:val="04A0"/>
      </w:tblPr>
      <w:tblGrid>
        <w:gridCol w:w="2980"/>
        <w:gridCol w:w="9070"/>
        <w:gridCol w:w="2834"/>
      </w:tblGrid>
      <w:tr w:rsidR="00AE55C1" w:rsidRPr="00966B19" w:rsidTr="00E776C4">
        <w:trPr>
          <w:cnfStyle w:val="100000000000"/>
        </w:trPr>
        <w:tc>
          <w:tcPr>
            <w:cnfStyle w:val="001000000000"/>
            <w:tcW w:w="1001" w:type="pct"/>
          </w:tcPr>
          <w:p w:rsidR="00AE55C1" w:rsidRPr="003409D0" w:rsidRDefault="00AE55C1" w:rsidP="00AE55C1">
            <w:pPr>
              <w:rPr>
                <w:rFonts w:ascii="Times New Roman" w:hAnsi="Times New Roman"/>
                <w:sz w:val="20"/>
                <w:szCs w:val="20"/>
              </w:rPr>
            </w:pPr>
            <w:r w:rsidRPr="003409D0">
              <w:rPr>
                <w:rFonts w:ascii="Times New Roman" w:hAnsi="Times New Roman"/>
                <w:sz w:val="20"/>
                <w:szCs w:val="20"/>
              </w:rPr>
              <w:t>Conselheiros-Empresários</w:t>
            </w:r>
          </w:p>
        </w:tc>
        <w:tc>
          <w:tcPr>
            <w:tcW w:w="3047" w:type="pct"/>
          </w:tcPr>
          <w:p w:rsidR="00AE55C1" w:rsidRPr="003409D0" w:rsidRDefault="00AE55C1" w:rsidP="00AE55C1">
            <w:pPr>
              <w:jc w:val="both"/>
              <w:cnfStyle w:val="100000000000"/>
              <w:rPr>
                <w:rFonts w:ascii="Times New Roman" w:hAnsi="Times New Roman"/>
                <w:sz w:val="20"/>
                <w:szCs w:val="20"/>
              </w:rPr>
            </w:pPr>
            <w:r w:rsidRPr="003409D0">
              <w:rPr>
                <w:rFonts w:ascii="Times New Roman" w:hAnsi="Times New Roman"/>
                <w:sz w:val="20"/>
                <w:szCs w:val="20"/>
              </w:rPr>
              <w:t>Trajetórias e Vinculações</w:t>
            </w:r>
          </w:p>
        </w:tc>
        <w:tc>
          <w:tcPr>
            <w:tcW w:w="952" w:type="pct"/>
          </w:tcPr>
          <w:p w:rsidR="00AE55C1" w:rsidRPr="003409D0" w:rsidRDefault="00AE55C1" w:rsidP="00AE55C1">
            <w:pPr>
              <w:pStyle w:val="DecimalAligned"/>
              <w:tabs>
                <w:tab w:val="clear" w:pos="360"/>
              </w:tabs>
              <w:spacing w:after="0" w:line="240" w:lineRule="auto"/>
              <w:jc w:val="center"/>
              <w:cnfStyle w:val="100000000000"/>
              <w:rPr>
                <w:rFonts w:ascii="Times New Roman" w:hAnsi="Times New Roman"/>
                <w:sz w:val="20"/>
                <w:szCs w:val="20"/>
              </w:rPr>
            </w:pPr>
            <w:r w:rsidRPr="003409D0">
              <w:rPr>
                <w:rFonts w:ascii="Times New Roman" w:hAnsi="Times New Roman"/>
                <w:sz w:val="20"/>
                <w:szCs w:val="20"/>
              </w:rPr>
              <w:t xml:space="preserve">Atividades Principais e Tipos de Associações </w:t>
            </w:r>
          </w:p>
        </w:tc>
      </w:tr>
      <w:tr w:rsidR="00AE55C1" w:rsidRPr="00966B19" w:rsidTr="00E776C4">
        <w:trPr>
          <w:cnfStyle w:val="000000100000"/>
        </w:trPr>
        <w:tc>
          <w:tcPr>
            <w:cnfStyle w:val="001000000000"/>
            <w:tcW w:w="1001"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1) Adilson Primo</w:t>
            </w:r>
          </w:p>
        </w:tc>
        <w:tc>
          <w:tcPr>
            <w:tcW w:w="3047" w:type="pct"/>
          </w:tcPr>
          <w:p w:rsidR="00AE55C1" w:rsidRPr="00966B19" w:rsidRDefault="00AE55C1" w:rsidP="00E776C4">
            <w:pPr>
              <w:spacing w:before="100" w:beforeAutospacing="1" w:after="0"/>
              <w:jc w:val="both"/>
              <w:cnfStyle w:val="000000100000"/>
              <w:rPr>
                <w:rFonts w:ascii="Times New Roman" w:hAnsi="Times New Roman"/>
                <w:sz w:val="20"/>
                <w:szCs w:val="20"/>
              </w:rPr>
            </w:pPr>
            <w:r w:rsidRPr="00966B19">
              <w:rPr>
                <w:rFonts w:ascii="Times New Roman" w:hAnsi="Times New Roman"/>
                <w:sz w:val="20"/>
                <w:szCs w:val="20"/>
              </w:rPr>
              <w:t>Presidente do Grupo Siemens no Brasil e Região Mercosul (Argentina, Chile, Uruguay, Paraguay e Bolívia). Membro do Conselho da Osram do Brasil Lâmpadas Elétricas Ltda, Membro do Conselho da Epcos do Brasil Ltda, Membro do Conselho Superior do Movimento Brasil Competitivo (MBC), Vice-Presidente da Câmara de Comércio e Indústria Brasil-Alemanha, 1º Vice-Presidente da Associação Brasileira da Infra-estrutura e Indústria de Base (ABDIB) e Membro do Conselho Estratégico da Associação Brasileira da Indústria Eletro e Eletrônica (ABINEE).</w:t>
            </w:r>
          </w:p>
          <w:p w:rsidR="00AE55C1" w:rsidRPr="00966B19" w:rsidRDefault="00AE55C1" w:rsidP="00AE55C1">
            <w:pPr>
              <w:spacing w:after="100" w:afterAutospacing="1"/>
              <w:jc w:val="both"/>
              <w:cnfStyle w:val="000000100000"/>
              <w:rPr>
                <w:rFonts w:ascii="Times New Roman" w:hAnsi="Times New Roman"/>
                <w:b/>
                <w:color w:val="FF0000"/>
                <w:sz w:val="20"/>
                <w:szCs w:val="20"/>
              </w:rPr>
            </w:pPr>
            <w:r w:rsidRPr="00966B19">
              <w:rPr>
                <w:rFonts w:ascii="Times New Roman" w:hAnsi="Times New Roman"/>
                <w:b/>
                <w:bCs/>
                <w:sz w:val="20"/>
                <w:szCs w:val="20"/>
              </w:rPr>
              <w:t>Período:</w:t>
            </w:r>
            <w:r w:rsidRPr="00966B19">
              <w:rPr>
                <w:rFonts w:ascii="Times New Roman" w:hAnsi="Times New Roman"/>
                <w:b/>
                <w:sz w:val="20"/>
                <w:szCs w:val="20"/>
              </w:rPr>
              <w:t xml:space="preserve"> desde 25/08/2009</w:t>
            </w:r>
          </w:p>
        </w:tc>
        <w:tc>
          <w:tcPr>
            <w:tcW w:w="952"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Setor eletroeletrônico, infraestrutura, energia, automação industrial e tecnologia hospitalar.</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Associações setoriais e societais.</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2) Antonio Gil</w:t>
            </w:r>
          </w:p>
        </w:tc>
        <w:tc>
          <w:tcPr>
            <w:tcW w:w="3047" w:type="pct"/>
          </w:tcPr>
          <w:p w:rsidR="00AE55C1" w:rsidRPr="00966B19" w:rsidRDefault="00AE55C1" w:rsidP="00E776C4">
            <w:pPr>
              <w:spacing w:before="100" w:beforeAutospacing="1" w:after="0"/>
              <w:jc w:val="both"/>
              <w:cnfStyle w:val="000000010000"/>
              <w:rPr>
                <w:rFonts w:ascii="Times New Roman" w:hAnsi="Times New Roman"/>
                <w:sz w:val="20"/>
                <w:szCs w:val="20"/>
              </w:rPr>
            </w:pPr>
            <w:r w:rsidRPr="00966B19">
              <w:rPr>
                <w:rFonts w:ascii="Times New Roman" w:hAnsi="Times New Roman"/>
                <w:sz w:val="20"/>
                <w:szCs w:val="20"/>
              </w:rPr>
              <w:t xml:space="preserve">Iniciou sua carreira como COO (Chief Operations Officer) da IBM-Brasil e CEO (Chief Executive Officer) na Venezuela. Em 1986, tornou-se presidente da SID e, em 1993, assumiu a presidência da Lucent Technologies do Brasil. A partir de 1998, Gil passou a trabalhar em parceria com o grupo de investidores IT Partners com o objetivo de procurar oportunidades no segmento de IT e Telecom no Brasil. Tornou-se presidente da CPM (atual CPM Braxis), empresa que em julho de 2000 passou a fazer parte do IT Partners, na América Latina. Desde 2007, Gil tem atuado como Presidente Executivo da Associação Brasileira de Empresas de Tecnologia da Informação e Comunicação (Brasscom), entidade que congrega principais empresas líderes no setor de TIC. </w:t>
            </w:r>
            <w:r w:rsidRPr="00966B19">
              <w:rPr>
                <w:rFonts w:ascii="Times New Roman" w:hAnsi="Times New Roman"/>
                <w:color w:val="000000"/>
                <w:sz w:val="20"/>
                <w:szCs w:val="20"/>
              </w:rPr>
              <w:t>Conselho Consultivo do Setor Privado (CONEX) da CAMEX.</w:t>
            </w:r>
          </w:p>
          <w:p w:rsidR="00AE55C1" w:rsidRPr="00966B19" w:rsidRDefault="00AE55C1" w:rsidP="00AE55C1">
            <w:pPr>
              <w:spacing w:after="100" w:afterAutospacing="1"/>
              <w:jc w:val="both"/>
              <w:cnfStyle w:val="000000010000"/>
              <w:rPr>
                <w:rFonts w:ascii="Times New Roman" w:hAnsi="Times New Roman"/>
                <w:b/>
                <w:color w:val="000000"/>
                <w:sz w:val="20"/>
                <w:szCs w:val="20"/>
              </w:rPr>
            </w:pPr>
            <w:r w:rsidRPr="00966B19">
              <w:rPr>
                <w:rFonts w:ascii="Times New Roman" w:hAnsi="Times New Roman"/>
                <w:b/>
                <w:bCs/>
                <w:sz w:val="20"/>
                <w:szCs w:val="20"/>
              </w:rPr>
              <w:t>Período:</w:t>
            </w:r>
            <w:r w:rsidRPr="00966B19">
              <w:rPr>
                <w:rFonts w:ascii="Times New Roman" w:hAnsi="Times New Roman"/>
                <w:b/>
                <w:sz w:val="20"/>
                <w:szCs w:val="20"/>
              </w:rPr>
              <w:t>desde 25/08/2009</w:t>
            </w:r>
          </w:p>
        </w:tc>
        <w:tc>
          <w:tcPr>
            <w:tcW w:w="952"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Serviços de TI. Consultoria em TI.</w:t>
            </w:r>
          </w:p>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Vinculação com Estado restrito.</w:t>
            </w:r>
          </w:p>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Associações setoriais.</w:t>
            </w:r>
          </w:p>
          <w:p w:rsidR="00AE55C1" w:rsidRPr="00966B19" w:rsidRDefault="00AE55C1" w:rsidP="00AE55C1">
            <w:pPr>
              <w:cnfStyle w:val="000000010000"/>
              <w:rPr>
                <w:rFonts w:ascii="Times New Roman" w:hAnsi="Times New Roman"/>
                <w:sz w:val="20"/>
                <w:szCs w:val="20"/>
              </w:rPr>
            </w:pPr>
            <w:r w:rsidRPr="00966B19">
              <w:rPr>
                <w:rFonts w:ascii="Times New Roman" w:hAnsi="Times New Roman"/>
                <w:sz w:val="20"/>
                <w:szCs w:val="20"/>
              </w:rPr>
              <w:t>.</w:t>
            </w:r>
          </w:p>
        </w:tc>
      </w:tr>
      <w:tr w:rsidR="00AE55C1" w:rsidRPr="00966B19" w:rsidTr="00E776C4">
        <w:trPr>
          <w:cnfStyle w:val="000000100000"/>
        </w:trPr>
        <w:tc>
          <w:tcPr>
            <w:cnfStyle w:val="001000000000"/>
            <w:tcW w:w="1001"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3) Cláudio Elias Conz</w:t>
            </w:r>
          </w:p>
        </w:tc>
        <w:tc>
          <w:tcPr>
            <w:tcW w:w="3047" w:type="pct"/>
          </w:tcPr>
          <w:p w:rsidR="00AE55C1" w:rsidRPr="00966B19" w:rsidRDefault="00AE55C1" w:rsidP="00AE55C1">
            <w:pPr>
              <w:pStyle w:val="pleft"/>
              <w:spacing w:after="0" w:afterAutospacing="0"/>
              <w:jc w:val="both"/>
              <w:cnfStyle w:val="000000100000"/>
              <w:rPr>
                <w:sz w:val="20"/>
                <w:szCs w:val="20"/>
              </w:rPr>
            </w:pPr>
            <w:r w:rsidRPr="00966B19">
              <w:rPr>
                <w:sz w:val="20"/>
                <w:szCs w:val="20"/>
              </w:rPr>
              <w:t>Presidente da Anamaco (Associação Nacional dos Comerciantes de Material de Construção). Ex-gerente da Ideal Standard (louças sanitárias) e, posteriormente, atuou como gerente da Cerâmica Portobello. Em 1983, optou pelo varejo do segmento e foi diretor da Cinco S.A. Pisos e Azulejos, em São Paulo. Conz está na presidência executiva da Anamaco (Associação Nacional dos Comerciantes de Material de Construção ) há 09 anos. É membro do Grupo de Acompanhamento da Crise, junto ao Ministério da Fazenda. É, também, presidente do Sincomaco (Sindicato do Comércio Atacadista de Materiais de Construção), membro do Conselho Curador do FGTS representando a Confederação Nacional do Comércio (CNC) e presidente da Câmara da Construção da Fecomércio de São Paulo, além de ex-presidente do CTECH (Comitê Nacional de Desenvolvimento Tecnológico da Habitação - ligado ao Ministério das Cidades). Tem forte ligação com a AMRMC (Associação Minha Rua Minha Casa) e a OAF (Organização de Auxilio Fraterno), que desenvolvem um forte trabalho com moradores de rua da cidade de São Paulo.</w:t>
            </w:r>
          </w:p>
          <w:p w:rsidR="00AE55C1" w:rsidRPr="00966B19" w:rsidRDefault="00AE55C1" w:rsidP="00AE55C1">
            <w:pPr>
              <w:pStyle w:val="NormalWeb"/>
              <w:spacing w:before="0" w:beforeAutospacing="0"/>
              <w:jc w:val="both"/>
              <w:cnfStyle w:val="000000100000"/>
              <w:rPr>
                <w:b/>
                <w:color w:val="FF0000"/>
                <w:sz w:val="20"/>
                <w:szCs w:val="20"/>
              </w:rPr>
            </w:pPr>
            <w:r w:rsidRPr="00966B19">
              <w:rPr>
                <w:rStyle w:val="Forte"/>
                <w:sz w:val="20"/>
                <w:szCs w:val="20"/>
              </w:rPr>
              <w:t>Período:</w:t>
            </w:r>
            <w:r w:rsidRPr="00966B19">
              <w:rPr>
                <w:b/>
                <w:sz w:val="20"/>
                <w:szCs w:val="20"/>
              </w:rPr>
              <w:t>desde 25/08/2009</w:t>
            </w:r>
          </w:p>
        </w:tc>
        <w:tc>
          <w:tcPr>
            <w:tcW w:w="952"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Indústria e comércio de materiais de construção.</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Vinculações com o Estado restrito.</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Associações corporativas, setoriais e societais.</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1"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4) Luiz Aubert Neto</w:t>
            </w:r>
          </w:p>
        </w:tc>
        <w:tc>
          <w:tcPr>
            <w:tcW w:w="3047" w:type="pct"/>
          </w:tcPr>
          <w:p w:rsidR="00AE55C1" w:rsidRPr="00966B19" w:rsidRDefault="00AE55C1" w:rsidP="00E776C4">
            <w:pPr>
              <w:spacing w:before="100" w:beforeAutospacing="1" w:after="0"/>
              <w:jc w:val="both"/>
              <w:cnfStyle w:val="000000010000"/>
              <w:rPr>
                <w:rFonts w:ascii="Times New Roman" w:hAnsi="Times New Roman"/>
                <w:sz w:val="20"/>
                <w:szCs w:val="20"/>
              </w:rPr>
            </w:pPr>
            <w:r w:rsidRPr="00966B19">
              <w:rPr>
                <w:rFonts w:ascii="Times New Roman" w:hAnsi="Times New Roman"/>
                <w:bCs/>
                <w:sz w:val="20"/>
                <w:szCs w:val="20"/>
              </w:rPr>
              <w:t xml:space="preserve">Diretor da Aubert Engrenagens. Presidente da Associação Brasileira da Indústria de Máquinas e Equipamentos (ABIMAQ). Trabalhou na vice-presidência do Banco Itaú. </w:t>
            </w:r>
            <w:r w:rsidRPr="00966B19">
              <w:rPr>
                <w:rFonts w:ascii="Times New Roman" w:hAnsi="Times New Roman"/>
                <w:sz w:val="20"/>
                <w:szCs w:val="20"/>
              </w:rPr>
              <w:t>Membro da Junta FINAME do BNDES, Conselheiro do CONEX - Conselho Consultivo do Setor Privado da CAMEX, Membro do Conselho Temático Permanente de Educação da CNI, Membro do Conselho Temático Permanente de Política Industrial e Desenvolvimento Tecnológico da CNI, Membro da Comissão Intersetorial da Indústria para a Reforma Tributária da CNI, Membro do Conselho de Agronegócio - CONSAGRO do MAPA - Ministério da Agricultura, Pecuária e Abastecimento, Membro do Conselho Deliberativo da PROTEC e Membro da Divisão de Insumos do Departamento de Agronegócio - DEAGRO na FIESP.</w:t>
            </w:r>
          </w:p>
          <w:p w:rsidR="00AE55C1" w:rsidRPr="00966B19" w:rsidRDefault="00AE55C1" w:rsidP="00AE55C1">
            <w:pPr>
              <w:spacing w:after="100" w:afterAutospacing="1"/>
              <w:jc w:val="both"/>
              <w:cnfStyle w:val="000000010000"/>
              <w:rPr>
                <w:rFonts w:ascii="Times New Roman" w:hAnsi="Times New Roman"/>
                <w:b/>
                <w:color w:val="FF0000"/>
                <w:sz w:val="20"/>
                <w:szCs w:val="20"/>
              </w:rPr>
            </w:pPr>
            <w:r w:rsidRPr="00966B19">
              <w:rPr>
                <w:rFonts w:ascii="Times New Roman" w:hAnsi="Times New Roman"/>
                <w:b/>
                <w:sz w:val="20"/>
                <w:szCs w:val="20"/>
              </w:rPr>
              <w:t>Período: desde 25/08/2009</w:t>
            </w:r>
          </w:p>
        </w:tc>
        <w:tc>
          <w:tcPr>
            <w:tcW w:w="952" w:type="pct"/>
          </w:tcPr>
          <w:p w:rsidR="00AE55C1" w:rsidRPr="00966B19" w:rsidRDefault="00AE55C1" w:rsidP="00AE55C1">
            <w:pPr>
              <w:pStyle w:val="DecimalAligned"/>
              <w:tabs>
                <w:tab w:val="clear" w:pos="360"/>
              </w:tabs>
              <w:spacing w:after="0" w:line="240" w:lineRule="auto"/>
              <w:jc w:val="center"/>
              <w:cnfStyle w:val="000000010000"/>
              <w:rPr>
                <w:rFonts w:ascii="Times New Roman" w:hAnsi="Times New Roman"/>
                <w:sz w:val="20"/>
                <w:szCs w:val="20"/>
              </w:rPr>
            </w:pPr>
            <w:r w:rsidRPr="00966B19">
              <w:rPr>
                <w:rFonts w:ascii="Times New Roman" w:hAnsi="Times New Roman"/>
                <w:sz w:val="20"/>
                <w:szCs w:val="20"/>
              </w:rPr>
              <w:t>Indústria de engrenagens e redutores. Setor financeiro. Agronegócio.</w:t>
            </w:r>
          </w:p>
          <w:p w:rsidR="00AE55C1" w:rsidRPr="00966B19" w:rsidRDefault="00AE55C1" w:rsidP="00AE55C1">
            <w:pPr>
              <w:pStyle w:val="DecimalAligned"/>
              <w:tabs>
                <w:tab w:val="clear" w:pos="360"/>
              </w:tabs>
              <w:spacing w:after="0" w:line="240" w:lineRule="auto"/>
              <w:jc w:val="center"/>
              <w:cnfStyle w:val="000000010000"/>
              <w:rPr>
                <w:rFonts w:ascii="Times New Roman" w:hAnsi="Times New Roman"/>
                <w:sz w:val="20"/>
                <w:szCs w:val="20"/>
              </w:rPr>
            </w:pPr>
            <w:r w:rsidRPr="00966B19">
              <w:rPr>
                <w:rFonts w:ascii="Times New Roman" w:hAnsi="Times New Roman"/>
                <w:sz w:val="20"/>
                <w:szCs w:val="20"/>
              </w:rPr>
              <w:t>Vinculações com o Estado restrito.</w:t>
            </w:r>
          </w:p>
          <w:p w:rsidR="00AE55C1" w:rsidRPr="00966B19" w:rsidRDefault="00AE55C1" w:rsidP="00AE55C1">
            <w:pPr>
              <w:pStyle w:val="DecimalAligned"/>
              <w:tabs>
                <w:tab w:val="clear" w:pos="360"/>
              </w:tabs>
              <w:spacing w:after="0" w:line="240" w:lineRule="auto"/>
              <w:jc w:val="center"/>
              <w:cnfStyle w:val="000000010000"/>
              <w:rPr>
                <w:rFonts w:ascii="Times New Roman" w:hAnsi="Times New Roman"/>
                <w:sz w:val="20"/>
                <w:szCs w:val="20"/>
              </w:rPr>
            </w:pPr>
            <w:r w:rsidRPr="00966B19">
              <w:rPr>
                <w:rFonts w:ascii="Times New Roman" w:hAnsi="Times New Roman"/>
                <w:sz w:val="20"/>
                <w:szCs w:val="20"/>
              </w:rPr>
              <w:t>Associações corporativas.</w:t>
            </w:r>
          </w:p>
          <w:p w:rsidR="00AE55C1" w:rsidRPr="00966B19" w:rsidRDefault="00AE55C1" w:rsidP="00AE55C1">
            <w:pPr>
              <w:pStyle w:val="DecimalAligned"/>
              <w:tabs>
                <w:tab w:val="clear" w:pos="360"/>
              </w:tabs>
              <w:spacing w:after="0" w:line="240" w:lineRule="auto"/>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5) Luiz Eduardo Abreu</w:t>
            </w:r>
          </w:p>
        </w:tc>
        <w:tc>
          <w:tcPr>
            <w:tcW w:w="3047" w:type="pct"/>
          </w:tcPr>
          <w:p w:rsidR="00AE55C1" w:rsidRDefault="00AE55C1" w:rsidP="00AE55C1">
            <w:pPr>
              <w:spacing w:after="0"/>
              <w:jc w:val="both"/>
              <w:cnfStyle w:val="000000100000"/>
              <w:rPr>
                <w:rFonts w:ascii="Times New Roman" w:hAnsi="Times New Roman"/>
                <w:sz w:val="20"/>
                <w:szCs w:val="20"/>
              </w:rPr>
            </w:pPr>
            <w:r w:rsidRPr="00966B19">
              <w:rPr>
                <w:rFonts w:ascii="Times New Roman" w:hAnsi="Times New Roman"/>
                <w:sz w:val="20"/>
                <w:szCs w:val="20"/>
              </w:rPr>
              <w:t xml:space="preserve">Atual Diretor-Presidente do Conselho de Administração (C.A.) das Empresas do Grupo NSG CAPITAL. Atuou como Diretor-Presidente do C.A. da Zamprogna S.A. Possui extensa experiência como executivo na área financeira: Vice-Presidente de Finanças, Mercado de Capitais e Relações com Investidores, no Banco do Brasil S.A.; Diretor-Presidente no BB – Banco de Investimentos S.A.; Diretor-Presidente e Presidente do C.A. no BRB - Banco de Brasília S.A. e BRB DTVM S.A.. Em Conselhos, atuou nas seguintes instituições: Presidente do C.A. - NEOENERGIA – Holding do Setor Elétrico; COELBA – Cia. Energética da Bahia; CELPE – Cia. Energética de Pernambuco; COSERN – Cia. Energética do Rio Grande do Norte; Vice-Presidente do C.A. - CIBRASEC – Cia. Brasileira de Securitização. Conselheiro do C.A. – Aliança do Brasil – Cia. de Seguros; TELEMAR Participações S.A.; CBLC – Cia. Brasileira de Liquidação e Custódia; CIP – Câmara Interbancária de Pagamentos; Conselho Fiscal – ITAUSA – Investimentos Itaú S.A. Diretor na ANBIMA – Associação Brasileira das Entidades dos Mercados Financeiros e de Capitais; Conselho Superior na ACPA – Associação Comercial de Porto Alegre; Associação do Aço do Rio Grande do Sul; Vice-Presidente na ANDIMA – Associação Nacional das Instituições do Mercado Financeiro; Conselho Diretor da FEBRABAN. Atualmente é Diretor da FIERGS/CIERGS. </w:t>
            </w:r>
          </w:p>
          <w:p w:rsidR="00AE55C1" w:rsidRPr="00966B19" w:rsidRDefault="00AE55C1" w:rsidP="00AE55C1">
            <w:pPr>
              <w:spacing w:afterAutospacing="1"/>
              <w:jc w:val="both"/>
              <w:cnfStyle w:val="000000100000"/>
              <w:rPr>
                <w:rFonts w:ascii="Times New Roman" w:hAnsi="Times New Roman"/>
                <w:sz w:val="20"/>
                <w:szCs w:val="20"/>
              </w:rPr>
            </w:pPr>
            <w:r w:rsidRPr="00966B19">
              <w:rPr>
                <w:rFonts w:ascii="Times New Roman" w:hAnsi="Times New Roman"/>
                <w:b/>
                <w:sz w:val="20"/>
                <w:szCs w:val="20"/>
              </w:rPr>
              <w:t>Período: desde 25/08/2009</w:t>
            </w:r>
            <w:r w:rsidRPr="00966B19">
              <w:rPr>
                <w:rFonts w:ascii="Times New Roman" w:hAnsi="Times New Roman"/>
                <w:sz w:val="20"/>
                <w:szCs w:val="20"/>
              </w:rPr>
              <w:t>.</w:t>
            </w:r>
          </w:p>
        </w:tc>
        <w:tc>
          <w:tcPr>
            <w:tcW w:w="952" w:type="pct"/>
          </w:tcPr>
          <w:p w:rsidR="00AE55C1" w:rsidRPr="00966B19" w:rsidRDefault="00AE55C1" w:rsidP="00AE55C1">
            <w:pPr>
              <w:jc w:val="center"/>
              <w:cnfStyle w:val="000000100000"/>
              <w:rPr>
                <w:rFonts w:ascii="Times New Roman" w:hAnsi="Times New Roman"/>
                <w:sz w:val="20"/>
                <w:szCs w:val="20"/>
              </w:rPr>
            </w:pPr>
            <w:r w:rsidRPr="00966B19">
              <w:rPr>
                <w:rFonts w:ascii="Times New Roman" w:hAnsi="Times New Roman"/>
                <w:sz w:val="20"/>
                <w:szCs w:val="20"/>
              </w:rPr>
              <w:t>Setor Financeiro/Bancário. Setor Energia.</w:t>
            </w:r>
          </w:p>
          <w:p w:rsidR="00AE55C1" w:rsidRPr="00966B19" w:rsidRDefault="00AE55C1" w:rsidP="00AE55C1">
            <w:pPr>
              <w:jc w:val="center"/>
              <w:cnfStyle w:val="000000100000"/>
              <w:rPr>
                <w:rFonts w:ascii="Times New Roman" w:hAnsi="Times New Roman"/>
                <w:sz w:val="20"/>
                <w:szCs w:val="20"/>
              </w:rPr>
            </w:pPr>
            <w:r w:rsidRPr="00966B19">
              <w:rPr>
                <w:rFonts w:ascii="Times New Roman" w:hAnsi="Times New Roman"/>
                <w:sz w:val="20"/>
                <w:szCs w:val="20"/>
              </w:rPr>
              <w:t>Associações corporativas e setoriais.</w:t>
            </w:r>
          </w:p>
          <w:p w:rsidR="00AE55C1" w:rsidRPr="00966B19" w:rsidRDefault="00AE55C1" w:rsidP="00AE55C1">
            <w:pPr>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1"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6) Maria Elvira Salles Ferreira</w:t>
            </w:r>
          </w:p>
        </w:tc>
        <w:tc>
          <w:tcPr>
            <w:tcW w:w="3047" w:type="pct"/>
          </w:tcPr>
          <w:p w:rsidR="00AE55C1" w:rsidRPr="00966B19" w:rsidRDefault="00AE55C1" w:rsidP="00AE55C1">
            <w:pPr>
              <w:spacing w:afterAutospacing="1"/>
              <w:jc w:val="both"/>
              <w:cnfStyle w:val="000000010000"/>
              <w:rPr>
                <w:rFonts w:ascii="Times New Roman" w:hAnsi="Times New Roman"/>
                <w:sz w:val="20"/>
                <w:szCs w:val="20"/>
              </w:rPr>
            </w:pPr>
            <w:r w:rsidRPr="00966B19">
              <w:rPr>
                <w:rFonts w:ascii="Times New Roman" w:hAnsi="Times New Roman"/>
                <w:sz w:val="20"/>
                <w:szCs w:val="20"/>
              </w:rPr>
              <w:t xml:space="preserve">Fundou o Instituto Cultural Newton Paiva Ferreira - entidade mantenedora do Centro Universitário Newton Paiva Ferreira, em Belo Horizonte. É fundadora do Fórum de Mulheres do Mercosul, cuja Presidência Internacional exerceu até 2005. Em 2003 torna-se membro do Conselho Nacional dos Direitos da Mulher. Atualmente Vice-presidente da Associação Comercial de Minas. Fundou e presidiu o Conselho da Mulher Empreendedora. Preside atualmente o Conselho Empresarial de Turismo da ACMinas, onde foi eleita membro do Conselho de Turismo de MG. Foi secretária estadual de turismo no governo de Aécio Neves e deputada estadual e federal pelo PMDB-MG. </w:t>
            </w:r>
            <w:r w:rsidRPr="00966B19">
              <w:rPr>
                <w:rFonts w:ascii="Times New Roman" w:hAnsi="Times New Roman"/>
                <w:b/>
                <w:sz w:val="20"/>
                <w:szCs w:val="20"/>
              </w:rPr>
              <w:t>Período: desde 25/08/2009</w:t>
            </w:r>
          </w:p>
        </w:tc>
        <w:tc>
          <w:tcPr>
            <w:tcW w:w="952" w:type="pct"/>
          </w:tcPr>
          <w:p w:rsidR="00AE55C1" w:rsidRPr="00966B19" w:rsidRDefault="00AE55C1" w:rsidP="00AE55C1">
            <w:pPr>
              <w:pStyle w:val="DecimalAligned"/>
              <w:tabs>
                <w:tab w:val="clear" w:pos="360"/>
              </w:tabs>
              <w:spacing w:after="0" w:line="240" w:lineRule="auto"/>
              <w:jc w:val="center"/>
              <w:cnfStyle w:val="000000010000"/>
              <w:rPr>
                <w:rFonts w:ascii="Times New Roman" w:hAnsi="Times New Roman"/>
                <w:sz w:val="20"/>
                <w:szCs w:val="20"/>
              </w:rPr>
            </w:pPr>
            <w:r w:rsidRPr="00966B19">
              <w:rPr>
                <w:rFonts w:ascii="Times New Roman" w:hAnsi="Times New Roman"/>
                <w:sz w:val="20"/>
                <w:szCs w:val="20"/>
              </w:rPr>
              <w:t>Empresariamento educacional.</w:t>
            </w:r>
          </w:p>
          <w:p w:rsidR="00AE55C1" w:rsidRPr="00966B19" w:rsidRDefault="00AE55C1" w:rsidP="00AE55C1">
            <w:pPr>
              <w:pStyle w:val="DecimalAligned"/>
              <w:tabs>
                <w:tab w:val="clear" w:pos="360"/>
              </w:tabs>
              <w:spacing w:after="0" w:line="240" w:lineRule="auto"/>
              <w:jc w:val="center"/>
              <w:cnfStyle w:val="000000010000"/>
              <w:rPr>
                <w:rFonts w:ascii="Times New Roman" w:hAnsi="Times New Roman"/>
                <w:sz w:val="20"/>
                <w:szCs w:val="20"/>
              </w:rPr>
            </w:pPr>
            <w:r w:rsidRPr="00966B19">
              <w:rPr>
                <w:rFonts w:ascii="Times New Roman" w:hAnsi="Times New Roman"/>
                <w:sz w:val="20"/>
                <w:szCs w:val="20"/>
              </w:rPr>
              <w:t>Vinculações com o estado restrito.</w:t>
            </w:r>
          </w:p>
          <w:p w:rsidR="00AE55C1" w:rsidRPr="00966B19" w:rsidRDefault="00AE55C1" w:rsidP="00AE55C1">
            <w:pPr>
              <w:pStyle w:val="DecimalAligned"/>
              <w:tabs>
                <w:tab w:val="clear" w:pos="360"/>
              </w:tabs>
              <w:spacing w:after="0" w:line="240" w:lineRule="auto"/>
              <w:jc w:val="center"/>
              <w:cnfStyle w:val="000000010000"/>
              <w:rPr>
                <w:rFonts w:ascii="Times New Roman" w:hAnsi="Times New Roman"/>
                <w:sz w:val="20"/>
                <w:szCs w:val="20"/>
              </w:rPr>
            </w:pPr>
            <w:r w:rsidRPr="00966B19">
              <w:rPr>
                <w:rFonts w:ascii="Times New Roman" w:hAnsi="Times New Roman"/>
                <w:sz w:val="20"/>
                <w:szCs w:val="20"/>
              </w:rPr>
              <w:t>Associações setoriais e societais.</w:t>
            </w:r>
          </w:p>
          <w:p w:rsidR="00AE55C1" w:rsidRPr="00966B19" w:rsidRDefault="00AE55C1" w:rsidP="00AE55C1">
            <w:pPr>
              <w:pStyle w:val="DecimalAligned"/>
              <w:tabs>
                <w:tab w:val="clear" w:pos="360"/>
              </w:tabs>
              <w:spacing w:after="0" w:line="240" w:lineRule="auto"/>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1"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7) Renato Conill</w:t>
            </w:r>
          </w:p>
        </w:tc>
        <w:tc>
          <w:tcPr>
            <w:tcW w:w="3047" w:type="pct"/>
          </w:tcPr>
          <w:p w:rsidR="00AE55C1" w:rsidRDefault="00AE55C1" w:rsidP="00AE55C1">
            <w:pPr>
              <w:spacing w:after="0"/>
              <w:jc w:val="both"/>
              <w:cnfStyle w:val="000000100000"/>
              <w:rPr>
                <w:rFonts w:ascii="Times New Roman" w:hAnsi="Times New Roman"/>
                <w:sz w:val="20"/>
                <w:szCs w:val="20"/>
              </w:rPr>
            </w:pPr>
            <w:r w:rsidRPr="00966B19">
              <w:rPr>
                <w:rFonts w:ascii="Times New Roman" w:hAnsi="Times New Roman"/>
                <w:sz w:val="20"/>
                <w:szCs w:val="20"/>
              </w:rPr>
              <w:t xml:space="preserve">Empresário, Presidente do Grupo Süd Metal, Grupo composto de seis fábricas do Setor Metal Mecânico. Na área comercial possui concessionárias das marcas BMW e Audi. </w:t>
            </w:r>
          </w:p>
          <w:p w:rsidR="00AE55C1" w:rsidRPr="00966B19" w:rsidRDefault="00AE55C1" w:rsidP="00AE55C1">
            <w:pPr>
              <w:spacing w:afterAutospacing="1"/>
              <w:jc w:val="both"/>
              <w:cnfStyle w:val="000000100000"/>
              <w:rPr>
                <w:rFonts w:ascii="Times New Roman" w:hAnsi="Times New Roman"/>
                <w:b/>
                <w:color w:val="FF0000"/>
                <w:sz w:val="20"/>
                <w:szCs w:val="20"/>
              </w:rPr>
            </w:pPr>
            <w:r w:rsidRPr="00966B19">
              <w:rPr>
                <w:rFonts w:ascii="Times New Roman" w:hAnsi="Times New Roman"/>
                <w:b/>
                <w:bCs/>
                <w:sz w:val="20"/>
                <w:szCs w:val="20"/>
              </w:rPr>
              <w:t>Período: desde 25/08/2009</w:t>
            </w:r>
          </w:p>
        </w:tc>
        <w:tc>
          <w:tcPr>
            <w:tcW w:w="952"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Metalurgia. Fabricação de peças. Comércio.</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1"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8) Sérgio Reze</w:t>
            </w:r>
          </w:p>
        </w:tc>
        <w:tc>
          <w:tcPr>
            <w:tcW w:w="3047" w:type="pct"/>
          </w:tcPr>
          <w:p w:rsidR="00AE55C1" w:rsidRDefault="00AE55C1" w:rsidP="00AE55C1">
            <w:pPr>
              <w:spacing w:before="100" w:beforeAutospacing="1" w:after="0"/>
              <w:jc w:val="both"/>
              <w:cnfStyle w:val="000000010000"/>
              <w:rPr>
                <w:rFonts w:ascii="Times New Roman" w:hAnsi="Times New Roman"/>
                <w:sz w:val="20"/>
                <w:szCs w:val="20"/>
              </w:rPr>
            </w:pPr>
            <w:r w:rsidRPr="00966B19">
              <w:rPr>
                <w:rFonts w:ascii="Times New Roman" w:hAnsi="Times New Roman"/>
                <w:sz w:val="20"/>
                <w:szCs w:val="20"/>
              </w:rPr>
              <w:t xml:space="preserve">Titular de concessionárias Volkswagen e Hyundai. Presidente dos Conselhos da FENABRAVE - Federação Nacional da Distribuição de Veículos Automotores. Diretoria da Assobrav - Associação Brasileira de Distribuidores Volkswagen (1973-1984 e 1999-2005). Presidente do Consórcio dos Concessionários Volkswagen (1999-2005). </w:t>
            </w:r>
          </w:p>
          <w:p w:rsidR="00AE55C1" w:rsidRPr="00966B19" w:rsidRDefault="00AE55C1" w:rsidP="00AE55C1">
            <w:pPr>
              <w:spacing w:afterAutospacing="1"/>
              <w:jc w:val="both"/>
              <w:cnfStyle w:val="000000010000"/>
              <w:rPr>
                <w:rFonts w:ascii="Times New Roman" w:hAnsi="Times New Roman"/>
                <w:b/>
                <w:color w:val="000000"/>
                <w:sz w:val="20"/>
                <w:szCs w:val="20"/>
              </w:rPr>
            </w:pPr>
            <w:r w:rsidRPr="00966B19">
              <w:rPr>
                <w:rFonts w:ascii="Times New Roman" w:hAnsi="Times New Roman"/>
                <w:b/>
                <w:sz w:val="20"/>
                <w:szCs w:val="20"/>
              </w:rPr>
              <w:t>Período: desde 25/08/2009</w:t>
            </w:r>
          </w:p>
        </w:tc>
        <w:tc>
          <w:tcPr>
            <w:tcW w:w="952"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Comércio.</w:t>
            </w:r>
          </w:p>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Associações setoriais.</w:t>
            </w:r>
          </w:p>
          <w:p w:rsidR="00AE55C1" w:rsidRPr="00966B19" w:rsidRDefault="00AE55C1" w:rsidP="00AE55C1">
            <w:pPr>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1" w:type="pct"/>
          </w:tcPr>
          <w:p w:rsidR="00AE55C1" w:rsidRPr="00966B19" w:rsidRDefault="00AE55C1" w:rsidP="00AE55C1">
            <w:pPr>
              <w:rPr>
                <w:rFonts w:ascii="Times New Roman" w:hAnsi="Times New Roman"/>
                <w:b w:val="0"/>
                <w:sz w:val="20"/>
                <w:szCs w:val="20"/>
              </w:rPr>
            </w:pPr>
            <w:r w:rsidRPr="00966B19">
              <w:rPr>
                <w:rFonts w:ascii="Times New Roman" w:hAnsi="Times New Roman"/>
                <w:b w:val="0"/>
                <w:sz w:val="20"/>
                <w:szCs w:val="20"/>
              </w:rPr>
              <w:t>9) Walter Torre Jr.</w:t>
            </w:r>
          </w:p>
        </w:tc>
        <w:tc>
          <w:tcPr>
            <w:tcW w:w="3047" w:type="pct"/>
          </w:tcPr>
          <w:p w:rsidR="00AE55C1" w:rsidRPr="00966B19" w:rsidRDefault="00AE55C1" w:rsidP="00AE55C1">
            <w:pPr>
              <w:spacing w:after="0"/>
              <w:jc w:val="both"/>
              <w:cnfStyle w:val="000000100000"/>
              <w:rPr>
                <w:rFonts w:ascii="Times New Roman" w:hAnsi="Times New Roman"/>
                <w:sz w:val="20"/>
                <w:szCs w:val="20"/>
              </w:rPr>
            </w:pPr>
            <w:r w:rsidRPr="00966B19">
              <w:rPr>
                <w:rFonts w:ascii="Times New Roman" w:hAnsi="Times New Roman"/>
                <w:sz w:val="20"/>
                <w:szCs w:val="20"/>
              </w:rPr>
              <w:t xml:space="preserve">Presidente do Grupo WTORRE Engenharia. </w:t>
            </w:r>
          </w:p>
          <w:p w:rsidR="00AE55C1" w:rsidRPr="00966B19" w:rsidRDefault="00AE55C1" w:rsidP="00AE55C1">
            <w:pPr>
              <w:spacing w:afterAutospacing="1"/>
              <w:jc w:val="both"/>
              <w:cnfStyle w:val="000000100000"/>
              <w:rPr>
                <w:rFonts w:ascii="Times New Roman" w:hAnsi="Times New Roman"/>
                <w:b/>
                <w:color w:val="FF0000"/>
                <w:sz w:val="20"/>
                <w:szCs w:val="20"/>
              </w:rPr>
            </w:pPr>
            <w:r w:rsidRPr="00966B19">
              <w:rPr>
                <w:rFonts w:ascii="Times New Roman" w:hAnsi="Times New Roman"/>
                <w:b/>
                <w:bCs/>
                <w:sz w:val="20"/>
                <w:szCs w:val="20"/>
              </w:rPr>
              <w:t>Período:</w:t>
            </w:r>
            <w:r w:rsidRPr="00966B19">
              <w:rPr>
                <w:rFonts w:ascii="Times New Roman" w:hAnsi="Times New Roman"/>
                <w:b/>
                <w:sz w:val="20"/>
                <w:szCs w:val="20"/>
              </w:rPr>
              <w:t xml:space="preserve"> desde 25/08/2009</w:t>
            </w:r>
          </w:p>
        </w:tc>
        <w:tc>
          <w:tcPr>
            <w:tcW w:w="952"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Indústria de construção.</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p>
        </w:tc>
      </w:tr>
    </w:tbl>
    <w:p w:rsidR="00AE55C1" w:rsidRPr="00966B19" w:rsidRDefault="00AE55C1" w:rsidP="00AE55C1">
      <w:pPr>
        <w:rPr>
          <w:rFonts w:ascii="Times New Roman" w:hAnsi="Times New Roman"/>
          <w:sz w:val="20"/>
          <w:szCs w:val="20"/>
        </w:rPr>
      </w:pPr>
    </w:p>
    <w:p w:rsidR="00A87CE6" w:rsidRPr="00A87CE6" w:rsidRDefault="00A87CE6" w:rsidP="00A87CE6">
      <w:pPr>
        <w:spacing w:line="240" w:lineRule="auto"/>
        <w:jc w:val="center"/>
        <w:rPr>
          <w:rFonts w:ascii="Times New Roman" w:hAnsi="Times New Roman"/>
          <w:b/>
          <w:sz w:val="24"/>
          <w:szCs w:val="24"/>
        </w:rPr>
      </w:pPr>
      <w:r>
        <w:rPr>
          <w:rFonts w:ascii="Times New Roman" w:hAnsi="Times New Roman"/>
          <w:b/>
          <w:sz w:val="24"/>
          <w:szCs w:val="24"/>
        </w:rPr>
        <w:t>Presença do Empresariado (e de seus Prepostos) no Conselho de Desenvolvimento Econômico e Social (</w:t>
      </w:r>
      <w:r w:rsidR="004A0803">
        <w:rPr>
          <w:rFonts w:ascii="Times New Roman" w:hAnsi="Times New Roman"/>
          <w:b/>
          <w:sz w:val="24"/>
          <w:szCs w:val="24"/>
        </w:rPr>
        <w:t>ingresso</w:t>
      </w:r>
      <w:r w:rsidR="003E7B44">
        <w:rPr>
          <w:rFonts w:ascii="Times New Roman" w:hAnsi="Times New Roman"/>
          <w:b/>
          <w:sz w:val="24"/>
          <w:szCs w:val="24"/>
        </w:rPr>
        <w:t>s</w:t>
      </w:r>
      <w:r w:rsidR="004A0803">
        <w:rPr>
          <w:rFonts w:ascii="Times New Roman" w:hAnsi="Times New Roman"/>
          <w:b/>
          <w:sz w:val="24"/>
          <w:szCs w:val="24"/>
        </w:rPr>
        <w:t xml:space="preserve"> em </w:t>
      </w:r>
      <w:r>
        <w:rPr>
          <w:rFonts w:ascii="Times New Roman" w:hAnsi="Times New Roman"/>
          <w:b/>
          <w:sz w:val="24"/>
          <w:szCs w:val="24"/>
        </w:rPr>
        <w:t>2010)</w:t>
      </w:r>
    </w:p>
    <w:p w:rsidR="00AE55C1" w:rsidRPr="00966B19" w:rsidRDefault="00AE55C1" w:rsidP="00AE55C1">
      <w:pPr>
        <w:tabs>
          <w:tab w:val="left" w:pos="1590"/>
        </w:tabs>
        <w:rPr>
          <w:rFonts w:ascii="Times New Roman" w:hAnsi="Times New Roman"/>
          <w:sz w:val="20"/>
          <w:szCs w:val="20"/>
        </w:rPr>
      </w:pPr>
      <w:r w:rsidRPr="00966B19">
        <w:rPr>
          <w:rFonts w:ascii="Times New Roman" w:hAnsi="Times New Roman"/>
          <w:sz w:val="20"/>
          <w:szCs w:val="20"/>
        </w:rPr>
        <w:tab/>
      </w:r>
    </w:p>
    <w:tbl>
      <w:tblPr>
        <w:tblStyle w:val="GradeClara-nfase11"/>
        <w:tblW w:w="5234" w:type="pct"/>
        <w:tblInd w:w="-459" w:type="dxa"/>
        <w:tblLayout w:type="fixed"/>
        <w:tblLook w:val="04A0"/>
      </w:tblPr>
      <w:tblGrid>
        <w:gridCol w:w="2977"/>
        <w:gridCol w:w="9070"/>
        <w:gridCol w:w="2837"/>
      </w:tblGrid>
      <w:tr w:rsidR="00AE55C1" w:rsidRPr="00966B19" w:rsidTr="00E776C4">
        <w:trPr>
          <w:cnfStyle w:val="100000000000"/>
        </w:trPr>
        <w:tc>
          <w:tcPr>
            <w:cnfStyle w:val="001000000000"/>
            <w:tcW w:w="1000" w:type="pct"/>
          </w:tcPr>
          <w:p w:rsidR="00AE55C1" w:rsidRPr="003409D0" w:rsidRDefault="00AE55C1" w:rsidP="00AE55C1">
            <w:pPr>
              <w:rPr>
                <w:rFonts w:ascii="Times New Roman" w:hAnsi="Times New Roman"/>
                <w:sz w:val="20"/>
                <w:szCs w:val="20"/>
              </w:rPr>
            </w:pPr>
            <w:r w:rsidRPr="003409D0">
              <w:rPr>
                <w:rFonts w:ascii="Times New Roman" w:hAnsi="Times New Roman"/>
                <w:sz w:val="20"/>
                <w:szCs w:val="20"/>
              </w:rPr>
              <w:t>Conselheiros-Empresários</w:t>
            </w:r>
          </w:p>
        </w:tc>
        <w:tc>
          <w:tcPr>
            <w:tcW w:w="3047" w:type="pct"/>
          </w:tcPr>
          <w:p w:rsidR="00AE55C1" w:rsidRPr="003409D0" w:rsidRDefault="00AE55C1" w:rsidP="00AE55C1">
            <w:pPr>
              <w:jc w:val="both"/>
              <w:cnfStyle w:val="100000000000"/>
              <w:rPr>
                <w:rFonts w:ascii="Times New Roman" w:hAnsi="Times New Roman"/>
                <w:sz w:val="20"/>
                <w:szCs w:val="20"/>
              </w:rPr>
            </w:pPr>
            <w:r w:rsidRPr="003409D0">
              <w:rPr>
                <w:rFonts w:ascii="Times New Roman" w:hAnsi="Times New Roman"/>
                <w:sz w:val="20"/>
                <w:szCs w:val="20"/>
              </w:rPr>
              <w:t>Trajetórias e Vinculações</w:t>
            </w:r>
          </w:p>
        </w:tc>
        <w:tc>
          <w:tcPr>
            <w:tcW w:w="953" w:type="pct"/>
          </w:tcPr>
          <w:p w:rsidR="00AE55C1" w:rsidRPr="003409D0" w:rsidRDefault="00AE55C1" w:rsidP="00AE55C1">
            <w:pPr>
              <w:pStyle w:val="DecimalAligned"/>
              <w:tabs>
                <w:tab w:val="clear" w:pos="360"/>
              </w:tabs>
              <w:spacing w:after="0" w:line="240" w:lineRule="auto"/>
              <w:jc w:val="center"/>
              <w:cnfStyle w:val="100000000000"/>
              <w:rPr>
                <w:rFonts w:ascii="Times New Roman" w:hAnsi="Times New Roman"/>
                <w:sz w:val="20"/>
                <w:szCs w:val="20"/>
              </w:rPr>
            </w:pPr>
            <w:r w:rsidRPr="003409D0">
              <w:rPr>
                <w:rFonts w:ascii="Times New Roman" w:hAnsi="Times New Roman"/>
                <w:sz w:val="20"/>
                <w:szCs w:val="20"/>
              </w:rPr>
              <w:t xml:space="preserve">Atividades Principais e Tipos de Associações </w:t>
            </w:r>
          </w:p>
        </w:tc>
      </w:tr>
      <w:tr w:rsidR="00AE55C1" w:rsidRPr="00966B19" w:rsidTr="00E776C4">
        <w:trPr>
          <w:cnfStyle w:val="000000100000"/>
        </w:trPr>
        <w:tc>
          <w:tcPr>
            <w:cnfStyle w:val="001000000000"/>
            <w:tcW w:w="1000" w:type="pct"/>
          </w:tcPr>
          <w:p w:rsidR="00AE55C1" w:rsidRPr="00966B19" w:rsidRDefault="00AE55C1" w:rsidP="00AE55C1">
            <w:pPr>
              <w:jc w:val="both"/>
              <w:rPr>
                <w:rFonts w:ascii="Times New Roman" w:hAnsi="Times New Roman"/>
                <w:b w:val="0"/>
                <w:sz w:val="20"/>
                <w:szCs w:val="20"/>
              </w:rPr>
            </w:pPr>
            <w:r w:rsidRPr="00966B19">
              <w:rPr>
                <w:rFonts w:ascii="Times New Roman" w:hAnsi="Times New Roman"/>
                <w:b w:val="0"/>
                <w:sz w:val="20"/>
                <w:szCs w:val="20"/>
              </w:rPr>
              <w:t>1) Cledorvino Belini</w:t>
            </w:r>
          </w:p>
        </w:tc>
        <w:tc>
          <w:tcPr>
            <w:tcW w:w="3047" w:type="pct"/>
          </w:tcPr>
          <w:p w:rsidR="00AE55C1" w:rsidRPr="00966B19" w:rsidRDefault="00AE55C1" w:rsidP="00AE55C1">
            <w:pPr>
              <w:spacing w:before="100" w:beforeAutospacing="1" w:after="0"/>
              <w:jc w:val="both"/>
              <w:cnfStyle w:val="000000100000"/>
              <w:rPr>
                <w:rFonts w:ascii="Times New Roman" w:hAnsi="Times New Roman"/>
                <w:sz w:val="20"/>
                <w:szCs w:val="20"/>
              </w:rPr>
            </w:pPr>
            <w:r w:rsidRPr="00966B19">
              <w:rPr>
                <w:rFonts w:ascii="Times New Roman" w:hAnsi="Times New Roman"/>
                <w:sz w:val="20"/>
                <w:szCs w:val="20"/>
              </w:rPr>
              <w:t xml:space="preserve">Presidente da ANFAVEA – Associação Nacional dos Fabricantes de Veículos Automotores e do SINFAVEA – Sindicato Nacional da Indústria de Tratores, Caminhões, Automóveis e Veículos Similares para a gestão abril/2007 a abril/2010. Assumiu em fevereiro de 2004 o cargo de presidente da Fiat Automóveis para a América Latina. Em 2005, assumiu a presidência de todo o Grupo Fiat para a América Latina. Integra o Conselho Executivo do Fiat Group (GEC), a mais elevada instância mundial de comando executivo do grupo. Diretor presidente da Fiat Finanças Brasil desde 2005 e presidente do Conselho de Administração do Banco Fidis desde janeiro de 2009. Além disso, é membro do Conselho Superior Estratégico da Federação das Indústrias do Estado de São Paulo (FIESP) e do International Advisory Board, da Fundação Dom Cabral. </w:t>
            </w:r>
            <w:r w:rsidRPr="00966B19">
              <w:rPr>
                <w:rFonts w:ascii="Times New Roman" w:hAnsi="Times New Roman"/>
                <w:color w:val="000000"/>
                <w:sz w:val="20"/>
                <w:szCs w:val="20"/>
              </w:rPr>
              <w:t>Conselho Consultivo do Setor Privado (CONEX) da CAMEX.</w:t>
            </w:r>
          </w:p>
          <w:p w:rsidR="00AE55C1" w:rsidRPr="00966B19" w:rsidRDefault="00AE55C1" w:rsidP="00AE55C1">
            <w:pPr>
              <w:spacing w:after="100" w:afterAutospacing="1"/>
              <w:jc w:val="both"/>
              <w:cnfStyle w:val="000000100000"/>
              <w:rPr>
                <w:rFonts w:ascii="Times New Roman" w:hAnsi="Times New Roman"/>
                <w:b/>
                <w:color w:val="FF0000"/>
                <w:sz w:val="20"/>
                <w:szCs w:val="20"/>
              </w:rPr>
            </w:pPr>
            <w:r w:rsidRPr="00966B19">
              <w:rPr>
                <w:rFonts w:ascii="Times New Roman" w:hAnsi="Times New Roman"/>
                <w:b/>
                <w:bCs/>
                <w:sz w:val="20"/>
                <w:szCs w:val="20"/>
              </w:rPr>
              <w:t>Período:</w:t>
            </w:r>
            <w:r w:rsidRPr="00966B19">
              <w:rPr>
                <w:rFonts w:ascii="Times New Roman" w:hAnsi="Times New Roman"/>
                <w:b/>
                <w:sz w:val="20"/>
                <w:szCs w:val="20"/>
              </w:rPr>
              <w:t xml:space="preserve"> desde 06/09/2010</w:t>
            </w:r>
          </w:p>
        </w:tc>
        <w:tc>
          <w:tcPr>
            <w:tcW w:w="953" w:type="pct"/>
          </w:tcPr>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Fabricação de veículos. Setor financeiro.</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Vinculações com o Estado restrito.</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r w:rsidRPr="00966B19">
              <w:rPr>
                <w:rFonts w:ascii="Times New Roman" w:hAnsi="Times New Roman"/>
                <w:sz w:val="20"/>
                <w:szCs w:val="20"/>
              </w:rPr>
              <w:t>Associações corporativas, setoriais e societais.</w:t>
            </w:r>
          </w:p>
          <w:p w:rsidR="00AE55C1" w:rsidRPr="00966B19" w:rsidRDefault="00AE55C1" w:rsidP="00AE55C1">
            <w:pPr>
              <w:pStyle w:val="DecimalAligned"/>
              <w:tabs>
                <w:tab w:val="clear" w:pos="360"/>
              </w:tabs>
              <w:spacing w:after="0" w:line="240" w:lineRule="auto"/>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2) Fernando Alves</w:t>
            </w:r>
          </w:p>
        </w:tc>
        <w:tc>
          <w:tcPr>
            <w:tcW w:w="3047" w:type="pct"/>
          </w:tcPr>
          <w:p w:rsidR="00AE55C1" w:rsidRPr="00966B19" w:rsidRDefault="00CA0999" w:rsidP="00AE55C1">
            <w:pPr>
              <w:spacing w:after="0"/>
              <w:jc w:val="both"/>
              <w:cnfStyle w:val="000000010000"/>
              <w:rPr>
                <w:rFonts w:ascii="Times New Roman" w:hAnsi="Times New Roman"/>
                <w:sz w:val="20"/>
                <w:szCs w:val="20"/>
              </w:rPr>
            </w:pPr>
            <w:r>
              <w:rPr>
                <w:rFonts w:ascii="Times New Roman" w:hAnsi="Times New Roman"/>
                <w:sz w:val="20"/>
                <w:szCs w:val="20"/>
              </w:rPr>
              <w:t>So</w:t>
            </w:r>
            <w:r w:rsidR="00AE55C1" w:rsidRPr="00966B19">
              <w:rPr>
                <w:rFonts w:ascii="Times New Roman" w:hAnsi="Times New Roman"/>
                <w:sz w:val="20"/>
                <w:szCs w:val="20"/>
              </w:rPr>
              <w:t>ciopresidente da Price Waterhouse Coopers-Brasil, organização líder no seu segmento no País, onde atua prestando serviços de auditoria; consultoria tributária e societária; e consultoria de gestão. É membro do Instituto de Auditores Independentes do Brasil -IBRACON, do Conselho Federal de Contabilidade - CFC, do CFA – Conselho Federal de Administração, do IBEF – Instituto Brasileiro de Executivos de Finanças e da Anefac – Associação Nacional dos Executivos de Finanças, Administração e Contabilidade, membro do Conselho de Administração da Amcham - Câmara Americana de Comércio no Brasil e também do seu Comitê Executivo. É ainda membro do Conselho Empresarial Brasil-China; foi Vice-Presidente do Conselho de Administração do IBGC - Instituto Brasileiro de Governança Corporativa e, atualmente, é membro do "Board of Advisors of the Brazil Programs" da Joseph M. Katz Graduate School of Business - University of Pittsburg – EUA. Também é membro do Conselho Editorial das revistas Razão Contábil, Razão de Investir e Custo-Brasil.</w:t>
            </w:r>
          </w:p>
          <w:p w:rsidR="00AE55C1" w:rsidRPr="00966B19" w:rsidRDefault="00AE55C1" w:rsidP="00AE55C1">
            <w:pPr>
              <w:jc w:val="both"/>
              <w:cnfStyle w:val="000000010000"/>
              <w:rPr>
                <w:rFonts w:ascii="Times New Roman" w:hAnsi="Times New Roman"/>
                <w:sz w:val="20"/>
                <w:szCs w:val="20"/>
              </w:rPr>
            </w:pPr>
            <w:r w:rsidRPr="00966B19">
              <w:rPr>
                <w:rFonts w:ascii="Times New Roman" w:hAnsi="Times New Roman"/>
                <w:b/>
                <w:bCs/>
                <w:sz w:val="20"/>
                <w:szCs w:val="20"/>
              </w:rPr>
              <w:t>Período:</w:t>
            </w:r>
            <w:r w:rsidRPr="00966B19">
              <w:rPr>
                <w:rFonts w:ascii="Times New Roman" w:hAnsi="Times New Roman"/>
                <w:b/>
                <w:sz w:val="20"/>
                <w:szCs w:val="20"/>
              </w:rPr>
              <w:t xml:space="preserve"> desde 06/09/2010</w:t>
            </w:r>
          </w:p>
        </w:tc>
        <w:tc>
          <w:tcPr>
            <w:tcW w:w="953" w:type="pct"/>
          </w:tcPr>
          <w:p w:rsidR="00AE55C1" w:rsidRPr="00966B19" w:rsidRDefault="00AE55C1" w:rsidP="00AE55C1">
            <w:pPr>
              <w:jc w:val="center"/>
              <w:cnfStyle w:val="000000010000"/>
              <w:rPr>
                <w:rFonts w:ascii="Times New Roman" w:hAnsi="Times New Roman"/>
                <w:sz w:val="20"/>
                <w:szCs w:val="20"/>
                <w:lang w:val="pt-PT"/>
              </w:rPr>
            </w:pPr>
            <w:r w:rsidRPr="00966B19">
              <w:rPr>
                <w:rFonts w:ascii="Times New Roman" w:hAnsi="Times New Roman"/>
                <w:sz w:val="20"/>
                <w:szCs w:val="20"/>
                <w:lang w:val="pt-PT"/>
              </w:rPr>
              <w:t>Consultoria empresarial.</w:t>
            </w:r>
          </w:p>
          <w:p w:rsidR="00AE55C1" w:rsidRPr="00966B19" w:rsidRDefault="00AE55C1" w:rsidP="00AE55C1">
            <w:pPr>
              <w:jc w:val="center"/>
              <w:cnfStyle w:val="000000010000"/>
              <w:rPr>
                <w:rFonts w:ascii="Times New Roman" w:hAnsi="Times New Roman"/>
                <w:sz w:val="20"/>
                <w:szCs w:val="20"/>
                <w:lang w:val="pt-PT"/>
              </w:rPr>
            </w:pPr>
            <w:r w:rsidRPr="00966B19">
              <w:rPr>
                <w:rFonts w:ascii="Times New Roman" w:hAnsi="Times New Roman"/>
                <w:sz w:val="20"/>
                <w:szCs w:val="20"/>
                <w:lang w:val="pt-PT"/>
              </w:rPr>
              <w:t>Associações setoriais.</w:t>
            </w:r>
          </w:p>
          <w:p w:rsidR="00AE55C1" w:rsidRPr="00966B19" w:rsidRDefault="00AE55C1" w:rsidP="00AE55C1">
            <w:pPr>
              <w:jc w:val="center"/>
              <w:cnfStyle w:val="000000010000"/>
              <w:rPr>
                <w:rFonts w:ascii="Times New Roman" w:hAnsi="Times New Roman"/>
                <w:sz w:val="20"/>
                <w:szCs w:val="20"/>
                <w:lang w:val="pt-PT"/>
              </w:rPr>
            </w:pP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3) José Conrado Azevedo Santos</w:t>
            </w:r>
          </w:p>
        </w:tc>
        <w:tc>
          <w:tcPr>
            <w:tcW w:w="3047" w:type="pct"/>
          </w:tcPr>
          <w:p w:rsidR="00AE55C1" w:rsidRPr="00966B19" w:rsidRDefault="00AE55C1" w:rsidP="00AE55C1">
            <w:pPr>
              <w:spacing w:after="0"/>
              <w:jc w:val="both"/>
              <w:cnfStyle w:val="000000100000"/>
              <w:rPr>
                <w:rFonts w:ascii="Times New Roman" w:hAnsi="Times New Roman"/>
                <w:sz w:val="20"/>
                <w:szCs w:val="20"/>
              </w:rPr>
            </w:pPr>
            <w:r w:rsidRPr="00966B19">
              <w:rPr>
                <w:rFonts w:ascii="Times New Roman" w:hAnsi="Times New Roman"/>
                <w:sz w:val="20"/>
                <w:szCs w:val="20"/>
              </w:rPr>
              <w:t>Empresário do setor gráfico (Gráfica Sagrada Família). Vice-presidente da FIEPA (1987-2005). Presidente da FIEPA (2006). Diretor da Confederação Nacional da Indústria (CNI), Diretor Regional do Serviço Social da Indústria (SESI-PA), Presidente do Conselho Regional do Serviço Nacional de Aprendizagem Industrial (SENAI-PA) e Vice-Presidente da ABIGRAF Nacional. Foi presidente do Sindicato das Indústrias Gráficas do Pará – SIGEPA (1980-1999).</w:t>
            </w:r>
          </w:p>
          <w:p w:rsidR="00AE55C1" w:rsidRPr="00966B19" w:rsidRDefault="00AE55C1" w:rsidP="00AE55C1">
            <w:pPr>
              <w:spacing w:afterAutospacing="1"/>
              <w:jc w:val="both"/>
              <w:cnfStyle w:val="000000100000"/>
              <w:rPr>
                <w:rFonts w:ascii="Times New Roman" w:hAnsi="Times New Roman"/>
                <w:sz w:val="20"/>
                <w:szCs w:val="20"/>
              </w:rPr>
            </w:pPr>
            <w:r w:rsidRPr="00966B19">
              <w:rPr>
                <w:rFonts w:ascii="Times New Roman" w:hAnsi="Times New Roman"/>
                <w:b/>
                <w:bCs/>
                <w:sz w:val="20"/>
                <w:szCs w:val="20"/>
              </w:rPr>
              <w:t>Período:</w:t>
            </w:r>
            <w:r w:rsidRPr="00966B19">
              <w:rPr>
                <w:rFonts w:ascii="Times New Roman" w:hAnsi="Times New Roman"/>
                <w:b/>
                <w:sz w:val="20"/>
                <w:szCs w:val="20"/>
              </w:rPr>
              <w:t xml:space="preserve"> desde 04/06/2010</w:t>
            </w:r>
          </w:p>
        </w:tc>
        <w:tc>
          <w:tcPr>
            <w:tcW w:w="953" w:type="pct"/>
          </w:tcPr>
          <w:p w:rsidR="00AE55C1" w:rsidRPr="00966B19" w:rsidRDefault="00AE55C1" w:rsidP="00AE55C1">
            <w:pPr>
              <w:jc w:val="center"/>
              <w:cnfStyle w:val="000000100000"/>
              <w:rPr>
                <w:rFonts w:ascii="Times New Roman" w:hAnsi="Times New Roman"/>
                <w:sz w:val="20"/>
                <w:szCs w:val="20"/>
                <w:lang w:val="pt-PT"/>
              </w:rPr>
            </w:pPr>
            <w:r w:rsidRPr="00966B19">
              <w:rPr>
                <w:rFonts w:ascii="Times New Roman" w:hAnsi="Times New Roman"/>
                <w:sz w:val="20"/>
                <w:szCs w:val="20"/>
                <w:lang w:val="pt-PT"/>
              </w:rPr>
              <w:t>Setor Gráfico. Associações corporativas e setoriais.</w:t>
            </w:r>
          </w:p>
          <w:p w:rsidR="00AE55C1" w:rsidRPr="00966B19" w:rsidRDefault="00AE55C1" w:rsidP="00AE55C1">
            <w:pPr>
              <w:jc w:val="center"/>
              <w:cnfStyle w:val="000000100000"/>
              <w:rPr>
                <w:rFonts w:ascii="Times New Roman" w:hAnsi="Times New Roman"/>
                <w:sz w:val="20"/>
                <w:szCs w:val="20"/>
                <w:lang w:val="pt-PT"/>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4) Marcelo Bahia Odebrecht</w:t>
            </w:r>
          </w:p>
          <w:p w:rsidR="00AE55C1" w:rsidRPr="00966B19" w:rsidRDefault="00AE55C1" w:rsidP="00AE55C1">
            <w:pPr>
              <w:pStyle w:val="NormalWeb"/>
              <w:spacing w:before="0" w:beforeAutospacing="0" w:after="0" w:afterAutospacing="0"/>
              <w:jc w:val="both"/>
              <w:rPr>
                <w:b w:val="0"/>
                <w:sz w:val="20"/>
                <w:szCs w:val="20"/>
              </w:rPr>
            </w:pPr>
          </w:p>
          <w:p w:rsidR="00AE55C1" w:rsidRPr="00966B19" w:rsidRDefault="00AE55C1" w:rsidP="00AE55C1">
            <w:pPr>
              <w:pStyle w:val="NormalWeb"/>
              <w:spacing w:before="0" w:beforeAutospacing="0" w:after="0" w:afterAutospacing="0"/>
              <w:jc w:val="both"/>
              <w:rPr>
                <w:b w:val="0"/>
                <w:sz w:val="20"/>
                <w:szCs w:val="20"/>
              </w:rPr>
            </w:pPr>
          </w:p>
        </w:tc>
        <w:tc>
          <w:tcPr>
            <w:tcW w:w="3047" w:type="pct"/>
          </w:tcPr>
          <w:p w:rsidR="00AE55C1" w:rsidRPr="00966B19" w:rsidRDefault="00AE55C1" w:rsidP="000F455C">
            <w:pPr>
              <w:spacing w:before="100" w:beforeAutospacing="1" w:after="0" w:line="240" w:lineRule="auto"/>
              <w:jc w:val="both"/>
              <w:cnfStyle w:val="000000010000"/>
              <w:rPr>
                <w:rFonts w:ascii="Times New Roman" w:hAnsi="Times New Roman"/>
                <w:sz w:val="20"/>
                <w:szCs w:val="20"/>
              </w:rPr>
            </w:pPr>
            <w:r w:rsidRPr="00966B19">
              <w:rPr>
                <w:rFonts w:ascii="Times New Roman" w:hAnsi="Times New Roman"/>
                <w:sz w:val="20"/>
                <w:szCs w:val="20"/>
              </w:rPr>
              <w:t xml:space="preserve">Ingressou no Grupo Odebrecht em 1992, e em janeiro de 2002 foi nomeado CEO da Construtora Norberto Odebrecht, maior empresa de Engenharia e Construção na América Latina. No final de 2008, tornou-se Presidente da Odebrecht S.A., holding do Grupo Odebrecht. Fórum de líderes. IEDI. Conselho Estratégico da FIESP. </w:t>
            </w:r>
            <w:r w:rsidRPr="00966B19">
              <w:rPr>
                <w:rFonts w:ascii="Times New Roman" w:hAnsi="Times New Roman"/>
                <w:color w:val="000000"/>
                <w:sz w:val="20"/>
                <w:szCs w:val="20"/>
              </w:rPr>
              <w:t>Conselho Consultivo do Setor Privado (CONEX) da CAMEX.</w:t>
            </w:r>
          </w:p>
          <w:p w:rsidR="00AE55C1" w:rsidRPr="00966B19" w:rsidRDefault="00AE55C1" w:rsidP="00AE55C1">
            <w:pPr>
              <w:spacing w:after="0" w:line="240" w:lineRule="auto"/>
              <w:jc w:val="both"/>
              <w:cnfStyle w:val="000000010000"/>
              <w:rPr>
                <w:rFonts w:ascii="Times New Roman" w:hAnsi="Times New Roman"/>
                <w:b/>
                <w:color w:val="000000"/>
                <w:sz w:val="20"/>
                <w:szCs w:val="20"/>
              </w:rPr>
            </w:pPr>
            <w:r w:rsidRPr="00966B19">
              <w:rPr>
                <w:rFonts w:ascii="Times New Roman" w:hAnsi="Times New Roman"/>
                <w:b/>
                <w:bCs/>
                <w:sz w:val="20"/>
                <w:szCs w:val="20"/>
              </w:rPr>
              <w:t>Período:</w:t>
            </w:r>
            <w:r w:rsidRPr="00966B19">
              <w:rPr>
                <w:rFonts w:ascii="Times New Roman" w:hAnsi="Times New Roman"/>
                <w:b/>
                <w:sz w:val="20"/>
                <w:szCs w:val="20"/>
              </w:rPr>
              <w:t xml:space="preserve"> desde 06/09/2010.</w:t>
            </w:r>
          </w:p>
        </w:tc>
        <w:tc>
          <w:tcPr>
            <w:tcW w:w="953" w:type="pct"/>
          </w:tcPr>
          <w:p w:rsidR="00AE55C1" w:rsidRPr="00966B19" w:rsidRDefault="00AE55C1" w:rsidP="00EB760D">
            <w:pPr>
              <w:spacing w:after="0" w:line="240" w:lineRule="auto"/>
              <w:jc w:val="center"/>
              <w:cnfStyle w:val="000000010000"/>
              <w:rPr>
                <w:rFonts w:ascii="Times New Roman" w:hAnsi="Times New Roman"/>
                <w:sz w:val="20"/>
                <w:szCs w:val="20"/>
                <w:lang w:val="pt-PT"/>
              </w:rPr>
            </w:pPr>
            <w:r w:rsidRPr="00966B19">
              <w:rPr>
                <w:rFonts w:ascii="Times New Roman" w:hAnsi="Times New Roman"/>
                <w:sz w:val="20"/>
                <w:szCs w:val="20"/>
                <w:lang w:val="pt-PT"/>
              </w:rPr>
              <w:t>Indústria da Construção, Petroquímica, Infraestrutura, Agronegócio. Setor imobiliário e financeiro.</w:t>
            </w:r>
          </w:p>
          <w:p w:rsidR="00AE55C1" w:rsidRPr="00966B19" w:rsidRDefault="00AE55C1" w:rsidP="00EB760D">
            <w:pPr>
              <w:spacing w:after="0" w:line="240" w:lineRule="auto"/>
              <w:jc w:val="center"/>
              <w:cnfStyle w:val="000000010000"/>
              <w:rPr>
                <w:rFonts w:ascii="Times New Roman" w:hAnsi="Times New Roman"/>
                <w:sz w:val="20"/>
                <w:szCs w:val="20"/>
                <w:lang w:val="pt-PT"/>
              </w:rPr>
            </w:pPr>
            <w:r w:rsidRPr="00966B19">
              <w:rPr>
                <w:rFonts w:ascii="Times New Roman" w:hAnsi="Times New Roman"/>
                <w:sz w:val="20"/>
                <w:szCs w:val="20"/>
                <w:lang w:val="pt-PT"/>
              </w:rPr>
              <w:t>Vinculações com o Estado restrito</w:t>
            </w: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5) Marcelo Fidêncio Giufrida</w:t>
            </w:r>
          </w:p>
        </w:tc>
        <w:tc>
          <w:tcPr>
            <w:tcW w:w="3047" w:type="pct"/>
          </w:tcPr>
          <w:p w:rsidR="00AE55C1" w:rsidRPr="00966B19" w:rsidRDefault="00AE55C1" w:rsidP="00AE55C1">
            <w:pPr>
              <w:spacing w:after="0"/>
              <w:jc w:val="both"/>
              <w:cnfStyle w:val="000000100000"/>
              <w:rPr>
                <w:rFonts w:ascii="Times New Roman" w:hAnsi="Times New Roman"/>
                <w:sz w:val="20"/>
                <w:szCs w:val="20"/>
              </w:rPr>
            </w:pPr>
            <w:r w:rsidRPr="00966B19">
              <w:rPr>
                <w:rFonts w:ascii="Times New Roman" w:hAnsi="Times New Roman"/>
                <w:sz w:val="20"/>
                <w:szCs w:val="20"/>
              </w:rPr>
              <w:t>Presidente da BNP Paribas Asset Management Brasil, unidade de gestão de recursos do BNP Paribas no país. Coordenador da divisão de negócios "Investment Solutions" no Brasil. Além da gestão de recursos, a Investment Solutions congrega as atividades de private banking, seguros, custódia e serviços financeiros, corretora e negócios imobiliários. Foi diretor Banco CCF Brasil entre 1987 e 2000. É, desde 2009, Presidente da Anbima - Associação Brasileira das Entidades dos Mercados Financeiros e de Capitais, entidade resultante da fusão da Anbima com a Anbid, onde foi vice-presidente responsável pela Comissão de Administração de Recursos de 1996 à 2008, e presidente de 2008 até a data da fusão. Foi também presidente do conselho de Auto-Regulação de Fundos de Investimento da Anbid de 2000 à 2002.</w:t>
            </w:r>
          </w:p>
          <w:p w:rsidR="00AE55C1" w:rsidRPr="00966B19" w:rsidRDefault="00AE55C1" w:rsidP="00AE55C1">
            <w:pPr>
              <w:spacing w:afterAutospacing="1"/>
              <w:jc w:val="both"/>
              <w:cnfStyle w:val="000000100000"/>
              <w:rPr>
                <w:rFonts w:ascii="Times New Roman" w:hAnsi="Times New Roman"/>
                <w:color w:val="000000"/>
                <w:sz w:val="20"/>
                <w:szCs w:val="20"/>
              </w:rPr>
            </w:pPr>
            <w:r w:rsidRPr="00966B19">
              <w:rPr>
                <w:rFonts w:ascii="Times New Roman" w:hAnsi="Times New Roman"/>
                <w:b/>
                <w:bCs/>
                <w:sz w:val="20"/>
                <w:szCs w:val="20"/>
              </w:rPr>
              <w:t>Período:</w:t>
            </w:r>
            <w:r w:rsidRPr="00966B19">
              <w:rPr>
                <w:rFonts w:ascii="Times New Roman" w:hAnsi="Times New Roman"/>
                <w:b/>
                <w:sz w:val="20"/>
                <w:szCs w:val="20"/>
              </w:rPr>
              <w:t>desde 04/06/2010</w:t>
            </w:r>
          </w:p>
        </w:tc>
        <w:tc>
          <w:tcPr>
            <w:tcW w:w="953" w:type="pct"/>
          </w:tcPr>
          <w:p w:rsidR="00AE55C1" w:rsidRPr="00966B19" w:rsidRDefault="00AE55C1" w:rsidP="00EB760D">
            <w:pPr>
              <w:spacing w:before="240"/>
              <w:jc w:val="center"/>
              <w:cnfStyle w:val="000000100000"/>
              <w:rPr>
                <w:rFonts w:ascii="Times New Roman" w:hAnsi="Times New Roman"/>
                <w:sz w:val="20"/>
                <w:szCs w:val="20"/>
              </w:rPr>
            </w:pPr>
            <w:r w:rsidRPr="00966B19">
              <w:rPr>
                <w:rFonts w:ascii="Times New Roman" w:hAnsi="Times New Roman"/>
                <w:sz w:val="20"/>
                <w:szCs w:val="20"/>
              </w:rPr>
              <w:t>Setor Financeiro.</w:t>
            </w:r>
          </w:p>
          <w:p w:rsidR="00AE55C1" w:rsidRPr="00966B19" w:rsidRDefault="00AE55C1" w:rsidP="00AE55C1">
            <w:pPr>
              <w:jc w:val="center"/>
              <w:cnfStyle w:val="000000100000"/>
              <w:rPr>
                <w:rFonts w:ascii="Times New Roman" w:hAnsi="Times New Roman"/>
                <w:sz w:val="20"/>
                <w:szCs w:val="20"/>
              </w:rPr>
            </w:pPr>
            <w:r w:rsidRPr="00966B19">
              <w:rPr>
                <w:rFonts w:ascii="Times New Roman" w:hAnsi="Times New Roman"/>
                <w:sz w:val="20"/>
                <w:szCs w:val="20"/>
              </w:rPr>
              <w:t>Associações setoriais.</w:t>
            </w:r>
          </w:p>
          <w:p w:rsidR="00AE55C1" w:rsidRPr="00966B19" w:rsidRDefault="00AE55C1" w:rsidP="00AE55C1">
            <w:pPr>
              <w:jc w:val="center"/>
              <w:cnfStyle w:val="000000100000"/>
              <w:rPr>
                <w:rFonts w:ascii="Times New Roman" w:hAnsi="Times New Roman"/>
                <w:sz w:val="20"/>
                <w:szCs w:val="20"/>
              </w:rPr>
            </w:pPr>
          </w:p>
        </w:tc>
      </w:tr>
      <w:tr w:rsidR="00AE55C1" w:rsidRPr="00966B19" w:rsidTr="00E776C4">
        <w:trPr>
          <w:cnfStyle w:val="00000001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6) Olavo Machado Júnior</w:t>
            </w:r>
          </w:p>
        </w:tc>
        <w:tc>
          <w:tcPr>
            <w:tcW w:w="3047" w:type="pct"/>
          </w:tcPr>
          <w:p w:rsidR="000F455C" w:rsidRDefault="00AE55C1" w:rsidP="000F455C">
            <w:pPr>
              <w:spacing w:after="0"/>
              <w:jc w:val="both"/>
              <w:cnfStyle w:val="000000010000"/>
              <w:rPr>
                <w:rFonts w:ascii="Times New Roman" w:hAnsi="Times New Roman"/>
                <w:sz w:val="20"/>
                <w:szCs w:val="20"/>
              </w:rPr>
            </w:pPr>
            <w:r w:rsidRPr="00966B19">
              <w:rPr>
                <w:rFonts w:ascii="Times New Roman" w:hAnsi="Times New Roman"/>
                <w:sz w:val="20"/>
                <w:szCs w:val="20"/>
              </w:rPr>
              <w:t xml:space="preserve">Empresário do setor elétrico e líder empresarial. Fundou, em 1974, a Machado Correa Engenharia (Macorim), é sócio da IG Construções Elétricas de equipamentos elétricos e diretor da Orteng MCT transformadores Ltda. É presidente da FIEMG, diretor regional do SENAI e do SESI. É Diretor da CNI. Presidiu o Sindicato da Indústria de Aparelhos Elétricos, Eletrônicos e Similares do Estado de Minas Gerais (Sinaees), foi diretor da Associação Brasileira da Indústria Eletro-Eletrônica (Abinee/MG e Abinee/SP), diretor e vice-presidente do Centro das Indústrias das Cidades Industriais de Minas Gerais (CICI/MG), vice-presidente da Sociedade Mineira de Engenheiros (SME) e presidente do Centro Industrial e Empresarial de Minas Gerais (CIEMG). No setor público, foi presidente da Fundação Centro Tecnológico de Minas Gerais (CETEC/MG), Secretário-Adjunto da Indústria e Comércio do Estado de Minas Gerais e membro do Conselho Curador da Fundação de Amparo à Pesquisa de Minas Gerais (FAPEMIG). Membro do Conselho Deliberativo da ABDI (MDIC). </w:t>
            </w:r>
          </w:p>
          <w:p w:rsidR="00AE55C1" w:rsidRPr="00966B19" w:rsidRDefault="00AE55C1" w:rsidP="00AE55C1">
            <w:pPr>
              <w:jc w:val="both"/>
              <w:cnfStyle w:val="000000010000"/>
              <w:rPr>
                <w:rFonts w:ascii="Times New Roman" w:hAnsi="Times New Roman"/>
                <w:sz w:val="20"/>
                <w:szCs w:val="20"/>
              </w:rPr>
            </w:pPr>
            <w:r w:rsidRPr="00966B19">
              <w:rPr>
                <w:rFonts w:ascii="Times New Roman" w:hAnsi="Times New Roman"/>
                <w:b/>
                <w:bCs/>
                <w:sz w:val="20"/>
                <w:szCs w:val="20"/>
              </w:rPr>
              <w:t>Período:</w:t>
            </w:r>
            <w:r w:rsidRPr="00966B19">
              <w:rPr>
                <w:rFonts w:ascii="Times New Roman" w:hAnsi="Times New Roman"/>
                <w:b/>
                <w:sz w:val="20"/>
                <w:szCs w:val="20"/>
              </w:rPr>
              <w:t>desde 04/06/2010</w:t>
            </w:r>
          </w:p>
        </w:tc>
        <w:tc>
          <w:tcPr>
            <w:tcW w:w="953" w:type="pct"/>
          </w:tcPr>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Setor elétrico.</w:t>
            </w:r>
          </w:p>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Vinculações com o Estado restrito.</w:t>
            </w:r>
          </w:p>
          <w:p w:rsidR="00AE55C1" w:rsidRPr="00966B19" w:rsidRDefault="00AE55C1" w:rsidP="00AE55C1">
            <w:pPr>
              <w:jc w:val="center"/>
              <w:cnfStyle w:val="000000010000"/>
              <w:rPr>
                <w:rFonts w:ascii="Times New Roman" w:hAnsi="Times New Roman"/>
                <w:sz w:val="20"/>
                <w:szCs w:val="20"/>
              </w:rPr>
            </w:pPr>
            <w:r w:rsidRPr="00966B19">
              <w:rPr>
                <w:rFonts w:ascii="Times New Roman" w:hAnsi="Times New Roman"/>
                <w:sz w:val="20"/>
                <w:szCs w:val="20"/>
              </w:rPr>
              <w:t>Associações corporativas e setoriais</w:t>
            </w:r>
          </w:p>
          <w:p w:rsidR="00AE55C1" w:rsidRPr="00966B19" w:rsidRDefault="00AE55C1" w:rsidP="00AE55C1">
            <w:pPr>
              <w:jc w:val="center"/>
              <w:cnfStyle w:val="000000010000"/>
              <w:rPr>
                <w:rFonts w:ascii="Times New Roman" w:hAnsi="Times New Roman"/>
                <w:sz w:val="20"/>
                <w:szCs w:val="20"/>
              </w:rPr>
            </w:pPr>
          </w:p>
        </w:tc>
      </w:tr>
      <w:tr w:rsidR="00AE55C1" w:rsidRPr="00966B19" w:rsidTr="00E776C4">
        <w:trPr>
          <w:cnfStyle w:val="000000100000"/>
        </w:trPr>
        <w:tc>
          <w:tcPr>
            <w:cnfStyle w:val="001000000000"/>
            <w:tcW w:w="1000" w:type="pct"/>
          </w:tcPr>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7) Robson Braga de Andrade</w:t>
            </w:r>
          </w:p>
          <w:p w:rsidR="00AE55C1" w:rsidRPr="00966B19" w:rsidRDefault="00AE55C1" w:rsidP="00AE55C1">
            <w:pPr>
              <w:pStyle w:val="NormalWeb"/>
              <w:spacing w:before="0" w:beforeAutospacing="0" w:after="0" w:afterAutospacing="0"/>
              <w:jc w:val="both"/>
              <w:rPr>
                <w:b w:val="0"/>
                <w:sz w:val="20"/>
                <w:szCs w:val="20"/>
              </w:rPr>
            </w:pPr>
            <w:r w:rsidRPr="00966B19">
              <w:rPr>
                <w:b w:val="0"/>
                <w:sz w:val="20"/>
                <w:szCs w:val="20"/>
              </w:rPr>
              <w:t xml:space="preserve">(retornou) </w:t>
            </w:r>
          </w:p>
        </w:tc>
        <w:tc>
          <w:tcPr>
            <w:tcW w:w="3047" w:type="pct"/>
          </w:tcPr>
          <w:p w:rsidR="00AE55C1" w:rsidRPr="00966B19" w:rsidRDefault="00AE55C1" w:rsidP="000F455C">
            <w:pPr>
              <w:spacing w:before="100" w:beforeAutospacing="1" w:after="0"/>
              <w:jc w:val="both"/>
              <w:cnfStyle w:val="000000100000"/>
              <w:rPr>
                <w:rFonts w:ascii="Times New Roman" w:hAnsi="Times New Roman"/>
                <w:color w:val="000000"/>
                <w:sz w:val="20"/>
                <w:szCs w:val="20"/>
              </w:rPr>
            </w:pPr>
            <w:r w:rsidRPr="00966B19">
              <w:rPr>
                <w:rFonts w:ascii="Times New Roman" w:hAnsi="Times New Roman"/>
                <w:color w:val="000000"/>
                <w:sz w:val="20"/>
                <w:szCs w:val="20"/>
              </w:rPr>
              <w:t xml:space="preserve">Diretor-Presidente da ORTENG Equipamentos e Sistemas LTDA, empresa brasileira, fornecedora de Sistemas Integrados de Energia e Automação, atuando nos segmentos de energia, petróleo, gás, mineração, siderurgia, saneamento, telecomunicações e transportes. </w:t>
            </w:r>
            <w:r w:rsidRPr="00966B19">
              <w:rPr>
                <w:rFonts w:ascii="Times New Roman" w:hAnsi="Times New Roman"/>
                <w:sz w:val="20"/>
                <w:szCs w:val="20"/>
              </w:rPr>
              <w:t xml:space="preserve">Presidente da Confederação Nacional da Indústria (CNI). </w:t>
            </w:r>
            <w:r w:rsidRPr="00966B19">
              <w:rPr>
                <w:rFonts w:ascii="Times New Roman" w:hAnsi="Times New Roman"/>
                <w:color w:val="000000"/>
                <w:sz w:val="20"/>
                <w:szCs w:val="20"/>
              </w:rPr>
              <w:t>Exerceu a presidência do Sistema FIEMG – Federação das Indústrias do Estado de Minas Gerais; gestão 2002/2006 e 2006/2010. Membro do Conselho de Desenvolvimento Econômico e Social do Estado de Minas Gerais. Membro do Conselho Consultivo do Setor Privado (CONEX) da CAMEX.Participou do Programa de Gestão Estratégica para Dirigentes Empresariais pela Fundação Dom Cabral e INSEAD / França (1999).</w:t>
            </w:r>
          </w:p>
          <w:p w:rsidR="00AE55C1" w:rsidRPr="00966B19" w:rsidRDefault="00AE55C1" w:rsidP="00AE55C1">
            <w:pPr>
              <w:pStyle w:val="NormalWeb"/>
              <w:spacing w:before="0" w:beforeAutospacing="0" w:after="0" w:afterAutospacing="0"/>
              <w:jc w:val="both"/>
              <w:cnfStyle w:val="000000100000"/>
              <w:rPr>
                <w:sz w:val="20"/>
                <w:szCs w:val="20"/>
              </w:rPr>
            </w:pPr>
            <w:r w:rsidRPr="00966B19">
              <w:rPr>
                <w:b/>
                <w:sz w:val="20"/>
                <w:szCs w:val="20"/>
              </w:rPr>
              <w:t>Período: desde 06/09/2010 e de 13/02/2003 a 25/08/2009</w:t>
            </w:r>
          </w:p>
        </w:tc>
        <w:tc>
          <w:tcPr>
            <w:tcW w:w="953" w:type="pct"/>
          </w:tcPr>
          <w:p w:rsidR="00AE55C1" w:rsidRPr="00966B19" w:rsidRDefault="00AE55C1" w:rsidP="00AE55C1">
            <w:pPr>
              <w:pStyle w:val="NormalWeb"/>
              <w:spacing w:before="0" w:beforeAutospacing="0" w:after="0" w:afterAutospacing="0"/>
              <w:jc w:val="center"/>
              <w:cnfStyle w:val="000000100000"/>
              <w:rPr>
                <w:sz w:val="20"/>
                <w:szCs w:val="20"/>
              </w:rPr>
            </w:pPr>
            <w:r w:rsidRPr="00966B19">
              <w:rPr>
                <w:sz w:val="20"/>
                <w:szCs w:val="20"/>
              </w:rPr>
              <w:t>Indústria com atuação em diversos setores. Vinculações com o Estado restrito.</w:t>
            </w:r>
          </w:p>
          <w:p w:rsidR="00AE55C1" w:rsidRPr="00966B19" w:rsidRDefault="00AE55C1" w:rsidP="00AE55C1">
            <w:pPr>
              <w:pStyle w:val="NormalWeb"/>
              <w:spacing w:before="0" w:beforeAutospacing="0" w:after="0" w:afterAutospacing="0"/>
              <w:jc w:val="center"/>
              <w:cnfStyle w:val="000000100000"/>
              <w:rPr>
                <w:sz w:val="20"/>
                <w:szCs w:val="20"/>
              </w:rPr>
            </w:pPr>
            <w:r w:rsidRPr="00966B19">
              <w:rPr>
                <w:sz w:val="20"/>
                <w:szCs w:val="20"/>
              </w:rPr>
              <w:t xml:space="preserve"> Associações corporativas e setoriais.</w:t>
            </w:r>
          </w:p>
          <w:p w:rsidR="00AE55C1" w:rsidRPr="00966B19" w:rsidRDefault="00AE55C1" w:rsidP="00AE55C1">
            <w:pPr>
              <w:pStyle w:val="NormalWeb"/>
              <w:spacing w:before="0" w:beforeAutospacing="0" w:after="0" w:afterAutospacing="0"/>
              <w:jc w:val="center"/>
              <w:cnfStyle w:val="000000100000"/>
              <w:rPr>
                <w:sz w:val="20"/>
                <w:szCs w:val="20"/>
              </w:rPr>
            </w:pPr>
          </w:p>
        </w:tc>
      </w:tr>
    </w:tbl>
    <w:p w:rsidR="00AE55C1" w:rsidRPr="00705D00" w:rsidRDefault="00705D00" w:rsidP="00705D00">
      <w:pPr>
        <w:spacing w:before="240"/>
        <w:rPr>
          <w:rFonts w:ascii="Times New Roman" w:hAnsi="Times New Roman"/>
          <w:sz w:val="18"/>
          <w:szCs w:val="18"/>
        </w:rPr>
      </w:pPr>
      <w:r w:rsidRPr="00705D00">
        <w:rPr>
          <w:rFonts w:ascii="Times New Roman" w:hAnsi="Times New Roman"/>
          <w:b/>
          <w:sz w:val="18"/>
          <w:szCs w:val="18"/>
        </w:rPr>
        <w:t xml:space="preserve">Elaboração própria. Fontes: </w:t>
      </w:r>
      <w:r w:rsidRPr="00705D00">
        <w:rPr>
          <w:rFonts w:ascii="Times New Roman" w:hAnsi="Times New Roman"/>
          <w:sz w:val="18"/>
          <w:szCs w:val="18"/>
        </w:rPr>
        <w:t>Sites do CDES (www.cdes.gov.br) e pesquisas na internet.</w:t>
      </w:r>
    </w:p>
    <w:sectPr w:rsidR="00AE55C1" w:rsidRPr="00705D00" w:rsidSect="00112763">
      <w:headerReference w:type="default" r:id="rId56"/>
      <w:pgSz w:w="16838" w:h="11906" w:orient="landscape" w:code="9"/>
      <w:pgMar w:top="1134" w:right="1134"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5F49" w:rsidRDefault="00475F49" w:rsidP="00582426">
      <w:pPr>
        <w:spacing w:after="0" w:line="240" w:lineRule="auto"/>
      </w:pPr>
      <w:r>
        <w:separator/>
      </w:r>
    </w:p>
  </w:endnote>
  <w:endnote w:type="continuationSeparator" w:id="1">
    <w:p w:rsidR="00475F49" w:rsidRDefault="00475F49" w:rsidP="00582426">
      <w:pPr>
        <w:spacing w:after="0" w:line="240" w:lineRule="auto"/>
      </w:pPr>
      <w:r>
        <w:continuationSeparator/>
      </w:r>
    </w:p>
  </w:endnote>
  <w:endnote w:id="2">
    <w:p w:rsidR="00DD31B9" w:rsidRDefault="00DD31B9" w:rsidP="00AE55C1">
      <w:pPr>
        <w:pStyle w:val="Textodenotadefim"/>
      </w:pPr>
      <w:r>
        <w:rPr>
          <w:rStyle w:val="Refdenotadefim"/>
        </w:rPr>
        <w:endnoteRef/>
      </w:r>
      <w:r>
        <w:t xml:space="preserve"> As atividades principais das empresas e grupos econômicos foram pesquisadas no site Econoinfo (www.econoinfo.com.br), nas revistas Valor Grandes Grupos e Balanço Anual da Gazeta Mercantil, no site do CNAE/IBGE (www.cnae.ibge.gov.br)  e nos sites das próprias empresas e grupos.</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harterBT-Roman">
    <w:panose1 w:val="00000000000000000000"/>
    <w:charset w:val="00"/>
    <w:family w:val="roman"/>
    <w:notTrueType/>
    <w:pitch w:val="default"/>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 w:name="Eras Bold ITC">
    <w:charset w:val="00"/>
    <w:family w:val="swiss"/>
    <w:pitch w:val="variable"/>
    <w:sig w:usb0="00000003" w:usb1="00000000" w:usb2="00000000" w:usb3="00000000" w:csb0="00000001" w:csb1="00000000"/>
  </w:font>
  <w:font w:name="OceanSansMM_403_475_">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TE15CFED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1B9" w:rsidRPr="00C96334" w:rsidRDefault="00DD31B9">
    <w:pPr>
      <w:pStyle w:val="Rodap"/>
      <w:jc w:val="right"/>
      <w:rPr>
        <w:rFonts w:ascii="Times New Roman" w:hAnsi="Times New Roman"/>
      </w:rPr>
    </w:pPr>
  </w:p>
  <w:p w:rsidR="00DD31B9" w:rsidRDefault="00DD31B9">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1B9" w:rsidRDefault="00DD31B9">
    <w:pPr>
      <w:pStyle w:val="Rodap"/>
      <w:jc w:val="right"/>
    </w:pPr>
  </w:p>
  <w:p w:rsidR="00DD31B9" w:rsidRDefault="00DD31B9">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1B9" w:rsidRPr="00C96334" w:rsidRDefault="00DD31B9">
    <w:pPr>
      <w:pStyle w:val="Rodap"/>
      <w:jc w:val="right"/>
      <w:rPr>
        <w:rFonts w:ascii="Times New Roman" w:hAnsi="Times New Roman"/>
      </w:rPr>
    </w:pPr>
  </w:p>
  <w:p w:rsidR="00DD31B9" w:rsidRDefault="00DD31B9" w:rsidP="002E524E">
    <w:pPr>
      <w:pStyle w:val="Rodap"/>
      <w:ind w:firstLine="70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5F49" w:rsidRDefault="00475F49" w:rsidP="00582426">
      <w:pPr>
        <w:spacing w:after="0" w:line="240" w:lineRule="auto"/>
      </w:pPr>
      <w:r>
        <w:separator/>
      </w:r>
    </w:p>
  </w:footnote>
  <w:footnote w:type="continuationSeparator" w:id="1">
    <w:p w:rsidR="00475F49" w:rsidRDefault="00475F49" w:rsidP="00582426">
      <w:pPr>
        <w:spacing w:after="0" w:line="240" w:lineRule="auto"/>
      </w:pPr>
      <w:r>
        <w:continuationSeparator/>
      </w:r>
    </w:p>
  </w:footnote>
  <w:footnote w:id="2">
    <w:p w:rsidR="00DD31B9" w:rsidRPr="00C77971" w:rsidRDefault="00DD31B9">
      <w:pPr>
        <w:pStyle w:val="Textodenotaderodap"/>
        <w:rPr>
          <w:rFonts w:ascii="Times New Roman" w:hAnsi="Times New Roman"/>
        </w:rPr>
      </w:pPr>
      <w:r w:rsidRPr="00C77971">
        <w:rPr>
          <w:rStyle w:val="Refdenotaderodap"/>
          <w:rFonts w:ascii="Times New Roman" w:hAnsi="Times New Roman"/>
        </w:rPr>
        <w:footnoteRef/>
      </w:r>
      <w:r>
        <w:rPr>
          <w:rFonts w:ascii="Times New Roman" w:hAnsi="Times New Roman"/>
        </w:rPr>
        <w:t xml:space="preserve">FONTES, Virgínia. </w:t>
      </w:r>
      <w:r w:rsidRPr="00C77971">
        <w:rPr>
          <w:rFonts w:ascii="Times New Roman" w:hAnsi="Times New Roman"/>
        </w:rPr>
        <w:t>A sociedade civil no Brasil contemporâneo: lutas sociais e luta teórica na década de 1980</w:t>
      </w:r>
      <w:r>
        <w:rPr>
          <w:rFonts w:ascii="Times New Roman" w:hAnsi="Times New Roman"/>
          <w:i/>
        </w:rPr>
        <w:t>.</w:t>
      </w:r>
      <w:r>
        <w:rPr>
          <w:rFonts w:ascii="Times New Roman" w:hAnsi="Times New Roman"/>
        </w:rPr>
        <w:t xml:space="preserve"> In: LIMA, Júlio César França (org). </w:t>
      </w:r>
      <w:r>
        <w:rPr>
          <w:rFonts w:ascii="Times New Roman" w:hAnsi="Times New Roman"/>
          <w:i/>
        </w:rPr>
        <w:t>Fundamentos da educação escolar do Brasil contemporâneo</w:t>
      </w:r>
      <w:r>
        <w:rPr>
          <w:rFonts w:ascii="Times New Roman" w:hAnsi="Times New Roman"/>
        </w:rPr>
        <w:t xml:space="preserve">. Rio de Janeiro: Editora FIOCRUZ, 2006, p. 213. </w:t>
      </w:r>
    </w:p>
  </w:footnote>
  <w:footnote w:id="3">
    <w:p w:rsidR="00DD31B9" w:rsidRPr="00D851B7" w:rsidRDefault="00DD31B9">
      <w:pPr>
        <w:pStyle w:val="Textodenotaderodap"/>
        <w:rPr>
          <w:rFonts w:ascii="Times New Roman" w:hAnsi="Times New Roman"/>
        </w:rPr>
      </w:pPr>
      <w:r w:rsidRPr="00D851B7">
        <w:rPr>
          <w:rStyle w:val="Refdenotaderodap"/>
          <w:rFonts w:ascii="Times New Roman" w:hAnsi="Times New Roman"/>
        </w:rPr>
        <w:footnoteRef/>
      </w:r>
      <w:r w:rsidRPr="00D851B7">
        <w:rPr>
          <w:rFonts w:ascii="Times New Roman" w:hAnsi="Times New Roman"/>
        </w:rPr>
        <w:t xml:space="preserve"> Disponível em &lt;http://www.gife.org.br/arquivos/publicacoes/25/FASFIL%202010.pdf.</w:t>
      </w:r>
      <w:r>
        <w:rPr>
          <w:rFonts w:ascii="Times New Roman" w:hAnsi="Times New Roman"/>
        </w:rPr>
        <w:t>&gt;. Acesso em 19/02/2015.</w:t>
      </w:r>
    </w:p>
  </w:footnote>
  <w:footnote w:id="4">
    <w:p w:rsidR="00DD31B9" w:rsidRPr="00A30E9B" w:rsidRDefault="00DD31B9">
      <w:pPr>
        <w:pStyle w:val="Textodenotaderodap"/>
        <w:rPr>
          <w:rFonts w:ascii="Times New Roman" w:hAnsi="Times New Roman"/>
        </w:rPr>
      </w:pPr>
      <w:r w:rsidRPr="00A30E9B">
        <w:rPr>
          <w:rStyle w:val="Refdenotaderodap"/>
          <w:rFonts w:ascii="Times New Roman" w:hAnsi="Times New Roman"/>
        </w:rPr>
        <w:footnoteRef/>
      </w:r>
      <w:r w:rsidRPr="00A30E9B">
        <w:rPr>
          <w:rFonts w:ascii="Times New Roman" w:hAnsi="Times New Roman"/>
        </w:rPr>
        <w:t xml:space="preserve"> SINGER, André. </w:t>
      </w:r>
      <w:r w:rsidRPr="00A30E9B">
        <w:rPr>
          <w:rFonts w:ascii="Times New Roman" w:hAnsi="Times New Roman"/>
          <w:i/>
        </w:rPr>
        <w:t xml:space="preserve">Os sentidos do lulismo: </w:t>
      </w:r>
      <w:r w:rsidRPr="00A30E9B">
        <w:rPr>
          <w:rFonts w:ascii="Times New Roman" w:hAnsi="Times New Roman"/>
        </w:rPr>
        <w:t>reforma gradual e pacto conservador. São Paulo, Cia das Letras, 2012, p. 200.</w:t>
      </w:r>
    </w:p>
  </w:footnote>
  <w:footnote w:id="5">
    <w:p w:rsidR="00DD31B9" w:rsidRPr="00A30E9B" w:rsidRDefault="00DD31B9">
      <w:pPr>
        <w:pStyle w:val="Textodenotaderodap"/>
        <w:rPr>
          <w:rFonts w:ascii="Times New Roman" w:hAnsi="Times New Roman"/>
        </w:rPr>
      </w:pPr>
      <w:r w:rsidRPr="00A30E9B">
        <w:rPr>
          <w:rStyle w:val="Refdenotaderodap"/>
          <w:rFonts w:ascii="Times New Roman" w:hAnsi="Times New Roman"/>
        </w:rPr>
        <w:footnoteRef/>
      </w:r>
      <w:r w:rsidRPr="00A30E9B">
        <w:rPr>
          <w:rFonts w:ascii="Times New Roman" w:hAnsi="Times New Roman"/>
        </w:rPr>
        <w:t xml:space="preserve"> BOITO Jr.</w:t>
      </w:r>
      <w:r>
        <w:rPr>
          <w:rFonts w:ascii="Times New Roman" w:hAnsi="Times New Roman"/>
        </w:rPr>
        <w:t xml:space="preserve">,Armando. </w:t>
      </w:r>
      <w:r w:rsidRPr="00A30E9B">
        <w:rPr>
          <w:rFonts w:ascii="Times New Roman" w:hAnsi="Times New Roman"/>
        </w:rPr>
        <w:t xml:space="preserve">Governos Lula: a nova burguesia nacional no poder. In:BOITO Jr. </w:t>
      </w:r>
      <w:r>
        <w:rPr>
          <w:rFonts w:ascii="Times New Roman" w:hAnsi="Times New Roman"/>
        </w:rPr>
        <w:t xml:space="preserve">Armando </w:t>
      </w:r>
      <w:r w:rsidRPr="00A30E9B">
        <w:rPr>
          <w:rFonts w:ascii="Times New Roman" w:hAnsi="Times New Roman"/>
        </w:rPr>
        <w:t>e GALVÃO</w:t>
      </w:r>
      <w:r>
        <w:rPr>
          <w:rFonts w:ascii="Times New Roman" w:hAnsi="Times New Roman"/>
        </w:rPr>
        <w:t>, Andréia.</w:t>
      </w:r>
      <w:r w:rsidRPr="00A30E9B">
        <w:rPr>
          <w:rFonts w:ascii="Times New Roman" w:hAnsi="Times New Roman"/>
        </w:rPr>
        <w:t xml:space="preserve"> (orgs.). </w:t>
      </w:r>
      <w:r w:rsidRPr="00A30E9B">
        <w:rPr>
          <w:rFonts w:ascii="Times New Roman" w:hAnsi="Times New Roman"/>
          <w:i/>
        </w:rPr>
        <w:t xml:space="preserve">Políticas e classes sociais no Brasil dos anos 2000. </w:t>
      </w:r>
      <w:r w:rsidRPr="00A30E9B">
        <w:rPr>
          <w:rFonts w:ascii="Times New Roman" w:hAnsi="Times New Roman"/>
        </w:rPr>
        <w:t>São Paulo: Palameda, 2012.</w:t>
      </w:r>
    </w:p>
  </w:footnote>
  <w:footnote w:id="6">
    <w:p w:rsidR="00DD31B9" w:rsidRPr="002A5F07" w:rsidRDefault="00DD31B9">
      <w:pPr>
        <w:pStyle w:val="Textodenotaderodap"/>
        <w:rPr>
          <w:rFonts w:ascii="Times New Roman" w:hAnsi="Times New Roman"/>
        </w:rPr>
      </w:pPr>
      <w:r w:rsidRPr="002A5F07">
        <w:rPr>
          <w:rStyle w:val="Refdenotaderodap"/>
          <w:rFonts w:ascii="Times New Roman" w:hAnsi="Times New Roman"/>
        </w:rPr>
        <w:footnoteRef/>
      </w:r>
      <w:r w:rsidRPr="002A5F07">
        <w:rPr>
          <w:rFonts w:ascii="Times New Roman" w:hAnsi="Times New Roman"/>
        </w:rPr>
        <w:t xml:space="preserve"> OLIVEIRA, Francisco. </w:t>
      </w:r>
      <w:r w:rsidRPr="00241530">
        <w:rPr>
          <w:rFonts w:ascii="Times New Roman" w:hAnsi="Times New Roman"/>
        </w:rPr>
        <w:t>Hegemonia às avessas</w:t>
      </w:r>
      <w:r w:rsidRPr="002A5F07">
        <w:rPr>
          <w:rFonts w:ascii="Times New Roman" w:hAnsi="Times New Roman"/>
          <w:i/>
        </w:rPr>
        <w:t xml:space="preserve">. </w:t>
      </w:r>
      <w:r w:rsidRPr="002A5F07">
        <w:rPr>
          <w:rFonts w:ascii="Times New Roman" w:hAnsi="Times New Roman"/>
        </w:rPr>
        <w:t xml:space="preserve">In: OLIVEIRA, Francisco. BRAGA, Ruy e RIZEK, Cibele. </w:t>
      </w:r>
      <w:r w:rsidRPr="002A5F07">
        <w:rPr>
          <w:rFonts w:ascii="Times New Roman" w:hAnsi="Times New Roman"/>
          <w:i/>
        </w:rPr>
        <w:t>Hegemonia às avessas</w:t>
      </w:r>
      <w:r w:rsidRPr="002A5F07">
        <w:rPr>
          <w:rFonts w:ascii="Times New Roman" w:hAnsi="Times New Roman"/>
        </w:rPr>
        <w:t>: economia, política e cultura na era da servidão financeira. São Paulo: Boitempo, 2010, p. 27.</w:t>
      </w:r>
    </w:p>
  </w:footnote>
  <w:footnote w:id="7">
    <w:p w:rsidR="00DD31B9" w:rsidRPr="001B6931" w:rsidRDefault="00DD31B9" w:rsidP="00582426">
      <w:pPr>
        <w:pStyle w:val="Textodenotaderodap"/>
        <w:rPr>
          <w:rFonts w:ascii="Times New Roman" w:hAnsi="Times New Roman"/>
        </w:rPr>
      </w:pPr>
      <w:r w:rsidRPr="001B6931">
        <w:rPr>
          <w:rStyle w:val="Refdenotaderodap"/>
          <w:rFonts w:ascii="Times New Roman" w:hAnsi="Times New Roman"/>
        </w:rPr>
        <w:footnoteRef/>
      </w:r>
      <w:r>
        <w:rPr>
          <w:rFonts w:ascii="Times New Roman" w:hAnsi="Times New Roman"/>
        </w:rPr>
        <w:t xml:space="preserve">POULANTZAS, Nicos. </w:t>
      </w:r>
      <w:r>
        <w:rPr>
          <w:rFonts w:ascii="Times New Roman" w:hAnsi="Times New Roman"/>
          <w:i/>
        </w:rPr>
        <w:t>O Poder, o Estado e o Socialismo</w:t>
      </w:r>
      <w:r>
        <w:rPr>
          <w:rFonts w:ascii="Times New Roman" w:hAnsi="Times New Roman"/>
        </w:rPr>
        <w:t>. Rio de Janeiro: Edições Graal, 2ª Ed, 1985.</w:t>
      </w:r>
    </w:p>
  </w:footnote>
  <w:footnote w:id="8">
    <w:p w:rsidR="00DD31B9" w:rsidRPr="00C75BE5" w:rsidRDefault="00DD31B9" w:rsidP="00582426">
      <w:pPr>
        <w:pStyle w:val="Textodenotaderodap"/>
        <w:rPr>
          <w:rFonts w:ascii="Times New Roman" w:hAnsi="Times New Roman"/>
        </w:rPr>
      </w:pPr>
      <w:r w:rsidRPr="00C75BE5">
        <w:rPr>
          <w:rStyle w:val="Refdenotaderodap"/>
          <w:rFonts w:ascii="Times New Roman" w:hAnsi="Times New Roman"/>
        </w:rPr>
        <w:footnoteRef/>
      </w:r>
      <w:r w:rsidRPr="00C75BE5">
        <w:rPr>
          <w:rFonts w:ascii="Times New Roman" w:hAnsi="Times New Roman"/>
        </w:rPr>
        <w:t xml:space="preserve"> Idem, p. 148.</w:t>
      </w:r>
    </w:p>
  </w:footnote>
  <w:footnote w:id="9">
    <w:p w:rsidR="00DD31B9" w:rsidRPr="000249BD" w:rsidRDefault="00DD31B9" w:rsidP="00582426">
      <w:pPr>
        <w:pStyle w:val="Textodenotaderodap"/>
        <w:rPr>
          <w:rFonts w:ascii="Times New Roman" w:hAnsi="Times New Roman"/>
        </w:rPr>
      </w:pPr>
      <w:r w:rsidRPr="00ED16CD">
        <w:rPr>
          <w:rStyle w:val="Refdenotaderodap"/>
          <w:rFonts w:ascii="Times New Roman" w:hAnsi="Times New Roman"/>
        </w:rPr>
        <w:footnoteRef/>
      </w:r>
      <w:r w:rsidRPr="00ED16CD">
        <w:rPr>
          <w:rFonts w:ascii="Times New Roman" w:hAnsi="Times New Roman"/>
        </w:rPr>
        <w:t xml:space="preserve"> COUTINHO, Carlos Nelson. </w:t>
      </w:r>
      <w:r w:rsidRPr="00ED16CD">
        <w:rPr>
          <w:rFonts w:ascii="Times New Roman" w:hAnsi="Times New Roman"/>
          <w:i/>
        </w:rPr>
        <w:t xml:space="preserve">Gramsci: </w:t>
      </w:r>
      <w:r w:rsidRPr="00ED16CD">
        <w:rPr>
          <w:rFonts w:ascii="Times New Roman" w:hAnsi="Times New Roman"/>
        </w:rPr>
        <w:t xml:space="preserve">um estudo sobre seu pensamento político. </w:t>
      </w:r>
      <w:r>
        <w:rPr>
          <w:rFonts w:ascii="Times New Roman" w:hAnsi="Times New Roman"/>
        </w:rPr>
        <w:t xml:space="preserve">Rio de Janeiro: Civilização Brasileira, 2003, pp. 150-151 e 157-160, grifos meus. Ainda sobre a posição de Gramsci na “virada” do PCI em 1929, ver também VACCA, Giuseppe. </w:t>
      </w:r>
      <w:r>
        <w:rPr>
          <w:rFonts w:ascii="Times New Roman" w:hAnsi="Times New Roman"/>
          <w:i/>
        </w:rPr>
        <w:t>Vida e pensamento de Antonio Gramsci</w:t>
      </w:r>
      <w:r>
        <w:rPr>
          <w:rFonts w:ascii="Times New Roman" w:hAnsi="Times New Roman"/>
        </w:rPr>
        <w:t>: 1926-1937. Brasília: Fundação Astrojildo Pereira; Rio de Janeiro: Contraponto, 2012, p. 142-143.</w:t>
      </w:r>
    </w:p>
  </w:footnote>
  <w:footnote w:id="10">
    <w:p w:rsidR="00DD31B9" w:rsidRPr="00C75BE5" w:rsidRDefault="00DD31B9" w:rsidP="00582426">
      <w:pPr>
        <w:pStyle w:val="Textodenotaderodap"/>
        <w:rPr>
          <w:rFonts w:ascii="Times New Roman" w:hAnsi="Times New Roman"/>
        </w:rPr>
      </w:pPr>
      <w:r w:rsidRPr="00111CDA">
        <w:rPr>
          <w:rStyle w:val="Refdenotaderodap"/>
          <w:rFonts w:ascii="Times New Roman" w:hAnsi="Times New Roman"/>
        </w:rPr>
        <w:footnoteRef/>
      </w:r>
      <w:r>
        <w:rPr>
          <w:rFonts w:ascii="Times New Roman" w:hAnsi="Times New Roman"/>
        </w:rPr>
        <w:t xml:space="preserve">GRAMSCI, Antonio. </w:t>
      </w:r>
      <w:r>
        <w:rPr>
          <w:rFonts w:ascii="Times New Roman" w:hAnsi="Times New Roman"/>
          <w:i/>
        </w:rPr>
        <w:t>Cadernos do Cárcere</w:t>
      </w:r>
      <w:r>
        <w:rPr>
          <w:rFonts w:ascii="Times New Roman" w:hAnsi="Times New Roman"/>
        </w:rPr>
        <w:t>, vol. 3. Maquiavel.</w:t>
      </w:r>
      <w:r w:rsidRPr="00FA71B4">
        <w:rPr>
          <w:rFonts w:ascii="Times New Roman" w:hAnsi="Times New Roman"/>
        </w:rPr>
        <w:t>Notas sobre o Estado e a política.2ª ed, Rio de Janeiro, 2002,</w:t>
      </w:r>
      <w:r>
        <w:rPr>
          <w:rFonts w:ascii="Times New Roman" w:hAnsi="Times New Roman"/>
        </w:rPr>
        <w:t xml:space="preserve"> p. 262, grifos meus.</w:t>
      </w:r>
    </w:p>
  </w:footnote>
  <w:footnote w:id="11">
    <w:p w:rsidR="00DD31B9" w:rsidRPr="001D7BE3" w:rsidRDefault="00DD31B9" w:rsidP="00582426">
      <w:pPr>
        <w:pStyle w:val="Textodenotaderodap"/>
        <w:rPr>
          <w:rFonts w:ascii="Times New Roman" w:hAnsi="Times New Roman"/>
        </w:rPr>
      </w:pPr>
      <w:r w:rsidRPr="001D7BE3">
        <w:rPr>
          <w:rStyle w:val="Refdenotaderodap"/>
          <w:rFonts w:ascii="Times New Roman" w:hAnsi="Times New Roman"/>
        </w:rPr>
        <w:footnoteRef/>
      </w:r>
      <w:r>
        <w:rPr>
          <w:rFonts w:ascii="Times New Roman" w:hAnsi="Times New Roman"/>
        </w:rPr>
        <w:t xml:space="preserve">FONTES, Virgínia. </w:t>
      </w:r>
      <w:r>
        <w:rPr>
          <w:rFonts w:ascii="Times New Roman" w:hAnsi="Times New Roman"/>
          <w:i/>
        </w:rPr>
        <w:t>O Brasil e o capital-imperialismo:</w:t>
      </w:r>
      <w:r>
        <w:rPr>
          <w:rFonts w:ascii="Times New Roman" w:hAnsi="Times New Roman"/>
        </w:rPr>
        <w:t xml:space="preserve"> Teoria e História. Rio de Janeiro: EPSJV/Editora UFRJ, 2010, p. 138. </w:t>
      </w:r>
    </w:p>
  </w:footnote>
  <w:footnote w:id="12">
    <w:p w:rsidR="00DD31B9" w:rsidRPr="001E49BD" w:rsidRDefault="00DD31B9" w:rsidP="00582426">
      <w:pPr>
        <w:pStyle w:val="Textodenotaderodap"/>
        <w:rPr>
          <w:rFonts w:ascii="Times New Roman" w:hAnsi="Times New Roman"/>
        </w:rPr>
      </w:pPr>
      <w:r w:rsidRPr="001E49BD">
        <w:rPr>
          <w:rStyle w:val="Refdenotaderodap"/>
          <w:rFonts w:ascii="Times New Roman" w:hAnsi="Times New Roman"/>
        </w:rPr>
        <w:footnoteRef/>
      </w:r>
      <w:r>
        <w:rPr>
          <w:rFonts w:ascii="Times New Roman" w:hAnsi="Times New Roman"/>
        </w:rPr>
        <w:t>Idem: p. 254-255.</w:t>
      </w:r>
    </w:p>
  </w:footnote>
  <w:footnote w:id="13">
    <w:p w:rsidR="00DD31B9" w:rsidRPr="00C72E51" w:rsidRDefault="00DD31B9" w:rsidP="00582426">
      <w:pPr>
        <w:pStyle w:val="Textodenotaderodap"/>
        <w:rPr>
          <w:rFonts w:ascii="Times New Roman" w:hAnsi="Times New Roman"/>
          <w:lang w:val="en-US"/>
        </w:rPr>
      </w:pPr>
      <w:r w:rsidRPr="00FA71B4">
        <w:rPr>
          <w:rStyle w:val="Refdenotaderodap"/>
          <w:rFonts w:ascii="Times New Roman" w:hAnsi="Times New Roman"/>
        </w:rPr>
        <w:footnoteRef/>
      </w:r>
      <w:r w:rsidRPr="00FA71B4">
        <w:rPr>
          <w:rFonts w:ascii="Times New Roman" w:hAnsi="Times New Roman"/>
        </w:rPr>
        <w:t xml:space="preserve"> GRAMSCI, Antonio. </w:t>
      </w:r>
      <w:r w:rsidRPr="00FA71B4">
        <w:rPr>
          <w:rFonts w:ascii="Times New Roman" w:hAnsi="Times New Roman"/>
          <w:i/>
        </w:rPr>
        <w:t>Cadernos do Cárcere</w:t>
      </w:r>
      <w:r w:rsidRPr="00FA71B4">
        <w:rPr>
          <w:rFonts w:ascii="Times New Roman" w:hAnsi="Times New Roman"/>
        </w:rPr>
        <w:t>, v. 3. Maquiavel</w:t>
      </w:r>
      <w:r>
        <w:rPr>
          <w:rFonts w:ascii="Times New Roman" w:hAnsi="Times New Roman"/>
        </w:rPr>
        <w:t xml:space="preserve">... </w:t>
      </w:r>
      <w:r w:rsidRPr="00C72E51">
        <w:rPr>
          <w:rFonts w:ascii="Times New Roman" w:hAnsi="Times New Roman"/>
          <w:lang w:val="en-US"/>
        </w:rPr>
        <w:t xml:space="preserve">Op. cit., p. 73.  </w:t>
      </w:r>
    </w:p>
  </w:footnote>
  <w:footnote w:id="14">
    <w:p w:rsidR="00DD31B9" w:rsidRPr="0078655D" w:rsidRDefault="00DD31B9" w:rsidP="00582426">
      <w:pPr>
        <w:pStyle w:val="Textodenotaderodap"/>
        <w:rPr>
          <w:rFonts w:ascii="Times New Roman" w:hAnsi="Times New Roman"/>
          <w:lang w:val="en-US"/>
        </w:rPr>
      </w:pPr>
      <w:r w:rsidRPr="004C7203">
        <w:rPr>
          <w:rStyle w:val="Refdenotaderodap"/>
          <w:rFonts w:ascii="Times New Roman" w:hAnsi="Times New Roman"/>
        </w:rPr>
        <w:footnoteRef/>
      </w:r>
      <w:r w:rsidRPr="0078655D">
        <w:rPr>
          <w:rFonts w:ascii="Times New Roman" w:hAnsi="Times New Roman"/>
          <w:lang w:val="en-US"/>
        </w:rPr>
        <w:t xml:space="preserve"> Idem, p. 41-42.</w:t>
      </w:r>
    </w:p>
  </w:footnote>
  <w:footnote w:id="15">
    <w:p w:rsidR="00DD31B9" w:rsidRPr="00867FB3" w:rsidRDefault="00DD31B9" w:rsidP="00582426">
      <w:pPr>
        <w:pStyle w:val="Textodenotaderodap"/>
        <w:rPr>
          <w:rFonts w:ascii="Times New Roman" w:hAnsi="Times New Roman"/>
        </w:rPr>
      </w:pPr>
      <w:r w:rsidRPr="00867FB3">
        <w:rPr>
          <w:rStyle w:val="Refdenotaderodap"/>
          <w:rFonts w:ascii="Times New Roman" w:hAnsi="Times New Roman"/>
        </w:rPr>
        <w:footnoteRef/>
      </w:r>
      <w:r>
        <w:rPr>
          <w:rFonts w:ascii="Times New Roman" w:hAnsi="Times New Roman"/>
        </w:rPr>
        <w:t xml:space="preserve">GRAMSCI, Antonio. </w:t>
      </w:r>
      <w:r>
        <w:rPr>
          <w:rFonts w:ascii="Times New Roman" w:hAnsi="Times New Roman"/>
          <w:i/>
        </w:rPr>
        <w:t>Cadernos do Cárcere</w:t>
      </w:r>
      <w:r>
        <w:rPr>
          <w:rFonts w:ascii="Times New Roman" w:hAnsi="Times New Roman"/>
        </w:rPr>
        <w:t>, v. 2. Os Intelectuais; O princípio educativo; Jornalismo. Rio de Janeiro: Civilização Brasileira, 2004, p. 20-21.</w:t>
      </w:r>
    </w:p>
  </w:footnote>
  <w:footnote w:id="16">
    <w:p w:rsidR="00DD31B9" w:rsidRPr="00967870" w:rsidRDefault="00DD31B9" w:rsidP="00582426">
      <w:pPr>
        <w:autoSpaceDE w:val="0"/>
        <w:autoSpaceDN w:val="0"/>
        <w:adjustRightInd w:val="0"/>
        <w:spacing w:after="0" w:line="240" w:lineRule="auto"/>
        <w:jc w:val="both"/>
        <w:rPr>
          <w:rFonts w:ascii="Times New Roman" w:hAnsi="Times New Roman"/>
          <w:sz w:val="20"/>
          <w:szCs w:val="20"/>
        </w:rPr>
      </w:pPr>
      <w:r w:rsidRPr="00967870">
        <w:rPr>
          <w:rStyle w:val="Refdenotaderodap"/>
          <w:rFonts w:ascii="Times New Roman" w:hAnsi="Times New Roman"/>
          <w:sz w:val="20"/>
          <w:szCs w:val="20"/>
        </w:rPr>
        <w:footnoteRef/>
      </w:r>
      <w:r w:rsidRPr="00967870">
        <w:rPr>
          <w:rFonts w:ascii="Times New Roman" w:hAnsi="Times New Roman"/>
          <w:sz w:val="20"/>
          <w:szCs w:val="20"/>
        </w:rPr>
        <w:t xml:space="preserve"> MENDONÇA, Sonia Regina de (org.). Introdução. In: MENDONÇA, S. R. </w:t>
      </w:r>
      <w:r w:rsidRPr="00967870">
        <w:rPr>
          <w:rFonts w:ascii="Times New Roman" w:hAnsi="Times New Roman"/>
          <w:i/>
          <w:sz w:val="20"/>
          <w:szCs w:val="20"/>
        </w:rPr>
        <w:t>Estado Brasileiro</w:t>
      </w:r>
      <w:r w:rsidRPr="00967870">
        <w:rPr>
          <w:rFonts w:ascii="Times New Roman" w:hAnsi="Times New Roman"/>
          <w:b/>
          <w:sz w:val="20"/>
          <w:szCs w:val="20"/>
        </w:rPr>
        <w:t xml:space="preserve">: </w:t>
      </w:r>
      <w:r w:rsidRPr="00967870">
        <w:rPr>
          <w:rFonts w:ascii="Times New Roman" w:hAnsi="Times New Roman"/>
          <w:sz w:val="20"/>
          <w:szCs w:val="20"/>
        </w:rPr>
        <w:t>Agências e Agentes. Niterói: EdUFF/Vício de Leitura, 2005.</w:t>
      </w:r>
    </w:p>
  </w:footnote>
  <w:footnote w:id="17">
    <w:p w:rsidR="00DD31B9" w:rsidRPr="006818D8" w:rsidRDefault="00DD31B9" w:rsidP="00582426">
      <w:pPr>
        <w:pStyle w:val="Textodenotaderodap"/>
        <w:rPr>
          <w:rFonts w:ascii="Times New Roman" w:hAnsi="Times New Roman"/>
        </w:rPr>
      </w:pPr>
      <w:r w:rsidRPr="006818D8">
        <w:rPr>
          <w:rStyle w:val="Refdenotaderodap"/>
          <w:rFonts w:ascii="Times New Roman" w:hAnsi="Times New Roman"/>
        </w:rPr>
        <w:footnoteRef/>
      </w:r>
      <w:r w:rsidRPr="006818D8">
        <w:rPr>
          <w:rFonts w:ascii="Times New Roman" w:hAnsi="Times New Roman"/>
        </w:rPr>
        <w:t xml:space="preserve"> O neoinstitucionalismo é um programa de pesquisa que tenta compreender como os arranjos institucionais estatais ou sociais afetam diferentes desempenhos e trajetórias do capitalismo e estruturam ou “moldam” o comportamento e as preferências dos atores sociais.</w:t>
      </w:r>
    </w:p>
  </w:footnote>
  <w:footnote w:id="18">
    <w:p w:rsidR="00DD31B9" w:rsidRPr="008B0410" w:rsidRDefault="00DD31B9" w:rsidP="00582426">
      <w:pPr>
        <w:pStyle w:val="Textodenotaderodap"/>
        <w:rPr>
          <w:rFonts w:ascii="Times New Roman" w:hAnsi="Times New Roman"/>
        </w:rPr>
      </w:pPr>
      <w:r w:rsidRPr="008B0410">
        <w:rPr>
          <w:rStyle w:val="Refdenotaderodap"/>
          <w:rFonts w:ascii="Times New Roman" w:hAnsi="Times New Roman"/>
        </w:rPr>
        <w:footnoteRef/>
      </w:r>
      <w:r w:rsidRPr="008B0410">
        <w:rPr>
          <w:rFonts w:ascii="Times New Roman" w:hAnsi="Times New Roman"/>
        </w:rPr>
        <w:t xml:space="preserve"> TAPIA, Jorge R. Biton. Conselho de Desenvolvimento Econômico e Social: os desafios da construção institucional. In: DINIZ, Eli (org.). </w:t>
      </w:r>
      <w:r w:rsidRPr="008B0410">
        <w:rPr>
          <w:rFonts w:ascii="Times New Roman" w:hAnsi="Times New Roman"/>
          <w:i/>
        </w:rPr>
        <w:t>Globalização, Estado e desenvolvimento</w:t>
      </w:r>
      <w:r w:rsidRPr="008B0410">
        <w:rPr>
          <w:rFonts w:ascii="Times New Roman" w:hAnsi="Times New Roman"/>
        </w:rPr>
        <w:t xml:space="preserve">: dilemas do Brasil </w:t>
      </w:r>
      <w:r>
        <w:rPr>
          <w:rFonts w:ascii="Times New Roman" w:hAnsi="Times New Roman"/>
        </w:rPr>
        <w:t>no novo milênio. RJ: FGV, 2007, p. 182-183.</w:t>
      </w:r>
    </w:p>
  </w:footnote>
  <w:footnote w:id="19">
    <w:p w:rsidR="00DD31B9" w:rsidRPr="008B0410" w:rsidRDefault="00DD31B9" w:rsidP="00582426">
      <w:pPr>
        <w:pStyle w:val="Textodenotaderodap"/>
        <w:rPr>
          <w:rFonts w:ascii="Times New Roman" w:hAnsi="Times New Roman"/>
        </w:rPr>
      </w:pPr>
      <w:r w:rsidRPr="008B0410">
        <w:rPr>
          <w:rStyle w:val="Refdenotaderodap"/>
          <w:rFonts w:ascii="Times New Roman" w:hAnsi="Times New Roman"/>
        </w:rPr>
        <w:footnoteRef/>
      </w:r>
      <w:r>
        <w:rPr>
          <w:rFonts w:ascii="Times New Roman" w:hAnsi="Times New Roman"/>
        </w:rPr>
        <w:t>Idem, p. 184.</w:t>
      </w:r>
    </w:p>
  </w:footnote>
  <w:footnote w:id="20">
    <w:p w:rsidR="00DD31B9" w:rsidRPr="004B73DC" w:rsidRDefault="00DD31B9">
      <w:pPr>
        <w:pStyle w:val="Textodenotaderodap"/>
        <w:rPr>
          <w:rFonts w:ascii="Times New Roman" w:hAnsi="Times New Roman"/>
        </w:rPr>
      </w:pPr>
      <w:r w:rsidRPr="004B73DC">
        <w:rPr>
          <w:rStyle w:val="Refdenotaderodap"/>
          <w:rFonts w:ascii="Times New Roman" w:hAnsi="Times New Roman"/>
        </w:rPr>
        <w:footnoteRef/>
      </w:r>
      <w:r w:rsidRPr="004B73DC">
        <w:rPr>
          <w:rFonts w:ascii="Times New Roman" w:hAnsi="Times New Roman"/>
        </w:rPr>
        <w:t xml:space="preserve"> Idem, p, 188-189.</w:t>
      </w:r>
    </w:p>
  </w:footnote>
  <w:footnote w:id="21">
    <w:p w:rsidR="00DD31B9" w:rsidRPr="004B73DC" w:rsidRDefault="00DD31B9">
      <w:pPr>
        <w:pStyle w:val="Textodenotaderodap"/>
        <w:rPr>
          <w:rFonts w:ascii="Times New Roman" w:hAnsi="Times New Roman"/>
        </w:rPr>
      </w:pPr>
      <w:r w:rsidRPr="004B73DC">
        <w:rPr>
          <w:rStyle w:val="Refdenotaderodap"/>
          <w:rFonts w:ascii="Times New Roman" w:hAnsi="Times New Roman"/>
        </w:rPr>
        <w:footnoteRef/>
      </w:r>
      <w:r>
        <w:rPr>
          <w:rFonts w:ascii="Times New Roman" w:hAnsi="Times New Roman"/>
        </w:rPr>
        <w:t>Idem, p. 189.</w:t>
      </w:r>
    </w:p>
  </w:footnote>
  <w:footnote w:id="22">
    <w:p w:rsidR="00DD31B9" w:rsidRPr="004B73DC" w:rsidRDefault="00DD31B9">
      <w:pPr>
        <w:pStyle w:val="Textodenotaderodap"/>
        <w:rPr>
          <w:rFonts w:ascii="Times New Roman" w:hAnsi="Times New Roman"/>
        </w:rPr>
      </w:pPr>
      <w:r w:rsidRPr="004B73DC">
        <w:rPr>
          <w:rStyle w:val="Refdenotaderodap"/>
          <w:rFonts w:ascii="Times New Roman" w:hAnsi="Times New Roman"/>
        </w:rPr>
        <w:footnoteRef/>
      </w:r>
      <w:r w:rsidRPr="004B73DC">
        <w:rPr>
          <w:rFonts w:ascii="Times New Roman" w:hAnsi="Times New Roman"/>
        </w:rPr>
        <w:t xml:space="preserve"> Idem, p. 187.</w:t>
      </w:r>
    </w:p>
  </w:footnote>
  <w:footnote w:id="23">
    <w:p w:rsidR="00DD31B9" w:rsidRPr="008B0410" w:rsidRDefault="00DD31B9" w:rsidP="00582426">
      <w:pPr>
        <w:pStyle w:val="Textodenotaderodap"/>
        <w:rPr>
          <w:rFonts w:ascii="Times New Roman" w:hAnsi="Times New Roman"/>
        </w:rPr>
      </w:pPr>
      <w:r w:rsidRPr="008B0410">
        <w:rPr>
          <w:rStyle w:val="Refdenotaderodap"/>
          <w:rFonts w:ascii="Times New Roman" w:hAnsi="Times New Roman"/>
        </w:rPr>
        <w:footnoteRef/>
      </w:r>
      <w:r>
        <w:rPr>
          <w:rFonts w:ascii="Times New Roman" w:hAnsi="Times New Roman"/>
        </w:rPr>
        <w:t>Idem.</w:t>
      </w:r>
    </w:p>
  </w:footnote>
  <w:footnote w:id="24">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B6242D">
        <w:rPr>
          <w:rFonts w:ascii="Times New Roman" w:hAnsi="Times New Roman"/>
        </w:rPr>
        <w:t xml:space="preserve"> Idem, p. 191.</w:t>
      </w:r>
    </w:p>
  </w:footnote>
  <w:footnote w:id="25">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B6242D">
        <w:rPr>
          <w:rFonts w:ascii="Times New Roman" w:hAnsi="Times New Roman"/>
        </w:rPr>
        <w:t xml:space="preserve"> Idem, p. 192.</w:t>
      </w:r>
    </w:p>
  </w:footnote>
  <w:footnote w:id="26">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B6242D">
        <w:rPr>
          <w:rFonts w:ascii="Times New Roman" w:hAnsi="Times New Roman"/>
        </w:rPr>
        <w:t xml:space="preserve"> Idem, p. 194.</w:t>
      </w:r>
    </w:p>
  </w:footnote>
  <w:footnote w:id="27">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B6242D">
        <w:rPr>
          <w:rFonts w:ascii="Times New Roman" w:hAnsi="Times New Roman"/>
        </w:rPr>
        <w:t xml:space="preserve"> Idem, p. 199.</w:t>
      </w:r>
    </w:p>
  </w:footnote>
  <w:footnote w:id="28">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B6242D">
        <w:rPr>
          <w:rFonts w:ascii="Times New Roman" w:hAnsi="Times New Roman"/>
        </w:rPr>
        <w:t xml:space="preserve"> Idem, p. 224.</w:t>
      </w:r>
    </w:p>
  </w:footnote>
  <w:footnote w:id="29">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B6242D">
        <w:rPr>
          <w:rFonts w:ascii="Times New Roman" w:hAnsi="Times New Roman"/>
        </w:rPr>
        <w:t xml:space="preserve"> Idem.</w:t>
      </w:r>
    </w:p>
  </w:footnote>
  <w:footnote w:id="30">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B6242D">
        <w:rPr>
          <w:rFonts w:ascii="Times New Roman" w:hAnsi="Times New Roman"/>
        </w:rPr>
        <w:t xml:space="preserve"> Idem, p. 225.</w:t>
      </w:r>
    </w:p>
  </w:footnote>
  <w:footnote w:id="31">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B6242D">
        <w:rPr>
          <w:rFonts w:ascii="Times New Roman" w:hAnsi="Times New Roman"/>
        </w:rPr>
        <w:t xml:space="preserve"> Idem, p. 190-191.</w:t>
      </w:r>
    </w:p>
  </w:footnote>
  <w:footnote w:id="32">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B6242D">
        <w:rPr>
          <w:rFonts w:ascii="Times New Roman" w:hAnsi="Times New Roman"/>
        </w:rPr>
        <w:t xml:space="preserve"> Idem, p. 200.</w:t>
      </w:r>
    </w:p>
  </w:footnote>
  <w:footnote w:id="33">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B6242D">
        <w:rPr>
          <w:rFonts w:ascii="Times New Roman" w:hAnsi="Times New Roman"/>
        </w:rPr>
        <w:t xml:space="preserve"> Idem, p. 201.</w:t>
      </w:r>
    </w:p>
  </w:footnote>
  <w:footnote w:id="34">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B6242D">
        <w:rPr>
          <w:rFonts w:ascii="Times New Roman" w:hAnsi="Times New Roman"/>
        </w:rPr>
        <w:t xml:space="preserve"> Idem, p. 225.</w:t>
      </w:r>
    </w:p>
  </w:footnote>
  <w:footnote w:id="35">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B6242D">
        <w:rPr>
          <w:rFonts w:ascii="Times New Roman" w:hAnsi="Times New Roman"/>
        </w:rPr>
        <w:t xml:space="preserve"> Idem.</w:t>
      </w:r>
    </w:p>
  </w:footnote>
  <w:footnote w:id="36">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B6242D">
        <w:rPr>
          <w:rFonts w:ascii="Times New Roman" w:hAnsi="Times New Roman"/>
        </w:rPr>
        <w:t xml:space="preserve"> Idem, p. 183.</w:t>
      </w:r>
    </w:p>
  </w:footnote>
  <w:footnote w:id="37">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B6242D">
        <w:rPr>
          <w:rFonts w:ascii="Times New Roman" w:hAnsi="Times New Roman"/>
        </w:rPr>
        <w:t xml:space="preserve"> Idem, p. 226.</w:t>
      </w:r>
    </w:p>
  </w:footnote>
  <w:footnote w:id="38">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B6242D">
        <w:rPr>
          <w:rFonts w:ascii="Times New Roman" w:hAnsi="Times New Roman"/>
        </w:rPr>
        <w:t xml:space="preserve"> Idem, p. 227.</w:t>
      </w:r>
    </w:p>
  </w:footnote>
  <w:footnote w:id="39">
    <w:p w:rsidR="00DD31B9" w:rsidRPr="000948C6" w:rsidRDefault="00DD31B9">
      <w:pPr>
        <w:pStyle w:val="Textodenotaderodap"/>
        <w:rPr>
          <w:rFonts w:ascii="Times New Roman" w:hAnsi="Times New Roman"/>
        </w:rPr>
      </w:pPr>
      <w:r w:rsidRPr="000948C6">
        <w:rPr>
          <w:rStyle w:val="Refdenotaderodap"/>
          <w:rFonts w:ascii="Times New Roman" w:hAnsi="Times New Roman"/>
        </w:rPr>
        <w:footnoteRef/>
      </w:r>
      <w:r>
        <w:rPr>
          <w:rFonts w:ascii="Times New Roman" w:hAnsi="Times New Roman"/>
        </w:rPr>
        <w:t>Idem, p. 184.</w:t>
      </w:r>
    </w:p>
  </w:footnote>
  <w:footnote w:id="40">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B6242D">
        <w:rPr>
          <w:rFonts w:ascii="Times New Roman" w:hAnsi="Times New Roman"/>
        </w:rPr>
        <w:t xml:space="preserve"> FONTES, Virgínia. </w:t>
      </w:r>
      <w:r w:rsidRPr="00B6242D">
        <w:rPr>
          <w:rFonts w:ascii="Times New Roman" w:hAnsi="Times New Roman"/>
          <w:i/>
        </w:rPr>
        <w:t>O Brasil e o capital-imperialismo</w:t>
      </w:r>
      <w:r w:rsidRPr="00B6242D">
        <w:rPr>
          <w:rFonts w:ascii="Times New Roman" w:hAnsi="Times New Roman"/>
        </w:rPr>
        <w:t>... Op. cit., p. 137.</w:t>
      </w:r>
    </w:p>
  </w:footnote>
  <w:footnote w:id="41">
    <w:p w:rsidR="00DD31B9" w:rsidRPr="00B6242D" w:rsidRDefault="00DD31B9" w:rsidP="00582426">
      <w:pPr>
        <w:tabs>
          <w:tab w:val="left" w:pos="2418"/>
        </w:tabs>
        <w:spacing w:after="0"/>
        <w:jc w:val="both"/>
        <w:rPr>
          <w:rFonts w:ascii="Times New Roman" w:hAnsi="Times New Roman"/>
          <w:sz w:val="20"/>
          <w:szCs w:val="20"/>
        </w:rPr>
      </w:pPr>
      <w:r w:rsidRPr="00B6242D">
        <w:rPr>
          <w:rStyle w:val="Refdenotaderodap"/>
          <w:rFonts w:ascii="Times New Roman" w:hAnsi="Times New Roman"/>
          <w:sz w:val="20"/>
          <w:szCs w:val="20"/>
        </w:rPr>
        <w:footnoteRef/>
      </w:r>
      <w:r w:rsidRPr="00B6242D">
        <w:rPr>
          <w:rFonts w:ascii="Times New Roman" w:hAnsi="Times New Roman"/>
          <w:sz w:val="20"/>
          <w:szCs w:val="20"/>
        </w:rPr>
        <w:t xml:space="preserve"> NETTO, José Paulo. </w:t>
      </w:r>
      <w:r w:rsidRPr="00B6242D">
        <w:rPr>
          <w:rFonts w:ascii="Times New Roman" w:hAnsi="Times New Roman"/>
          <w:i/>
          <w:sz w:val="20"/>
          <w:szCs w:val="20"/>
        </w:rPr>
        <w:t>Introdução ao estudo do método de Marx</w:t>
      </w:r>
      <w:r>
        <w:rPr>
          <w:rFonts w:ascii="Times New Roman" w:hAnsi="Times New Roman"/>
          <w:sz w:val="20"/>
          <w:szCs w:val="20"/>
        </w:rPr>
        <w:t>. SP: Expressão Popular, 2011, p. 57.</w:t>
      </w:r>
    </w:p>
  </w:footnote>
  <w:footnote w:id="42">
    <w:p w:rsidR="00DD31B9" w:rsidRPr="008749D5" w:rsidRDefault="00DD31B9" w:rsidP="00582426">
      <w:pPr>
        <w:pStyle w:val="Textodenotaderodap"/>
        <w:rPr>
          <w:rFonts w:ascii="Times New Roman" w:hAnsi="Times New Roman"/>
        </w:rPr>
      </w:pPr>
      <w:r w:rsidRPr="008749D5">
        <w:rPr>
          <w:rStyle w:val="Refdenotaderodap"/>
          <w:rFonts w:ascii="Times New Roman" w:hAnsi="Times New Roman"/>
        </w:rPr>
        <w:footnoteRef/>
      </w:r>
      <w:r>
        <w:rPr>
          <w:rFonts w:ascii="Times New Roman" w:hAnsi="Times New Roman"/>
        </w:rPr>
        <w:t xml:space="preserve">POULANTZAS, Nicos. </w:t>
      </w:r>
      <w:r>
        <w:rPr>
          <w:rFonts w:ascii="Times New Roman" w:hAnsi="Times New Roman"/>
          <w:i/>
        </w:rPr>
        <w:t>O Estado, o Poder, o Socialismo</w:t>
      </w:r>
      <w:r>
        <w:rPr>
          <w:rFonts w:ascii="Times New Roman" w:hAnsi="Times New Roman"/>
        </w:rPr>
        <w:t>. Op. Cit., p. 147.</w:t>
      </w:r>
    </w:p>
  </w:footnote>
  <w:footnote w:id="43">
    <w:p w:rsidR="00DD31B9" w:rsidRPr="00B6242D" w:rsidRDefault="00DD31B9" w:rsidP="00582426">
      <w:pPr>
        <w:pStyle w:val="Textodenotaderodap"/>
        <w:rPr>
          <w:rFonts w:ascii="Times New Roman" w:hAnsi="Times New Roman"/>
        </w:rPr>
      </w:pPr>
      <w:r w:rsidRPr="00B6242D">
        <w:rPr>
          <w:rStyle w:val="Refdenotaderodap"/>
          <w:rFonts w:ascii="Times New Roman" w:hAnsi="Times New Roman"/>
        </w:rPr>
        <w:footnoteRef/>
      </w:r>
      <w:r w:rsidRPr="008B0410">
        <w:rPr>
          <w:rFonts w:ascii="Times New Roman" w:hAnsi="Times New Roman"/>
        </w:rPr>
        <w:t>TAPIA, Jorge R. Biton. Conselho de Desenvolvimento Econômico e Social: os desafios da construção institucional</w:t>
      </w:r>
      <w:r>
        <w:rPr>
          <w:rFonts w:ascii="Times New Roman" w:hAnsi="Times New Roman"/>
        </w:rPr>
        <w:t>... Op. cit., p. 188, grifos meus.</w:t>
      </w:r>
    </w:p>
  </w:footnote>
  <w:footnote w:id="44">
    <w:p w:rsidR="00DD31B9" w:rsidRPr="00FD620C" w:rsidRDefault="00DD31B9" w:rsidP="00582426">
      <w:pPr>
        <w:autoSpaceDE w:val="0"/>
        <w:autoSpaceDN w:val="0"/>
        <w:adjustRightInd w:val="0"/>
        <w:spacing w:after="0" w:line="240" w:lineRule="auto"/>
        <w:rPr>
          <w:rFonts w:ascii="Times New Roman" w:hAnsi="Times New Roman"/>
          <w:sz w:val="20"/>
          <w:szCs w:val="20"/>
        </w:rPr>
      </w:pPr>
      <w:r w:rsidRPr="00FD620C">
        <w:rPr>
          <w:rStyle w:val="Refdenotaderodap"/>
          <w:rFonts w:ascii="Times New Roman" w:hAnsi="Times New Roman"/>
          <w:sz w:val="20"/>
          <w:szCs w:val="20"/>
        </w:rPr>
        <w:footnoteRef/>
      </w:r>
      <w:r w:rsidRPr="00FD620C">
        <w:rPr>
          <w:rFonts w:ascii="Times New Roman" w:hAnsi="Times New Roman"/>
          <w:sz w:val="20"/>
          <w:szCs w:val="20"/>
        </w:rPr>
        <w:t xml:space="preserve"> WOOD, Ellen Meiksins. </w:t>
      </w:r>
      <w:r w:rsidRPr="00FD620C">
        <w:rPr>
          <w:rFonts w:ascii="Times New Roman" w:hAnsi="Times New Roman"/>
          <w:i/>
          <w:sz w:val="20"/>
          <w:szCs w:val="20"/>
        </w:rPr>
        <w:t>Democracia contra capitalismo</w:t>
      </w:r>
      <w:r w:rsidRPr="00FD620C">
        <w:rPr>
          <w:rFonts w:ascii="Times New Roman" w:hAnsi="Times New Roman"/>
          <w:sz w:val="20"/>
          <w:szCs w:val="20"/>
        </w:rPr>
        <w:t>: a renovação do materialismo histórico. São Paulo, Boitempo, 2003</w:t>
      </w:r>
      <w:r>
        <w:rPr>
          <w:rFonts w:ascii="Times New Roman" w:hAnsi="Times New Roman"/>
          <w:sz w:val="20"/>
          <w:szCs w:val="20"/>
        </w:rPr>
        <w:t>, p. 184.</w:t>
      </w:r>
    </w:p>
  </w:footnote>
  <w:footnote w:id="45">
    <w:p w:rsidR="00DD31B9" w:rsidRPr="00FD620C" w:rsidRDefault="00DD31B9" w:rsidP="00582426">
      <w:pPr>
        <w:pStyle w:val="Textodenotaderodap"/>
        <w:rPr>
          <w:rFonts w:ascii="Times New Roman" w:hAnsi="Times New Roman"/>
        </w:rPr>
      </w:pPr>
      <w:r w:rsidRPr="00FD620C">
        <w:rPr>
          <w:rStyle w:val="Refdenotaderodap"/>
          <w:rFonts w:ascii="Times New Roman" w:hAnsi="Times New Roman"/>
        </w:rPr>
        <w:footnoteRef/>
      </w:r>
      <w:r>
        <w:rPr>
          <w:rFonts w:ascii="Times New Roman" w:hAnsi="Times New Roman"/>
        </w:rPr>
        <w:t xml:space="preserve">GRAMSCI, Antonio. </w:t>
      </w:r>
      <w:r>
        <w:rPr>
          <w:rFonts w:ascii="Times New Roman" w:hAnsi="Times New Roman"/>
          <w:i/>
        </w:rPr>
        <w:t>Cadernos do Cárcere</w:t>
      </w:r>
      <w:r>
        <w:rPr>
          <w:rFonts w:ascii="Times New Roman" w:hAnsi="Times New Roman"/>
        </w:rPr>
        <w:t>, v. 2. Os Intelectuais... Op. cit., 2004, p. 28-29.</w:t>
      </w:r>
    </w:p>
  </w:footnote>
  <w:footnote w:id="46">
    <w:p w:rsidR="00DD31B9" w:rsidRPr="00684BDD" w:rsidRDefault="00DD31B9" w:rsidP="00582426">
      <w:pPr>
        <w:pStyle w:val="Textodenotaderodap"/>
        <w:rPr>
          <w:rFonts w:ascii="Times New Roman" w:hAnsi="Times New Roman"/>
        </w:rPr>
      </w:pPr>
      <w:r w:rsidRPr="00684BDD">
        <w:rPr>
          <w:rStyle w:val="Refdenotaderodap"/>
          <w:rFonts w:ascii="Times New Roman" w:hAnsi="Times New Roman"/>
        </w:rPr>
        <w:footnoteRef/>
      </w:r>
      <w:r w:rsidRPr="00684BDD">
        <w:rPr>
          <w:rFonts w:ascii="Times New Roman" w:hAnsi="Times New Roman"/>
        </w:rPr>
        <w:t xml:space="preserve"> Os Enunciados Estratégicos para o Desenvolvimento (END) foi uma proposição da SEDES, feita em 2006, para que os conselheiros, “em parceria” com a FGV</w:t>
      </w:r>
      <w:r>
        <w:rPr>
          <w:rFonts w:ascii="Times New Roman" w:hAnsi="Times New Roman"/>
        </w:rPr>
        <w:t>-RJ</w:t>
      </w:r>
      <w:r w:rsidRPr="00684BDD">
        <w:rPr>
          <w:rFonts w:ascii="Times New Roman" w:hAnsi="Times New Roman"/>
        </w:rPr>
        <w:t>, elaborassem um conjunto de prioridades e metas de planejamento estratégicas para o próximo governo tomando como base as discussões e proposições realizadas na AND. O termo “em parceria” aparece entre aspas porque foi de fato a FGV-RJ que elaborou os enunciados. Isto gerou novas insatisfações por parte dos conselheiros, tendo em vista que consideraram ser uma tarefa em que eles próprios poderiam ter realizado e não uma entidade externa. Percebendo o clima de desconforto, Tarso Genro e a equipe da SEDES reagiram, propondo que os conselheiros apresentassem novas sugestões de enunciados que seriam examinadas pela SEDES e pela FGV, sem desconsiderar as elaboradas por esta entidade.</w:t>
      </w:r>
      <w:r>
        <w:rPr>
          <w:rFonts w:ascii="Times New Roman" w:hAnsi="Times New Roman"/>
        </w:rPr>
        <w:t xml:space="preserve"> Os Enunciados serão analisados no capítulo 3.</w:t>
      </w:r>
    </w:p>
  </w:footnote>
  <w:footnote w:id="47">
    <w:p w:rsidR="00DD31B9" w:rsidRPr="00FD620C" w:rsidRDefault="00DD31B9" w:rsidP="00582426">
      <w:pPr>
        <w:pStyle w:val="Textodenotaderodap"/>
        <w:rPr>
          <w:rFonts w:ascii="Times New Roman" w:hAnsi="Times New Roman"/>
        </w:rPr>
      </w:pPr>
      <w:r w:rsidRPr="00FD620C">
        <w:rPr>
          <w:rStyle w:val="Refdenotaderodap"/>
          <w:rFonts w:ascii="Times New Roman" w:hAnsi="Times New Roman"/>
        </w:rPr>
        <w:footnoteRef/>
      </w:r>
      <w:r w:rsidRPr="00FD620C">
        <w:rPr>
          <w:rFonts w:ascii="Times New Roman" w:hAnsi="Times New Roman"/>
        </w:rPr>
        <w:t xml:space="preserve"> KUNRATH, Romerio Jair. </w:t>
      </w:r>
      <w:r w:rsidRPr="00FD620C">
        <w:rPr>
          <w:rFonts w:ascii="Times New Roman" w:hAnsi="Times New Roman"/>
          <w:i/>
        </w:rPr>
        <w:t>Os Conselhos Econômicos e Sociais em perspectiva comparada</w:t>
      </w:r>
      <w:r w:rsidRPr="00FD620C">
        <w:rPr>
          <w:rFonts w:ascii="Times New Roman" w:hAnsi="Times New Roman"/>
        </w:rPr>
        <w:t>: os casos da Espanha e do Brasil. Tese de doutorado, Porto Alegre: UFRGS, 2012</w:t>
      </w:r>
      <w:r>
        <w:rPr>
          <w:rFonts w:ascii="Times New Roman" w:hAnsi="Times New Roman"/>
        </w:rPr>
        <w:t>, p. 22, grifos meus.</w:t>
      </w:r>
    </w:p>
  </w:footnote>
  <w:footnote w:id="48">
    <w:p w:rsidR="00DD31B9" w:rsidRPr="00636982" w:rsidRDefault="00DD31B9" w:rsidP="00582426">
      <w:pPr>
        <w:pStyle w:val="Textodenotaderodap"/>
        <w:rPr>
          <w:rFonts w:ascii="Times New Roman" w:hAnsi="Times New Roman"/>
        </w:rPr>
      </w:pPr>
      <w:r w:rsidRPr="00636982">
        <w:rPr>
          <w:rStyle w:val="Refdenotaderodap"/>
          <w:rFonts w:ascii="Times New Roman" w:hAnsi="Times New Roman"/>
        </w:rPr>
        <w:footnoteRef/>
      </w:r>
      <w:r w:rsidRPr="00636982">
        <w:rPr>
          <w:rFonts w:ascii="Times New Roman" w:hAnsi="Times New Roman"/>
        </w:rPr>
        <w:t xml:space="preserve"> KUNRATH, Romerio Jair. </w:t>
      </w:r>
      <w:r w:rsidRPr="00636982">
        <w:rPr>
          <w:rFonts w:ascii="Times New Roman" w:hAnsi="Times New Roman"/>
          <w:i/>
        </w:rPr>
        <w:t>Os Conselhos Econômicos e Sociais em perspectiva comparada</w:t>
      </w:r>
      <w:r w:rsidRPr="00636982">
        <w:rPr>
          <w:rFonts w:ascii="Times New Roman" w:hAnsi="Times New Roman"/>
        </w:rPr>
        <w:t>... Op. cit., p. 22.</w:t>
      </w:r>
    </w:p>
  </w:footnote>
  <w:footnote w:id="49">
    <w:p w:rsidR="00DD31B9" w:rsidRPr="00636982" w:rsidRDefault="00DD31B9" w:rsidP="00582426">
      <w:pPr>
        <w:pStyle w:val="Textodenotaderodap"/>
        <w:rPr>
          <w:rFonts w:ascii="Times New Roman" w:hAnsi="Times New Roman"/>
        </w:rPr>
      </w:pPr>
      <w:r w:rsidRPr="00636982">
        <w:rPr>
          <w:rStyle w:val="Refdenotaderodap"/>
          <w:rFonts w:ascii="Times New Roman" w:hAnsi="Times New Roman"/>
        </w:rPr>
        <w:footnoteRef/>
      </w:r>
      <w:r w:rsidRPr="00636982">
        <w:rPr>
          <w:rFonts w:ascii="Times New Roman" w:hAnsi="Times New Roman"/>
        </w:rPr>
        <w:t xml:space="preserve"> Idem, p. 41-43.</w:t>
      </w:r>
    </w:p>
  </w:footnote>
  <w:footnote w:id="50">
    <w:p w:rsidR="00DD31B9" w:rsidRPr="00636982" w:rsidRDefault="00DD31B9" w:rsidP="00582426">
      <w:pPr>
        <w:pStyle w:val="Textodenotaderodap"/>
        <w:rPr>
          <w:rFonts w:ascii="Times New Roman" w:hAnsi="Times New Roman"/>
        </w:rPr>
      </w:pPr>
      <w:r w:rsidRPr="00636982">
        <w:rPr>
          <w:rStyle w:val="Refdenotaderodap"/>
          <w:rFonts w:ascii="Times New Roman" w:hAnsi="Times New Roman"/>
        </w:rPr>
        <w:footnoteRef/>
      </w:r>
      <w:r w:rsidRPr="00636982">
        <w:rPr>
          <w:rFonts w:ascii="Times New Roman" w:hAnsi="Times New Roman"/>
        </w:rPr>
        <w:t xml:space="preserve"> Idem, p. 43.</w:t>
      </w:r>
    </w:p>
  </w:footnote>
  <w:footnote w:id="51">
    <w:p w:rsidR="00DD31B9" w:rsidRPr="00636982" w:rsidRDefault="00DD31B9" w:rsidP="00582426">
      <w:pPr>
        <w:pStyle w:val="Textodenotaderodap"/>
        <w:rPr>
          <w:rFonts w:ascii="Times New Roman" w:hAnsi="Times New Roman"/>
        </w:rPr>
      </w:pPr>
      <w:r w:rsidRPr="00636982">
        <w:rPr>
          <w:rStyle w:val="Refdenotaderodap"/>
          <w:rFonts w:ascii="Times New Roman" w:hAnsi="Times New Roman"/>
        </w:rPr>
        <w:footnoteRef/>
      </w:r>
      <w:r w:rsidRPr="00636982">
        <w:rPr>
          <w:rFonts w:ascii="Times New Roman" w:hAnsi="Times New Roman"/>
        </w:rPr>
        <w:t xml:space="preserve"> TÁPIA, Ruben. GOMES, Eduardo R. e CONDÉ, Eduardo Salomão (orgs.). </w:t>
      </w:r>
      <w:r w:rsidRPr="00636982">
        <w:rPr>
          <w:rFonts w:ascii="Times New Roman" w:hAnsi="Times New Roman"/>
          <w:i/>
        </w:rPr>
        <w:t>Pactos sociais, globalização e integração regional.</w:t>
      </w:r>
      <w:r w:rsidRPr="00636982">
        <w:rPr>
          <w:rFonts w:ascii="Times New Roman" w:hAnsi="Times New Roman"/>
        </w:rPr>
        <w:t xml:space="preserve"> Campinas, SP: Editora da Unicamp, 2008, p. 47.</w:t>
      </w:r>
    </w:p>
  </w:footnote>
  <w:footnote w:id="52">
    <w:p w:rsidR="00DD31B9" w:rsidRPr="000948C6" w:rsidRDefault="00DD31B9">
      <w:pPr>
        <w:pStyle w:val="Textodenotaderodap"/>
        <w:rPr>
          <w:rFonts w:ascii="Times New Roman" w:hAnsi="Times New Roman"/>
        </w:rPr>
      </w:pPr>
      <w:r w:rsidRPr="000948C6">
        <w:rPr>
          <w:rStyle w:val="Refdenotaderodap"/>
          <w:rFonts w:ascii="Times New Roman" w:hAnsi="Times New Roman"/>
        </w:rPr>
        <w:footnoteRef/>
      </w:r>
      <w:r w:rsidRPr="000948C6">
        <w:rPr>
          <w:rFonts w:ascii="Times New Roman" w:hAnsi="Times New Roman"/>
        </w:rPr>
        <w:t xml:space="preserve"> LICHA, Isabel. </w:t>
      </w:r>
      <w:r w:rsidRPr="000948C6">
        <w:rPr>
          <w:rFonts w:ascii="Times New Roman" w:hAnsi="Times New Roman"/>
          <w:i/>
        </w:rPr>
        <w:t>Concertacióny gerencia social:</w:t>
      </w:r>
      <w:r w:rsidRPr="000948C6">
        <w:rPr>
          <w:rFonts w:ascii="Times New Roman" w:hAnsi="Times New Roman"/>
        </w:rPr>
        <w:t xml:space="preserve"> conceptos, enfoques y experiências. In: VII Congresso Internacional del CLAD sobre la reforma del Estado y de la administración pública. Panamá, 2003.</w:t>
      </w:r>
    </w:p>
  </w:footnote>
  <w:footnote w:id="53">
    <w:p w:rsidR="00DD31B9" w:rsidRPr="00636982" w:rsidRDefault="00DD31B9" w:rsidP="00582426">
      <w:pPr>
        <w:pStyle w:val="Textodenotaderodap"/>
        <w:rPr>
          <w:rFonts w:ascii="Times New Roman" w:hAnsi="Times New Roman"/>
        </w:rPr>
      </w:pPr>
      <w:r w:rsidRPr="00636982">
        <w:rPr>
          <w:rStyle w:val="Refdenotaderodap"/>
          <w:rFonts w:ascii="Times New Roman" w:hAnsi="Times New Roman"/>
        </w:rPr>
        <w:footnoteRef/>
      </w:r>
      <w:r w:rsidRPr="00636982">
        <w:rPr>
          <w:rFonts w:ascii="Times New Roman" w:hAnsi="Times New Roman"/>
        </w:rPr>
        <w:t xml:space="preserve"> Idem, p. 49.</w:t>
      </w:r>
    </w:p>
  </w:footnote>
  <w:footnote w:id="54">
    <w:p w:rsidR="00DD31B9" w:rsidRPr="00636982" w:rsidRDefault="00DD31B9" w:rsidP="00582426">
      <w:pPr>
        <w:pStyle w:val="Textodenotaderodap"/>
        <w:rPr>
          <w:rFonts w:ascii="Times New Roman" w:hAnsi="Times New Roman"/>
        </w:rPr>
      </w:pPr>
      <w:r w:rsidRPr="00636982">
        <w:rPr>
          <w:rStyle w:val="Refdenotaderodap"/>
          <w:rFonts w:ascii="Times New Roman" w:hAnsi="Times New Roman"/>
        </w:rPr>
        <w:footnoteRef/>
      </w:r>
      <w:r w:rsidRPr="00636982">
        <w:rPr>
          <w:rFonts w:ascii="Times New Roman" w:hAnsi="Times New Roman"/>
        </w:rPr>
        <w:t xml:space="preserve"> KUNRATH, Romerio Jair. </w:t>
      </w:r>
      <w:r w:rsidRPr="00636982">
        <w:rPr>
          <w:rFonts w:ascii="Times New Roman" w:hAnsi="Times New Roman"/>
          <w:i/>
        </w:rPr>
        <w:t>Os Conselhos Econômicos e Sociais em perspectiva comparada</w:t>
      </w:r>
      <w:r>
        <w:rPr>
          <w:rFonts w:ascii="Times New Roman" w:hAnsi="Times New Roman"/>
        </w:rPr>
        <w:t>... Op. cit., p. 124.</w:t>
      </w:r>
    </w:p>
  </w:footnote>
  <w:footnote w:id="55">
    <w:p w:rsidR="00DD31B9" w:rsidRPr="00636982" w:rsidRDefault="00DD31B9" w:rsidP="00582426">
      <w:pPr>
        <w:pStyle w:val="Textodenotaderodap"/>
        <w:rPr>
          <w:rFonts w:ascii="Times New Roman" w:hAnsi="Times New Roman"/>
        </w:rPr>
      </w:pPr>
      <w:r w:rsidRPr="00636982">
        <w:rPr>
          <w:rStyle w:val="Refdenotaderodap"/>
          <w:rFonts w:ascii="Times New Roman" w:hAnsi="Times New Roman"/>
        </w:rPr>
        <w:footnoteRef/>
      </w:r>
      <w:r w:rsidRPr="00636982">
        <w:rPr>
          <w:rFonts w:ascii="Times New Roman" w:hAnsi="Times New Roman"/>
        </w:rPr>
        <w:t xml:space="preserve"> Idem.</w:t>
      </w:r>
    </w:p>
  </w:footnote>
  <w:footnote w:id="56">
    <w:p w:rsidR="00DD31B9" w:rsidRPr="00636982" w:rsidRDefault="00DD31B9" w:rsidP="00582426">
      <w:pPr>
        <w:pStyle w:val="Textodenotaderodap"/>
        <w:rPr>
          <w:rFonts w:ascii="Times New Roman" w:hAnsi="Times New Roman"/>
        </w:rPr>
      </w:pPr>
      <w:r w:rsidRPr="00636982">
        <w:rPr>
          <w:rStyle w:val="Refdenotaderodap"/>
          <w:rFonts w:ascii="Times New Roman" w:hAnsi="Times New Roman"/>
        </w:rPr>
        <w:footnoteRef/>
      </w:r>
      <w:r w:rsidRPr="00636982">
        <w:rPr>
          <w:rFonts w:ascii="Times New Roman" w:hAnsi="Times New Roman"/>
        </w:rPr>
        <w:t xml:space="preserve"> Idem, p. 124-126.</w:t>
      </w:r>
    </w:p>
  </w:footnote>
  <w:footnote w:id="57">
    <w:p w:rsidR="00DD31B9" w:rsidRPr="00636982" w:rsidRDefault="00DD31B9" w:rsidP="00582426">
      <w:pPr>
        <w:pStyle w:val="Textodenotaderodap"/>
        <w:rPr>
          <w:rFonts w:ascii="Times New Roman" w:hAnsi="Times New Roman"/>
        </w:rPr>
      </w:pPr>
      <w:r w:rsidRPr="00636982">
        <w:rPr>
          <w:rStyle w:val="Refdenotaderodap"/>
          <w:rFonts w:ascii="Times New Roman" w:hAnsi="Times New Roman"/>
        </w:rPr>
        <w:footnoteRef/>
      </w:r>
      <w:r w:rsidRPr="00636982">
        <w:rPr>
          <w:rFonts w:ascii="Times New Roman" w:hAnsi="Times New Roman"/>
        </w:rPr>
        <w:t xml:space="preserve"> Idem, p. 222.</w:t>
      </w:r>
    </w:p>
  </w:footnote>
  <w:footnote w:id="58">
    <w:p w:rsidR="00DD31B9" w:rsidRPr="00636982" w:rsidRDefault="00DD31B9" w:rsidP="00582426">
      <w:pPr>
        <w:pStyle w:val="Textodenotaderodap"/>
        <w:rPr>
          <w:rFonts w:ascii="Times New Roman" w:hAnsi="Times New Roman"/>
        </w:rPr>
      </w:pPr>
      <w:r w:rsidRPr="00636982">
        <w:rPr>
          <w:rStyle w:val="Refdenotaderodap"/>
          <w:rFonts w:ascii="Times New Roman" w:hAnsi="Times New Roman"/>
        </w:rPr>
        <w:footnoteRef/>
      </w:r>
      <w:r w:rsidRPr="00636982">
        <w:rPr>
          <w:rFonts w:ascii="Times New Roman" w:hAnsi="Times New Roman"/>
        </w:rPr>
        <w:t xml:space="preserve"> Idem, p. 83.</w:t>
      </w:r>
    </w:p>
  </w:footnote>
  <w:footnote w:id="59">
    <w:p w:rsidR="00DD31B9" w:rsidRPr="00636982" w:rsidRDefault="00DD31B9" w:rsidP="00582426">
      <w:pPr>
        <w:pStyle w:val="Textodenotaderodap"/>
        <w:rPr>
          <w:rFonts w:ascii="Times New Roman" w:hAnsi="Times New Roman"/>
        </w:rPr>
      </w:pPr>
      <w:r w:rsidRPr="00636982">
        <w:rPr>
          <w:rStyle w:val="Refdenotaderodap"/>
          <w:rFonts w:ascii="Times New Roman" w:hAnsi="Times New Roman"/>
        </w:rPr>
        <w:footnoteRef/>
      </w:r>
      <w:r w:rsidRPr="00636982">
        <w:rPr>
          <w:rFonts w:ascii="Times New Roman" w:hAnsi="Times New Roman"/>
        </w:rPr>
        <w:t xml:space="preserve"> Idem, p. 84.</w:t>
      </w:r>
    </w:p>
  </w:footnote>
  <w:footnote w:id="60">
    <w:p w:rsidR="00DD31B9" w:rsidRPr="00636982" w:rsidRDefault="00DD31B9" w:rsidP="00582426">
      <w:pPr>
        <w:pStyle w:val="Textodenotaderodap"/>
        <w:rPr>
          <w:rFonts w:ascii="Times New Roman" w:hAnsi="Times New Roman"/>
        </w:rPr>
      </w:pPr>
      <w:r w:rsidRPr="00636982">
        <w:rPr>
          <w:rStyle w:val="Refdenotaderodap"/>
          <w:rFonts w:ascii="Times New Roman" w:hAnsi="Times New Roman"/>
        </w:rPr>
        <w:footnoteRef/>
      </w:r>
      <w:r w:rsidRPr="00636982">
        <w:rPr>
          <w:rFonts w:ascii="Times New Roman" w:hAnsi="Times New Roman"/>
        </w:rPr>
        <w:t xml:space="preserve"> Idem, p. 85.</w:t>
      </w:r>
    </w:p>
  </w:footnote>
  <w:footnote w:id="61">
    <w:p w:rsidR="00DD31B9" w:rsidRPr="0056274E" w:rsidRDefault="00DD31B9" w:rsidP="00582426">
      <w:pPr>
        <w:autoSpaceDE w:val="0"/>
        <w:autoSpaceDN w:val="0"/>
        <w:adjustRightInd w:val="0"/>
        <w:spacing w:after="0" w:line="240" w:lineRule="auto"/>
        <w:rPr>
          <w:rFonts w:ascii="Times New Roman" w:hAnsi="Times New Roman"/>
          <w:sz w:val="24"/>
          <w:szCs w:val="24"/>
        </w:rPr>
      </w:pPr>
      <w:r w:rsidRPr="009E036A">
        <w:rPr>
          <w:rStyle w:val="Refdenotaderodap"/>
          <w:rFonts w:ascii="Times New Roman" w:hAnsi="Times New Roman"/>
        </w:rPr>
        <w:footnoteRef/>
      </w:r>
      <w:r>
        <w:rPr>
          <w:rFonts w:ascii="Times New Roman" w:hAnsi="Times New Roman"/>
        </w:rPr>
        <w:t>A legislação em vigor no Brasil preconiza, durante os anos 1990, que para o recebimento de recursos destinados às áreas sociais, os municípios devem criar seus conselhos gestores. A partir de então, verificou-se rápida e crescente criação de conselhos gestores no âmbito municipal, a depender das áreas de atuação. Segundo Côrtes</w:t>
      </w:r>
      <w:r w:rsidRPr="00CE280E">
        <w:rPr>
          <w:rFonts w:ascii="Times New Roman" w:hAnsi="Times New Roman"/>
        </w:rPr>
        <w:t>“Constata-se que a criação da maior parte dos conselhos, em cada área de política pública, concentra-se no período imediatamente posterior à normatização legal ou administrativa que vincula a constituição de conselho à execução de novas funções e transferência de recursos financeiros para a esfera municipal da administração pública”</w:t>
      </w:r>
      <w:r>
        <w:t xml:space="preserve">. </w:t>
      </w:r>
      <w:r w:rsidRPr="00636982">
        <w:rPr>
          <w:rFonts w:ascii="Times New Roman" w:hAnsi="Times New Roman"/>
          <w:sz w:val="20"/>
          <w:szCs w:val="20"/>
        </w:rPr>
        <w:t xml:space="preserve">CÔRTES, Soraya M. V. </w:t>
      </w:r>
      <w:r w:rsidRPr="00636982">
        <w:rPr>
          <w:rFonts w:ascii="Times New Roman" w:hAnsi="Times New Roman"/>
          <w:i/>
          <w:sz w:val="20"/>
          <w:szCs w:val="20"/>
        </w:rPr>
        <w:t>Arcabouço histórico-institucional e a conformação de conselhos municipais de políticas públicas</w:t>
      </w:r>
      <w:r w:rsidRPr="00636982">
        <w:rPr>
          <w:rFonts w:ascii="Times New Roman" w:hAnsi="Times New Roman"/>
          <w:sz w:val="20"/>
          <w:szCs w:val="20"/>
        </w:rPr>
        <w:t>. Revista Educar, Curitiba, n. 25</w:t>
      </w:r>
      <w:r>
        <w:rPr>
          <w:rFonts w:ascii="Times New Roman" w:hAnsi="Times New Roman"/>
          <w:sz w:val="20"/>
          <w:szCs w:val="20"/>
        </w:rPr>
        <w:t>, Editora UFPR, 2005, p. 161.</w:t>
      </w:r>
    </w:p>
    <w:p w:rsidR="00DD31B9" w:rsidRPr="009E036A" w:rsidRDefault="00DD31B9" w:rsidP="00582426">
      <w:pPr>
        <w:pStyle w:val="Textodenotaderodap"/>
        <w:rPr>
          <w:rFonts w:ascii="Times New Roman" w:hAnsi="Times New Roman"/>
        </w:rPr>
      </w:pPr>
    </w:p>
  </w:footnote>
  <w:footnote w:id="62">
    <w:p w:rsidR="00DD31B9" w:rsidRPr="00E157B7" w:rsidRDefault="00DD31B9" w:rsidP="00582426">
      <w:pPr>
        <w:spacing w:after="0" w:line="240" w:lineRule="auto"/>
        <w:rPr>
          <w:rFonts w:ascii="Times New Roman" w:hAnsi="Times New Roman"/>
        </w:rPr>
      </w:pPr>
      <w:r w:rsidRPr="00E157B7">
        <w:rPr>
          <w:rStyle w:val="Refdenotaderodap"/>
          <w:rFonts w:ascii="Times New Roman" w:hAnsi="Times New Roman"/>
          <w:sz w:val="20"/>
          <w:szCs w:val="20"/>
        </w:rPr>
        <w:footnoteRef/>
      </w:r>
      <w:r w:rsidRPr="00E157B7">
        <w:rPr>
          <w:rFonts w:ascii="Times New Roman" w:hAnsi="Times New Roman"/>
          <w:sz w:val="20"/>
          <w:szCs w:val="20"/>
        </w:rPr>
        <w:t xml:space="preserve"> KOWARICK, Lúcio (2003). </w:t>
      </w:r>
      <w:r w:rsidRPr="00E157B7">
        <w:rPr>
          <w:rFonts w:ascii="Times New Roman" w:hAnsi="Times New Roman"/>
          <w:i/>
          <w:sz w:val="20"/>
          <w:szCs w:val="20"/>
        </w:rPr>
        <w:t>O Conselho de Desenvolvimento Econômico e Social</w:t>
      </w:r>
      <w:r w:rsidRPr="00E157B7">
        <w:rPr>
          <w:rFonts w:ascii="Times New Roman" w:hAnsi="Times New Roman"/>
          <w:sz w:val="20"/>
          <w:szCs w:val="20"/>
        </w:rPr>
        <w:t>: um processo em construção, p. 05.</w:t>
      </w:r>
    </w:p>
  </w:footnote>
  <w:footnote w:id="63">
    <w:p w:rsidR="00DD31B9" w:rsidRDefault="00DD31B9" w:rsidP="00582426">
      <w:pPr>
        <w:pStyle w:val="Textodenotaderodap"/>
      </w:pPr>
      <w:r w:rsidRPr="00E157B7">
        <w:rPr>
          <w:rStyle w:val="Refdenotaderodap"/>
          <w:rFonts w:ascii="Times New Roman" w:hAnsi="Times New Roman"/>
        </w:rPr>
        <w:footnoteRef/>
      </w:r>
      <w:r w:rsidRPr="00E157B7">
        <w:rPr>
          <w:rFonts w:ascii="Times New Roman" w:hAnsi="Times New Roman"/>
        </w:rPr>
        <w:t xml:space="preserve"> Idem, p. 15.</w:t>
      </w:r>
    </w:p>
  </w:footnote>
  <w:footnote w:id="64">
    <w:p w:rsidR="00DD31B9" w:rsidRPr="009F7DAC" w:rsidRDefault="00DD31B9" w:rsidP="00582426">
      <w:pPr>
        <w:pStyle w:val="Textodenotaderodap"/>
        <w:rPr>
          <w:rFonts w:ascii="Times New Roman" w:hAnsi="Times New Roman"/>
        </w:rPr>
      </w:pPr>
      <w:r w:rsidRPr="009F7DAC">
        <w:rPr>
          <w:rStyle w:val="Refdenotaderodap"/>
          <w:rFonts w:ascii="Times New Roman" w:hAnsi="Times New Roman"/>
        </w:rPr>
        <w:footnoteRef/>
      </w:r>
      <w:r>
        <w:rPr>
          <w:rFonts w:ascii="Times New Roman" w:hAnsi="Times New Roman"/>
        </w:rPr>
        <w:t xml:space="preserve"> Idem, p. 6-7, grifos meus.</w:t>
      </w:r>
      <w:r w:rsidRPr="009F7DAC">
        <w:rPr>
          <w:rFonts w:ascii="Times New Roman" w:hAnsi="Times New Roman"/>
        </w:rPr>
        <w:t xml:space="preserve"> Interessante que outros autores realçaram, ligeiramente, a importância da “confiança” entre os conselheiros para que a concertação ou pactuação </w:t>
      </w:r>
      <w:r>
        <w:rPr>
          <w:rFonts w:ascii="Times New Roman" w:hAnsi="Times New Roman"/>
        </w:rPr>
        <w:t>prosperasse</w:t>
      </w:r>
      <w:r w:rsidRPr="009F7DAC">
        <w:rPr>
          <w:rFonts w:ascii="Times New Roman" w:hAnsi="Times New Roman"/>
        </w:rPr>
        <w:t xml:space="preserve">. A questão da </w:t>
      </w:r>
      <w:r>
        <w:rPr>
          <w:rFonts w:ascii="Times New Roman" w:hAnsi="Times New Roman"/>
        </w:rPr>
        <w:t>“</w:t>
      </w:r>
      <w:r w:rsidRPr="009F7DAC">
        <w:rPr>
          <w:rFonts w:ascii="Times New Roman" w:hAnsi="Times New Roman"/>
        </w:rPr>
        <w:t>confiança</w:t>
      </w:r>
      <w:r>
        <w:rPr>
          <w:rFonts w:ascii="Times New Roman" w:hAnsi="Times New Roman"/>
        </w:rPr>
        <w:t>”</w:t>
      </w:r>
      <w:r w:rsidRPr="009F7DAC">
        <w:rPr>
          <w:rFonts w:ascii="Times New Roman" w:hAnsi="Times New Roman"/>
        </w:rPr>
        <w:t xml:space="preserve"> entre diferentes </w:t>
      </w:r>
      <w:r>
        <w:rPr>
          <w:rFonts w:ascii="Times New Roman" w:hAnsi="Times New Roman"/>
        </w:rPr>
        <w:t>“</w:t>
      </w:r>
      <w:r w:rsidRPr="009F7DAC">
        <w:rPr>
          <w:rFonts w:ascii="Times New Roman" w:hAnsi="Times New Roman"/>
        </w:rPr>
        <w:t>atores</w:t>
      </w:r>
      <w:r>
        <w:rPr>
          <w:rFonts w:ascii="Times New Roman" w:hAnsi="Times New Roman"/>
        </w:rPr>
        <w:t>”</w:t>
      </w:r>
      <w:r w:rsidRPr="009F7DAC">
        <w:rPr>
          <w:rFonts w:ascii="Times New Roman" w:hAnsi="Times New Roman"/>
        </w:rPr>
        <w:t xml:space="preserve"> sociais </w:t>
      </w:r>
      <w:r>
        <w:rPr>
          <w:rFonts w:ascii="Times New Roman" w:hAnsi="Times New Roman"/>
        </w:rPr>
        <w:t>encontra lastro teórico na teoria do capital social de Francis Fukuyama e Robert Putnam, cujos conteúdos estão bem próximos do ideário massificado no Conselho. Sobre este tema ver o excelente trabalho de MOTTA, Vânia Cardoso da.</w:t>
      </w:r>
      <w:r>
        <w:rPr>
          <w:rFonts w:ascii="Times New Roman" w:hAnsi="Times New Roman"/>
          <w:i/>
        </w:rPr>
        <w:t>Ideologia do capital social</w:t>
      </w:r>
      <w:r>
        <w:rPr>
          <w:rFonts w:ascii="Times New Roman" w:hAnsi="Times New Roman"/>
        </w:rPr>
        <w:t>: atribuindo uma face mais humana ao capital. Rio de Janeiro: EdUERJ, 2012.</w:t>
      </w:r>
    </w:p>
  </w:footnote>
  <w:footnote w:id="65">
    <w:p w:rsidR="00DD31B9" w:rsidRPr="00E157B7" w:rsidRDefault="00DD31B9" w:rsidP="00582426">
      <w:pPr>
        <w:spacing w:after="0" w:line="240" w:lineRule="auto"/>
        <w:rPr>
          <w:rFonts w:ascii="Times New Roman" w:hAnsi="Times New Roman"/>
        </w:rPr>
      </w:pPr>
      <w:r w:rsidRPr="00E157B7">
        <w:rPr>
          <w:rStyle w:val="Refdenotaderodap"/>
          <w:rFonts w:ascii="Times New Roman" w:hAnsi="Times New Roman"/>
          <w:sz w:val="20"/>
          <w:szCs w:val="20"/>
        </w:rPr>
        <w:footnoteRef/>
      </w:r>
      <w:r w:rsidRPr="00E157B7">
        <w:rPr>
          <w:rFonts w:ascii="Times New Roman" w:hAnsi="Times New Roman"/>
          <w:sz w:val="20"/>
          <w:szCs w:val="20"/>
        </w:rPr>
        <w:t xml:space="preserve"> KOWARICK, Lúcio (2003). </w:t>
      </w:r>
      <w:r w:rsidRPr="00E157B7">
        <w:rPr>
          <w:rFonts w:ascii="Times New Roman" w:hAnsi="Times New Roman"/>
          <w:i/>
          <w:sz w:val="20"/>
          <w:szCs w:val="20"/>
        </w:rPr>
        <w:t>O Conselho de Desenvolvimento Econômico e Social</w:t>
      </w:r>
      <w:r w:rsidRPr="00E157B7">
        <w:rPr>
          <w:rFonts w:ascii="Times New Roman" w:hAnsi="Times New Roman"/>
          <w:sz w:val="20"/>
          <w:szCs w:val="20"/>
        </w:rPr>
        <w:t>... op. cit., p.14.</w:t>
      </w:r>
    </w:p>
  </w:footnote>
  <w:footnote w:id="66">
    <w:p w:rsidR="00DD31B9" w:rsidRPr="00E157B7" w:rsidRDefault="00DD31B9" w:rsidP="00582426">
      <w:pPr>
        <w:pStyle w:val="Textodenotaderodap"/>
        <w:rPr>
          <w:rFonts w:ascii="Times New Roman" w:hAnsi="Times New Roman"/>
        </w:rPr>
      </w:pPr>
      <w:r w:rsidRPr="00E157B7">
        <w:rPr>
          <w:rStyle w:val="Refdenotaderodap"/>
          <w:rFonts w:ascii="Times New Roman" w:hAnsi="Times New Roman"/>
        </w:rPr>
        <w:footnoteRef/>
      </w:r>
      <w:r>
        <w:rPr>
          <w:rFonts w:ascii="Times New Roman" w:hAnsi="Times New Roman"/>
        </w:rPr>
        <w:t>Idem.</w:t>
      </w:r>
    </w:p>
  </w:footnote>
  <w:footnote w:id="67">
    <w:p w:rsidR="00DD31B9" w:rsidRPr="005B1376" w:rsidRDefault="00DD31B9" w:rsidP="00582426">
      <w:pPr>
        <w:pStyle w:val="Textodenotaderodap"/>
        <w:rPr>
          <w:rFonts w:ascii="Times New Roman" w:hAnsi="Times New Roman"/>
        </w:rPr>
      </w:pPr>
      <w:r w:rsidRPr="005B1376">
        <w:rPr>
          <w:rStyle w:val="Refdenotaderodap"/>
          <w:rFonts w:ascii="Times New Roman" w:hAnsi="Times New Roman"/>
        </w:rPr>
        <w:footnoteRef/>
      </w:r>
      <w:r w:rsidRPr="005B1376">
        <w:rPr>
          <w:rFonts w:ascii="Times New Roman" w:hAnsi="Times New Roman"/>
        </w:rPr>
        <w:t xml:space="preserve"> Informações retiradas de &lt; http://ebape.fgv.br/corpo-docente/sonia-fleury&gt;. </w:t>
      </w:r>
    </w:p>
  </w:footnote>
  <w:footnote w:id="68">
    <w:p w:rsidR="00DD31B9" w:rsidRPr="00E157B7" w:rsidRDefault="00DD31B9" w:rsidP="00582426">
      <w:pPr>
        <w:pStyle w:val="Textodenotaderodap"/>
        <w:rPr>
          <w:rFonts w:ascii="Times New Roman" w:hAnsi="Times New Roman"/>
        </w:rPr>
      </w:pPr>
      <w:r w:rsidRPr="00E157B7">
        <w:rPr>
          <w:rStyle w:val="Refdenotaderodap"/>
          <w:rFonts w:ascii="Times New Roman" w:hAnsi="Times New Roman"/>
        </w:rPr>
        <w:footnoteRef/>
      </w:r>
      <w:r>
        <w:rPr>
          <w:rFonts w:ascii="Times New Roman" w:hAnsi="Times New Roman"/>
        </w:rPr>
        <w:t>FLEURY, Sonia</w:t>
      </w:r>
      <w:r w:rsidRPr="00E157B7">
        <w:rPr>
          <w:rFonts w:ascii="Times New Roman" w:hAnsi="Times New Roman"/>
        </w:rPr>
        <w:t xml:space="preserve">. O Conselho de Desenvolvimento Econômico e Social do Governo Lula – Texto entregue aos conselheiros em agosto de 2005. In: BRASIL, Secretaria de Relações Institucionais. </w:t>
      </w:r>
      <w:r w:rsidRPr="00E157B7">
        <w:rPr>
          <w:rFonts w:ascii="Times New Roman" w:hAnsi="Times New Roman"/>
          <w:i/>
        </w:rPr>
        <w:t>Reflexões sobre o CDES</w:t>
      </w:r>
      <w:r>
        <w:rPr>
          <w:rFonts w:ascii="Times New Roman" w:hAnsi="Times New Roman"/>
          <w:i/>
        </w:rPr>
        <w:t>,</w:t>
      </w:r>
      <w:r>
        <w:rPr>
          <w:rFonts w:ascii="Times New Roman" w:hAnsi="Times New Roman"/>
        </w:rPr>
        <w:t xml:space="preserve"> 2006, p. 29.</w:t>
      </w:r>
    </w:p>
  </w:footnote>
  <w:footnote w:id="69">
    <w:p w:rsidR="00DD31B9" w:rsidRPr="00E157B7" w:rsidRDefault="00DD31B9" w:rsidP="00582426">
      <w:pPr>
        <w:pStyle w:val="Textodenotaderodap"/>
        <w:rPr>
          <w:rFonts w:ascii="Times New Roman" w:hAnsi="Times New Roman"/>
        </w:rPr>
      </w:pPr>
      <w:r w:rsidRPr="00E157B7">
        <w:rPr>
          <w:rStyle w:val="Refdenotaderodap"/>
          <w:rFonts w:ascii="Times New Roman" w:hAnsi="Times New Roman"/>
        </w:rPr>
        <w:footnoteRef/>
      </w:r>
      <w:r>
        <w:rPr>
          <w:rFonts w:ascii="Times New Roman" w:hAnsi="Times New Roman"/>
        </w:rPr>
        <w:t>Idem, p. 30.</w:t>
      </w:r>
    </w:p>
  </w:footnote>
  <w:footnote w:id="70">
    <w:p w:rsidR="00DD31B9" w:rsidRPr="0071070F" w:rsidRDefault="00DD31B9" w:rsidP="00582426">
      <w:pPr>
        <w:pStyle w:val="Textodenotaderodap"/>
        <w:rPr>
          <w:rFonts w:ascii="Times New Roman" w:hAnsi="Times New Roman"/>
        </w:rPr>
      </w:pPr>
      <w:r w:rsidRPr="0071070F">
        <w:rPr>
          <w:rStyle w:val="Refdenotaderodap"/>
          <w:rFonts w:ascii="Times New Roman" w:hAnsi="Times New Roman"/>
        </w:rPr>
        <w:footnoteRef/>
      </w:r>
      <w:r w:rsidRPr="0071070F">
        <w:rPr>
          <w:rFonts w:ascii="Times New Roman" w:hAnsi="Times New Roman"/>
        </w:rPr>
        <w:t xml:space="preserve"> A primeira fase era chamada de interpelativa porque o Executivo conclamava os conselheiros a se posicionarem e negociarem soluções acerca das PECs e reformas a serem encaminhadas ao Congresso. A segunda fase, a demonstrativa, ainda em 2003, caracterizava-se “pela transformação dos conselheiros em uma plateia privilegiada” de projetos governamentais. A última fase, a de negociação, sob coordenação de Jaques Wagner, que “por sua origem sindicalista (...) [dá] mais ênfase à negociação, supondo que os conflitos podem não levar a posições consensuais” e sim negociadas, acreditava-se que “os conflitos e posições são definidos previamente e que podemos negociar e chegar a acordos (...) mas isto não representa a construção de um projeto comum ou a geração de um consenso” (idem: 33-36).</w:t>
      </w:r>
    </w:p>
  </w:footnote>
  <w:footnote w:id="71">
    <w:p w:rsidR="00DD31B9" w:rsidRPr="00E157B7" w:rsidRDefault="00DD31B9" w:rsidP="00582426">
      <w:pPr>
        <w:pStyle w:val="Textodenotaderodap"/>
        <w:rPr>
          <w:rFonts w:ascii="Times New Roman" w:hAnsi="Times New Roman"/>
        </w:rPr>
      </w:pPr>
      <w:r w:rsidRPr="00E157B7">
        <w:rPr>
          <w:rStyle w:val="Refdenotaderodap"/>
          <w:rFonts w:ascii="Times New Roman" w:hAnsi="Times New Roman"/>
        </w:rPr>
        <w:footnoteRef/>
      </w:r>
      <w:r w:rsidRPr="00E157B7">
        <w:rPr>
          <w:rFonts w:ascii="Times New Roman" w:hAnsi="Times New Roman"/>
        </w:rPr>
        <w:t xml:space="preserve"> Idem, p. 36.</w:t>
      </w:r>
    </w:p>
  </w:footnote>
  <w:footnote w:id="72">
    <w:p w:rsidR="00DD31B9" w:rsidRPr="00E157B7" w:rsidRDefault="00DD31B9" w:rsidP="00582426">
      <w:pPr>
        <w:pStyle w:val="Textodenotaderodap"/>
        <w:rPr>
          <w:rFonts w:ascii="Times New Roman" w:hAnsi="Times New Roman"/>
        </w:rPr>
      </w:pPr>
      <w:r w:rsidRPr="00E157B7">
        <w:rPr>
          <w:rStyle w:val="Refdenotaderodap"/>
          <w:rFonts w:ascii="Times New Roman" w:hAnsi="Times New Roman"/>
        </w:rPr>
        <w:footnoteRef/>
      </w:r>
      <w:r>
        <w:rPr>
          <w:rFonts w:ascii="Times New Roman" w:hAnsi="Times New Roman"/>
        </w:rPr>
        <w:t>Idem.</w:t>
      </w:r>
    </w:p>
  </w:footnote>
  <w:footnote w:id="73">
    <w:p w:rsidR="00DD31B9" w:rsidRDefault="00DD31B9" w:rsidP="005E603D">
      <w:pPr>
        <w:spacing w:after="0" w:line="240" w:lineRule="auto"/>
      </w:pPr>
      <w:r w:rsidRPr="00E157B7">
        <w:rPr>
          <w:rStyle w:val="Refdenotaderodap"/>
          <w:rFonts w:ascii="Times New Roman" w:hAnsi="Times New Roman"/>
          <w:sz w:val="20"/>
          <w:szCs w:val="20"/>
        </w:rPr>
        <w:footnoteRef/>
      </w:r>
      <w:r w:rsidRPr="00E157B7">
        <w:rPr>
          <w:rFonts w:ascii="Times New Roman" w:hAnsi="Times New Roman"/>
          <w:sz w:val="20"/>
          <w:szCs w:val="20"/>
        </w:rPr>
        <w:t xml:space="preserve"> COSTA, Vanda Maria Ribeiro. </w:t>
      </w:r>
      <w:r w:rsidRPr="00E157B7">
        <w:rPr>
          <w:rFonts w:ascii="Times New Roman" w:hAnsi="Times New Roman"/>
          <w:i/>
          <w:sz w:val="20"/>
          <w:szCs w:val="20"/>
        </w:rPr>
        <w:t>Democratização de estruturas de governo no Brasil</w:t>
      </w:r>
      <w:r w:rsidRPr="00E157B7">
        <w:rPr>
          <w:rFonts w:ascii="Times New Roman" w:hAnsi="Times New Roman"/>
          <w:sz w:val="20"/>
          <w:szCs w:val="20"/>
        </w:rPr>
        <w:t>. Trabalho apresentado no XXII Congress</w:t>
      </w:r>
      <w:r>
        <w:rPr>
          <w:rFonts w:ascii="Times New Roman" w:hAnsi="Times New Roman"/>
          <w:sz w:val="20"/>
          <w:szCs w:val="20"/>
        </w:rPr>
        <w:t>o de la FIELC, em março de 2005, p. 17.</w:t>
      </w:r>
    </w:p>
  </w:footnote>
  <w:footnote w:id="74">
    <w:p w:rsidR="00DD31B9" w:rsidRPr="00C76C4A" w:rsidRDefault="00DD31B9" w:rsidP="00582426">
      <w:pPr>
        <w:spacing w:after="0" w:line="240" w:lineRule="auto"/>
        <w:rPr>
          <w:rFonts w:ascii="Times New Roman" w:hAnsi="Times New Roman"/>
          <w:sz w:val="20"/>
          <w:szCs w:val="20"/>
        </w:rPr>
      </w:pPr>
      <w:r w:rsidRPr="00C76C4A">
        <w:rPr>
          <w:rStyle w:val="Refdenotaderodap"/>
          <w:rFonts w:ascii="Times New Roman" w:hAnsi="Times New Roman"/>
          <w:sz w:val="20"/>
          <w:szCs w:val="20"/>
        </w:rPr>
        <w:footnoteRef/>
      </w:r>
      <w:r w:rsidRPr="00C76C4A">
        <w:rPr>
          <w:rFonts w:ascii="Times New Roman" w:hAnsi="Times New Roman"/>
          <w:sz w:val="20"/>
          <w:szCs w:val="20"/>
        </w:rPr>
        <w:t xml:space="preserve"> COSTA, Vanda Maria Ribeiro. </w:t>
      </w:r>
      <w:r w:rsidRPr="00C76C4A">
        <w:rPr>
          <w:rFonts w:ascii="Times New Roman" w:hAnsi="Times New Roman"/>
          <w:i/>
          <w:sz w:val="20"/>
          <w:szCs w:val="20"/>
        </w:rPr>
        <w:t xml:space="preserve">Os conselhos do CDES: </w:t>
      </w:r>
      <w:r w:rsidRPr="00C76C4A">
        <w:rPr>
          <w:rFonts w:ascii="Times New Roman" w:hAnsi="Times New Roman"/>
          <w:sz w:val="20"/>
          <w:szCs w:val="20"/>
        </w:rPr>
        <w:t>experimento sem conclusão. Revista Insight Inteligência, 2006c, p. 150.</w:t>
      </w:r>
    </w:p>
  </w:footnote>
  <w:footnote w:id="75">
    <w:p w:rsidR="00DD31B9" w:rsidRPr="00C76C4A" w:rsidRDefault="00DD31B9" w:rsidP="00582426">
      <w:pPr>
        <w:pStyle w:val="Textodenotaderodap"/>
        <w:rPr>
          <w:rFonts w:ascii="Times New Roman" w:hAnsi="Times New Roman"/>
        </w:rPr>
      </w:pPr>
      <w:r w:rsidRPr="00C76C4A">
        <w:rPr>
          <w:rStyle w:val="Refdenotaderodap"/>
          <w:rFonts w:ascii="Times New Roman" w:hAnsi="Times New Roman"/>
        </w:rPr>
        <w:footnoteRef/>
      </w:r>
      <w:r w:rsidRPr="00C76C4A">
        <w:rPr>
          <w:rFonts w:ascii="Times New Roman" w:hAnsi="Times New Roman"/>
        </w:rPr>
        <w:t xml:space="preserve"> Idem, p. 149.</w:t>
      </w:r>
    </w:p>
  </w:footnote>
  <w:footnote w:id="76">
    <w:p w:rsidR="00DD31B9" w:rsidRPr="00C76C4A" w:rsidRDefault="00DD31B9" w:rsidP="00582426">
      <w:pPr>
        <w:pStyle w:val="Textodenotaderodap"/>
        <w:rPr>
          <w:rFonts w:ascii="Times New Roman" w:hAnsi="Times New Roman"/>
        </w:rPr>
      </w:pPr>
      <w:r w:rsidRPr="00C76C4A">
        <w:rPr>
          <w:rStyle w:val="Refdenotaderodap"/>
          <w:rFonts w:ascii="Times New Roman" w:hAnsi="Times New Roman"/>
        </w:rPr>
        <w:footnoteRef/>
      </w:r>
      <w:r w:rsidRPr="00C76C4A">
        <w:rPr>
          <w:rFonts w:ascii="Times New Roman" w:hAnsi="Times New Roman"/>
        </w:rPr>
        <w:t xml:space="preserve"> COSTA, Vanda Maria Ribeiro. </w:t>
      </w:r>
      <w:r w:rsidRPr="00C76C4A">
        <w:rPr>
          <w:rFonts w:ascii="Times New Roman" w:hAnsi="Times New Roman"/>
          <w:i/>
        </w:rPr>
        <w:t>O CDES</w:t>
      </w:r>
      <w:r w:rsidRPr="00C76C4A">
        <w:rPr>
          <w:rFonts w:ascii="Times New Roman" w:hAnsi="Times New Roman"/>
        </w:rPr>
        <w:t>: a aprendizagem do pacto. Revista Insight Inteligência, 2008, p. 1-2.</w:t>
      </w:r>
    </w:p>
  </w:footnote>
  <w:footnote w:id="77">
    <w:p w:rsidR="00DD31B9" w:rsidRPr="00C76C4A" w:rsidRDefault="00DD31B9" w:rsidP="00582426">
      <w:pPr>
        <w:pStyle w:val="Textodenotaderodap"/>
        <w:rPr>
          <w:rFonts w:ascii="Times New Roman" w:hAnsi="Times New Roman"/>
        </w:rPr>
      </w:pPr>
      <w:r w:rsidRPr="00C76C4A">
        <w:rPr>
          <w:rStyle w:val="Refdenotaderodap"/>
          <w:rFonts w:ascii="Times New Roman" w:hAnsi="Times New Roman"/>
        </w:rPr>
        <w:footnoteRef/>
      </w:r>
      <w:r w:rsidRPr="00C76C4A">
        <w:rPr>
          <w:rFonts w:ascii="Times New Roman" w:hAnsi="Times New Roman"/>
        </w:rPr>
        <w:t xml:space="preserve"> COSTA, Vanda Maria Ribeiro (2006b). </w:t>
      </w:r>
      <w:r w:rsidRPr="00C76C4A">
        <w:rPr>
          <w:rFonts w:ascii="Times New Roman" w:hAnsi="Times New Roman"/>
          <w:i/>
        </w:rPr>
        <w:t>O Conselho de Desenvolvimento Econômico e Social</w:t>
      </w:r>
      <w:r w:rsidRPr="00C76C4A">
        <w:rPr>
          <w:rFonts w:ascii="Times New Roman" w:hAnsi="Times New Roman"/>
        </w:rPr>
        <w:t>: um experimento democrático</w:t>
      </w:r>
      <w:r>
        <w:rPr>
          <w:rFonts w:ascii="Times New Roman" w:hAnsi="Times New Roman"/>
        </w:rPr>
        <w:t>, p. 02, grifos meus.</w:t>
      </w:r>
    </w:p>
  </w:footnote>
  <w:footnote w:id="78">
    <w:p w:rsidR="00DD31B9" w:rsidRPr="00A55685" w:rsidRDefault="00DD31B9" w:rsidP="00582426">
      <w:pPr>
        <w:pStyle w:val="Textodenotaderodap"/>
        <w:rPr>
          <w:rFonts w:ascii="Times New Roman" w:hAnsi="Times New Roman"/>
        </w:rPr>
      </w:pPr>
      <w:r w:rsidRPr="00A55685">
        <w:rPr>
          <w:rStyle w:val="Refdenotaderodap"/>
          <w:rFonts w:ascii="Times New Roman" w:hAnsi="Times New Roman"/>
        </w:rPr>
        <w:footnoteRef/>
      </w:r>
      <w:r w:rsidRPr="00A55685">
        <w:rPr>
          <w:rFonts w:ascii="Times New Roman" w:hAnsi="Times New Roman"/>
        </w:rPr>
        <w:t xml:space="preserve"> As Cartas de Concertação do CDES eram de documentos que procuravam enunciar, de forma sintética, não só aspectos conceituais inerentes às prioridades do desenvolvimento, como também a explicitação das questões ético-normativas necessárias ao estabelecimento de marcos graduais de construção de consensos. Foram seis Cartas de Concertação produzidas entre 2003 e 2004.</w:t>
      </w:r>
    </w:p>
  </w:footnote>
  <w:footnote w:id="79">
    <w:p w:rsidR="00DD31B9" w:rsidRPr="005E603D" w:rsidRDefault="00DD31B9">
      <w:pPr>
        <w:pStyle w:val="Textodenotaderodap"/>
        <w:rPr>
          <w:rFonts w:ascii="Times New Roman" w:hAnsi="Times New Roman"/>
        </w:rPr>
      </w:pPr>
      <w:r w:rsidRPr="005E603D">
        <w:rPr>
          <w:rStyle w:val="Refdenotaderodap"/>
          <w:rFonts w:ascii="Times New Roman" w:hAnsi="Times New Roman"/>
        </w:rPr>
        <w:footnoteRef/>
      </w:r>
      <w:r w:rsidRPr="005E603D">
        <w:rPr>
          <w:rFonts w:ascii="Times New Roman" w:hAnsi="Times New Roman"/>
        </w:rPr>
        <w:t xml:space="preserve"> MARTINS, André Silva. </w:t>
      </w:r>
      <w:r w:rsidRPr="005E603D">
        <w:rPr>
          <w:rFonts w:ascii="Times New Roman" w:hAnsi="Times New Roman"/>
          <w:i/>
        </w:rPr>
        <w:t>A direita para o social:</w:t>
      </w:r>
      <w:r w:rsidRPr="005E603D">
        <w:rPr>
          <w:rFonts w:ascii="Times New Roman" w:hAnsi="Times New Roman"/>
        </w:rPr>
        <w:t xml:space="preserve"> a educação da sociabilidade no Brasil contemporâneo. Juiz de Fora: UFJF, 2009.</w:t>
      </w:r>
    </w:p>
  </w:footnote>
  <w:footnote w:id="80">
    <w:p w:rsidR="00DD31B9" w:rsidRPr="00190945" w:rsidRDefault="00DD31B9" w:rsidP="00582426">
      <w:pPr>
        <w:pStyle w:val="Textodenotaderodap"/>
        <w:rPr>
          <w:rFonts w:ascii="Times New Roman" w:hAnsi="Times New Roman"/>
        </w:rPr>
      </w:pPr>
      <w:r w:rsidRPr="00190945">
        <w:rPr>
          <w:rStyle w:val="Refdenotaderodap"/>
          <w:rFonts w:ascii="Times New Roman" w:hAnsi="Times New Roman"/>
        </w:rPr>
        <w:footnoteRef/>
      </w:r>
      <w:r w:rsidRPr="00190945">
        <w:rPr>
          <w:rFonts w:ascii="Times New Roman" w:hAnsi="Times New Roman"/>
        </w:rPr>
        <w:t xml:space="preserve"> Dentre as empresas participantes deste Fórum, destacamos: Accenture, AES Brasil, Banco Santander, Carrefour, Fundação Itaú Social, Goodyear, IBM, Instituto Unibanco, Itaú Unibanco, Klabin, Laboratórios Pfizer, Marketing Lab, Metanóia Planeta Sustentável, Movimento Nossa São Paulo, Natura, Observatório de Sinais, Odebrecht, Serasa Experian, Yazigi Internexus. Constam no Conselho de Entidade Empresariais do Fórum: Associação Brasileira da Infraestrutura e Indústrias de Base (ABDIB), Associação Brasileira do Mercado de Limpeza Profissional (ABRALIMP), Associação Comercial de São Paulo (ACSP), Associação dos Dirigentes de Marketing e Vendas do Brasil (ADVB), Federação das Indústrias do Estado de São Paulo (</w:t>
      </w:r>
      <w:r>
        <w:rPr>
          <w:rFonts w:ascii="Times New Roman" w:hAnsi="Times New Roman"/>
        </w:rPr>
        <w:t>FIESP</w:t>
      </w:r>
      <w:r w:rsidRPr="00190945">
        <w:rPr>
          <w:rFonts w:ascii="Times New Roman" w:hAnsi="Times New Roman"/>
        </w:rPr>
        <w:t>) e Federação do Comércio de Bens, Serviços e Turismo do Estado de São Paulo (Fecomercio-SP). Disponível em http://www.forumempresarialsp.org.br&gt;. Acesso em 10/07/2012.</w:t>
      </w:r>
    </w:p>
  </w:footnote>
  <w:footnote w:id="81">
    <w:p w:rsidR="00DD31B9" w:rsidRPr="00C76C4A" w:rsidRDefault="00DD31B9" w:rsidP="00582426">
      <w:pPr>
        <w:pStyle w:val="Textodenotaderodap"/>
        <w:rPr>
          <w:rFonts w:ascii="Times New Roman" w:hAnsi="Times New Roman"/>
        </w:rPr>
      </w:pPr>
      <w:r w:rsidRPr="00C76C4A">
        <w:rPr>
          <w:rStyle w:val="Refdenotaderodap"/>
          <w:rFonts w:ascii="Times New Roman" w:hAnsi="Times New Roman"/>
        </w:rPr>
        <w:footnoteRef/>
      </w:r>
      <w:r w:rsidRPr="00C76C4A">
        <w:rPr>
          <w:rFonts w:ascii="Times New Roman" w:hAnsi="Times New Roman"/>
        </w:rPr>
        <w:t xml:space="preserve"> INSTITUTO ETHOS. </w:t>
      </w:r>
      <w:r w:rsidRPr="00C76C4A">
        <w:rPr>
          <w:rFonts w:ascii="Times New Roman" w:hAnsi="Times New Roman"/>
          <w:i/>
        </w:rPr>
        <w:t>Fórum Empresarial de Apoio ao Município</w:t>
      </w:r>
      <w:r w:rsidRPr="00C76C4A">
        <w:rPr>
          <w:rFonts w:ascii="Times New Roman" w:hAnsi="Times New Roman"/>
        </w:rPr>
        <w:t>. SP</w:t>
      </w:r>
      <w:r>
        <w:rPr>
          <w:rFonts w:ascii="Times New Roman" w:hAnsi="Times New Roman"/>
        </w:rPr>
        <w:t>: Ethos, 2005, p. 25, grifos meus.</w:t>
      </w:r>
    </w:p>
  </w:footnote>
  <w:footnote w:id="82">
    <w:p w:rsidR="00DD31B9" w:rsidRPr="00C76C4A" w:rsidRDefault="00DD31B9" w:rsidP="00582426">
      <w:pPr>
        <w:pStyle w:val="Textodenotaderodap"/>
        <w:rPr>
          <w:rFonts w:ascii="Times New Roman" w:hAnsi="Times New Roman"/>
        </w:rPr>
      </w:pPr>
      <w:r w:rsidRPr="00C76C4A">
        <w:rPr>
          <w:rStyle w:val="Refdenotaderodap"/>
          <w:rFonts w:ascii="Times New Roman" w:hAnsi="Times New Roman"/>
        </w:rPr>
        <w:footnoteRef/>
      </w:r>
      <w:r>
        <w:rPr>
          <w:rFonts w:ascii="Times New Roman" w:hAnsi="Times New Roman"/>
        </w:rPr>
        <w:t>Idem, p. 08, grifos meus.</w:t>
      </w:r>
    </w:p>
  </w:footnote>
  <w:footnote w:id="83">
    <w:p w:rsidR="00DD31B9" w:rsidRPr="00D057DA" w:rsidRDefault="00DD31B9" w:rsidP="00582426">
      <w:pPr>
        <w:pStyle w:val="Textodenotaderodap"/>
        <w:rPr>
          <w:rFonts w:ascii="Times New Roman" w:hAnsi="Times New Roman"/>
        </w:rPr>
      </w:pPr>
      <w:r w:rsidRPr="00D057DA">
        <w:rPr>
          <w:rStyle w:val="Refdenotaderodap"/>
          <w:rFonts w:ascii="Times New Roman" w:hAnsi="Times New Roman"/>
        </w:rPr>
        <w:footnoteRef/>
      </w:r>
      <w:r>
        <w:rPr>
          <w:rFonts w:ascii="Times New Roman" w:hAnsi="Times New Roman"/>
        </w:rPr>
        <w:t xml:space="preserve">POULANTZAS, Nicos. </w:t>
      </w:r>
      <w:r>
        <w:rPr>
          <w:rFonts w:ascii="Times New Roman" w:hAnsi="Times New Roman"/>
          <w:i/>
        </w:rPr>
        <w:t xml:space="preserve">O Poder, o Estado e o Socialismo. </w:t>
      </w:r>
      <w:r>
        <w:rPr>
          <w:rFonts w:ascii="Times New Roman" w:hAnsi="Times New Roman"/>
        </w:rPr>
        <w:t xml:space="preserve">Op. Cit. p. </w:t>
      </w:r>
      <w:r w:rsidRPr="00D057DA">
        <w:rPr>
          <w:rFonts w:ascii="Times New Roman" w:hAnsi="Times New Roman"/>
        </w:rPr>
        <w:t>151.</w:t>
      </w:r>
    </w:p>
  </w:footnote>
  <w:footnote w:id="84">
    <w:p w:rsidR="00DD31B9" w:rsidRPr="00C76C4A" w:rsidRDefault="00DD31B9" w:rsidP="00582426">
      <w:pPr>
        <w:autoSpaceDE w:val="0"/>
        <w:autoSpaceDN w:val="0"/>
        <w:adjustRightInd w:val="0"/>
        <w:spacing w:line="240" w:lineRule="auto"/>
        <w:jc w:val="both"/>
        <w:rPr>
          <w:rFonts w:ascii="Times New Roman" w:hAnsi="Times New Roman"/>
          <w:sz w:val="20"/>
          <w:szCs w:val="20"/>
        </w:rPr>
      </w:pPr>
      <w:r w:rsidRPr="00C76C4A">
        <w:rPr>
          <w:rStyle w:val="Refdenotaderodap"/>
          <w:rFonts w:ascii="Times New Roman" w:hAnsi="Times New Roman"/>
          <w:sz w:val="20"/>
          <w:szCs w:val="20"/>
        </w:rPr>
        <w:footnoteRef/>
      </w:r>
      <w:r w:rsidRPr="00C76C4A">
        <w:rPr>
          <w:rFonts w:ascii="Times New Roman" w:hAnsi="Times New Roman"/>
          <w:sz w:val="20"/>
          <w:szCs w:val="20"/>
        </w:rPr>
        <w:t xml:space="preserve"> GENRO, Tarso. Democratizar as relações entre governo e sociedade. In: CORREA, Jaime Montalvo (et al). </w:t>
      </w:r>
      <w:r w:rsidRPr="00C76C4A">
        <w:rPr>
          <w:rFonts w:ascii="Times New Roman" w:hAnsi="Times New Roman"/>
          <w:i/>
          <w:sz w:val="20"/>
          <w:szCs w:val="20"/>
        </w:rPr>
        <w:t>Novos espaços democráticos</w:t>
      </w:r>
      <w:r w:rsidRPr="00C76C4A">
        <w:rPr>
          <w:rFonts w:ascii="Times New Roman" w:hAnsi="Times New Roman"/>
          <w:sz w:val="20"/>
          <w:szCs w:val="20"/>
        </w:rPr>
        <w:t xml:space="preserve">: diálogo social no Brasil e a experiência da Espanha. </w:t>
      </w:r>
      <w:r>
        <w:rPr>
          <w:rFonts w:ascii="Times New Roman" w:hAnsi="Times New Roman"/>
          <w:sz w:val="20"/>
          <w:szCs w:val="20"/>
        </w:rPr>
        <w:t>São Paulo: Perseu Abramo, 2003a, p. 101, grifos meus.</w:t>
      </w:r>
    </w:p>
  </w:footnote>
  <w:footnote w:id="85">
    <w:p w:rsidR="00DD31B9" w:rsidRPr="00DE2F1C" w:rsidRDefault="00DD31B9" w:rsidP="00CE3680">
      <w:pPr>
        <w:pStyle w:val="Textodenotaderodap"/>
        <w:rPr>
          <w:rFonts w:ascii="Times New Roman" w:hAnsi="Times New Roman"/>
        </w:rPr>
      </w:pPr>
      <w:r w:rsidRPr="00DE2F1C">
        <w:rPr>
          <w:rStyle w:val="Refdenotaderodap"/>
          <w:rFonts w:ascii="Times New Roman" w:hAnsi="Times New Roman"/>
        </w:rPr>
        <w:footnoteRef/>
      </w:r>
      <w:r>
        <w:rPr>
          <w:rFonts w:ascii="Times New Roman" w:hAnsi="Times New Roman"/>
        </w:rPr>
        <w:t>Ver inciso I, a</w:t>
      </w:r>
      <w:r w:rsidRPr="00414613">
        <w:rPr>
          <w:rFonts w:ascii="Times New Roman" w:hAnsi="Times New Roman"/>
        </w:rPr>
        <w:t>rtigo 30</w:t>
      </w:r>
      <w:r>
        <w:rPr>
          <w:rFonts w:ascii="Times New Roman" w:hAnsi="Times New Roman"/>
        </w:rPr>
        <w:t xml:space="preserve">; </w:t>
      </w:r>
      <w:r w:rsidRPr="00414613">
        <w:rPr>
          <w:rFonts w:ascii="Times New Roman" w:hAnsi="Times New Roman"/>
        </w:rPr>
        <w:t>§</w:t>
      </w:r>
      <w:r>
        <w:rPr>
          <w:rFonts w:ascii="Times New Roman" w:hAnsi="Times New Roman"/>
        </w:rPr>
        <w:t>1º do</w:t>
      </w:r>
      <w:r w:rsidRPr="00414613">
        <w:rPr>
          <w:rFonts w:ascii="Times New Roman" w:hAnsi="Times New Roman"/>
        </w:rPr>
        <w:t xml:space="preserve"> artigo I </w:t>
      </w:r>
      <w:r>
        <w:rPr>
          <w:rFonts w:ascii="Times New Roman" w:hAnsi="Times New Roman"/>
        </w:rPr>
        <w:t xml:space="preserve">e inciso II, </w:t>
      </w:r>
      <w:r w:rsidRPr="00414613">
        <w:rPr>
          <w:rFonts w:ascii="Times New Roman" w:hAnsi="Times New Roman"/>
        </w:rPr>
        <w:t>§</w:t>
      </w:r>
      <w:r>
        <w:rPr>
          <w:rFonts w:ascii="Times New Roman" w:hAnsi="Times New Roman"/>
        </w:rPr>
        <w:t>3º do artigo 1º</w:t>
      </w:r>
      <w:r w:rsidRPr="00414613">
        <w:rPr>
          <w:rFonts w:ascii="Times New Roman" w:hAnsi="Times New Roman"/>
        </w:rPr>
        <w:t xml:space="preserve"> da lei 10683/03.</w:t>
      </w:r>
    </w:p>
  </w:footnote>
  <w:footnote w:id="86">
    <w:p w:rsidR="00DD31B9" w:rsidRPr="00EF615E" w:rsidRDefault="00DD31B9" w:rsidP="00CE3680">
      <w:pPr>
        <w:spacing w:after="0" w:line="240" w:lineRule="auto"/>
        <w:rPr>
          <w:rFonts w:ascii="Times New Roman" w:hAnsi="Times New Roman"/>
        </w:rPr>
      </w:pPr>
      <w:r w:rsidRPr="00EF615E">
        <w:rPr>
          <w:rStyle w:val="Refdenotaderodap"/>
          <w:rFonts w:ascii="Times New Roman" w:hAnsi="Times New Roman"/>
          <w:sz w:val="20"/>
          <w:szCs w:val="20"/>
        </w:rPr>
        <w:footnoteRef/>
      </w:r>
      <w:r w:rsidRPr="00EF615E">
        <w:rPr>
          <w:rFonts w:ascii="Times New Roman" w:hAnsi="Times New Roman"/>
          <w:sz w:val="20"/>
          <w:szCs w:val="20"/>
        </w:rPr>
        <w:t xml:space="preserve"> GARCIA, Ronaldo C. O CDES e a construção da Agenda Nacional de Desenvolvimento: um relato particular. In CARDOSO JR., José Celso, SANTOS, José Celso e ALENCAR, Joana. </w:t>
      </w:r>
      <w:r w:rsidRPr="00EF615E">
        <w:rPr>
          <w:rFonts w:ascii="Times New Roman" w:hAnsi="Times New Roman"/>
          <w:i/>
          <w:sz w:val="20"/>
          <w:szCs w:val="20"/>
        </w:rPr>
        <w:t xml:space="preserve">Diálogos para o desenvolvimento: </w:t>
      </w:r>
      <w:r w:rsidRPr="00EF615E">
        <w:rPr>
          <w:rFonts w:ascii="Times New Roman" w:hAnsi="Times New Roman"/>
          <w:sz w:val="20"/>
          <w:szCs w:val="20"/>
        </w:rPr>
        <w:t>a experiência do Conselho de Desenvolvimento Econômico e Social sob o governo Lul</w:t>
      </w:r>
      <w:r>
        <w:rPr>
          <w:rFonts w:ascii="Times New Roman" w:hAnsi="Times New Roman"/>
          <w:sz w:val="20"/>
          <w:szCs w:val="20"/>
        </w:rPr>
        <w:t>a. Brasília: IPEA, vol. 2, 2010, p. 44.</w:t>
      </w:r>
    </w:p>
  </w:footnote>
  <w:footnote w:id="87">
    <w:p w:rsidR="00DD31B9" w:rsidRPr="00EF615E" w:rsidRDefault="00DD31B9" w:rsidP="00CE3680">
      <w:pPr>
        <w:pStyle w:val="Textodenotaderodap"/>
        <w:rPr>
          <w:rFonts w:ascii="Times New Roman" w:hAnsi="Times New Roman"/>
        </w:rPr>
      </w:pPr>
      <w:r w:rsidRPr="00EF615E">
        <w:rPr>
          <w:rStyle w:val="Refdenotaderodap"/>
          <w:rFonts w:ascii="Times New Roman" w:hAnsi="Times New Roman"/>
        </w:rPr>
        <w:footnoteRef/>
      </w:r>
      <w:r w:rsidRPr="00EF615E">
        <w:rPr>
          <w:rFonts w:ascii="Times New Roman" w:hAnsi="Times New Roman"/>
        </w:rPr>
        <w:t xml:space="preserve"> KOWARICK, Lúcio. </w:t>
      </w:r>
      <w:r w:rsidRPr="00EF615E">
        <w:rPr>
          <w:rFonts w:ascii="Times New Roman" w:hAnsi="Times New Roman"/>
          <w:i/>
        </w:rPr>
        <w:t>O Conselho de Desenvolvimento Econômico e Social</w:t>
      </w:r>
      <w:r w:rsidRPr="00EF615E">
        <w:rPr>
          <w:rFonts w:ascii="Times New Roman" w:hAnsi="Times New Roman"/>
        </w:rPr>
        <w:t>: um processo em construção.</w:t>
      </w:r>
      <w:r>
        <w:rPr>
          <w:rFonts w:ascii="Times New Roman" w:hAnsi="Times New Roman"/>
        </w:rPr>
        <w:t xml:space="preserve"> Brasília: Sedes, 2003, p. 9.</w:t>
      </w:r>
    </w:p>
  </w:footnote>
  <w:footnote w:id="88">
    <w:p w:rsidR="00DD31B9" w:rsidRPr="00EF615E" w:rsidRDefault="00DD31B9" w:rsidP="00CE3680">
      <w:pPr>
        <w:pStyle w:val="Textodenotaderodap"/>
        <w:rPr>
          <w:rFonts w:ascii="Times New Roman" w:hAnsi="Times New Roman"/>
        </w:rPr>
      </w:pPr>
      <w:r w:rsidRPr="00EF615E">
        <w:rPr>
          <w:rStyle w:val="Refdenotaderodap"/>
          <w:rFonts w:ascii="Times New Roman" w:hAnsi="Times New Roman"/>
        </w:rPr>
        <w:footnoteRef/>
      </w:r>
      <w:r w:rsidRPr="00EF615E">
        <w:rPr>
          <w:rFonts w:ascii="Times New Roman" w:hAnsi="Times New Roman"/>
        </w:rPr>
        <w:t xml:space="preserve"> GARCIA, Ronaldo C</w:t>
      </w:r>
      <w:r>
        <w:rPr>
          <w:rFonts w:ascii="Times New Roman" w:hAnsi="Times New Roman"/>
        </w:rPr>
        <w:t>.</w:t>
      </w:r>
      <w:r w:rsidRPr="00EF615E">
        <w:rPr>
          <w:rFonts w:ascii="Times New Roman" w:hAnsi="Times New Roman"/>
        </w:rPr>
        <w:t xml:space="preserve"> O CDES e a construção da Agenda Nacional de Desenvolvimento</w:t>
      </w:r>
      <w:r>
        <w:rPr>
          <w:rFonts w:ascii="Times New Roman" w:hAnsi="Times New Roman"/>
        </w:rPr>
        <w:t>... Op. cit., p. 45.</w:t>
      </w:r>
    </w:p>
  </w:footnote>
  <w:footnote w:id="89">
    <w:p w:rsidR="00DD31B9" w:rsidRPr="00CE3680" w:rsidRDefault="00DD31B9" w:rsidP="00CE3680">
      <w:pPr>
        <w:pStyle w:val="Textodenotaderodap"/>
        <w:rPr>
          <w:rFonts w:ascii="Times New Roman" w:hAnsi="Times New Roman"/>
        </w:rPr>
      </w:pPr>
      <w:r w:rsidRPr="00CE3680">
        <w:rPr>
          <w:rStyle w:val="Refdenotaderodap"/>
          <w:rFonts w:ascii="Times New Roman" w:hAnsi="Times New Roman"/>
        </w:rPr>
        <w:footnoteRef/>
      </w:r>
      <w:r w:rsidRPr="00CE3680">
        <w:rPr>
          <w:rFonts w:ascii="Times New Roman" w:hAnsi="Times New Roman"/>
        </w:rPr>
        <w:t xml:space="preserve"> Secretaria Especial do Conselho de Desenvolvimento Econômico e Social. </w:t>
      </w:r>
      <w:r w:rsidRPr="00CE3680">
        <w:rPr>
          <w:rFonts w:ascii="Times New Roman" w:hAnsi="Times New Roman"/>
          <w:i/>
        </w:rPr>
        <w:t xml:space="preserve">Termo de Referência para a Formação da Secretaria Especial do Conselho de Desenvolvimento Econômico e Social (SEDES) e do Conselho de Desenvolvimento Econômico e Social (CDES). </w:t>
      </w:r>
      <w:r w:rsidRPr="00CE3680">
        <w:rPr>
          <w:rFonts w:ascii="Times New Roman" w:hAnsi="Times New Roman"/>
        </w:rPr>
        <w:t>Brasilia: 2003a.</w:t>
      </w:r>
    </w:p>
  </w:footnote>
  <w:footnote w:id="90">
    <w:p w:rsidR="00DD31B9" w:rsidRPr="00CE3680" w:rsidRDefault="00DD31B9" w:rsidP="00CE3680">
      <w:pPr>
        <w:pStyle w:val="Textodenotaderodap"/>
        <w:rPr>
          <w:rFonts w:ascii="Times New Roman" w:hAnsi="Times New Roman"/>
        </w:rPr>
      </w:pPr>
      <w:r w:rsidRPr="00CE3680">
        <w:rPr>
          <w:rStyle w:val="Refdenotaderodap"/>
          <w:rFonts w:ascii="Times New Roman" w:hAnsi="Times New Roman"/>
        </w:rPr>
        <w:footnoteRef/>
      </w:r>
      <w:r w:rsidRPr="00CE3680">
        <w:rPr>
          <w:rFonts w:ascii="Times New Roman" w:hAnsi="Times New Roman"/>
        </w:rPr>
        <w:t xml:space="preserve"> Cf. Lei 10.683/03, artigo 8º, §1º, incisos I, II e III, combinado com informações de Garcia, op. cit., p. 44-45. O Decr</w:t>
      </w:r>
      <w:r>
        <w:rPr>
          <w:rFonts w:ascii="Times New Roman" w:hAnsi="Times New Roman"/>
        </w:rPr>
        <w:t xml:space="preserve">eto encontra-se disponível em </w:t>
      </w:r>
      <w:r w:rsidRPr="00791543">
        <w:rPr>
          <w:rFonts w:ascii="Times New Roman" w:hAnsi="Times New Roman"/>
        </w:rPr>
        <w:t>&lt;</w:t>
      </w:r>
      <w:hyperlink r:id="rId1" w:history="1">
        <w:r w:rsidRPr="00791543">
          <w:rPr>
            <w:rStyle w:val="Hyperlink"/>
            <w:rFonts w:ascii="Times New Roman" w:hAnsi="Times New Roman"/>
            <w:color w:val="auto"/>
            <w:u w:val="none"/>
          </w:rPr>
          <w:t>http://www.planalto.gov.br/ccivil_03/leis/2003/l10.683</w:t>
        </w:r>
      </w:hyperlink>
      <w:r w:rsidRPr="00CE3680">
        <w:rPr>
          <w:rFonts w:ascii="Times New Roman" w:hAnsi="Times New Roman"/>
        </w:rPr>
        <w:t>.</w:t>
      </w:r>
    </w:p>
    <w:p w:rsidR="00DD31B9" w:rsidRPr="00CE3680" w:rsidRDefault="00DD31B9" w:rsidP="00CE3680">
      <w:pPr>
        <w:pStyle w:val="Textodenotaderodap"/>
        <w:rPr>
          <w:rFonts w:ascii="Times New Roman" w:hAnsi="Times New Roman"/>
        </w:rPr>
      </w:pPr>
      <w:r w:rsidRPr="00CE3680">
        <w:rPr>
          <w:rFonts w:ascii="Times New Roman" w:hAnsi="Times New Roman"/>
        </w:rPr>
        <w:t>htm&gt;.</w:t>
      </w:r>
    </w:p>
  </w:footnote>
  <w:footnote w:id="91">
    <w:p w:rsidR="00DD31B9" w:rsidRPr="00EF615E" w:rsidRDefault="00DD31B9" w:rsidP="00CE3680">
      <w:pPr>
        <w:pStyle w:val="Textodenotaderodap"/>
        <w:rPr>
          <w:rFonts w:ascii="Times New Roman" w:hAnsi="Times New Roman"/>
        </w:rPr>
      </w:pPr>
      <w:r w:rsidRPr="00EF615E">
        <w:rPr>
          <w:rStyle w:val="Refdenotaderodap"/>
          <w:rFonts w:ascii="Times New Roman" w:hAnsi="Times New Roman"/>
        </w:rPr>
        <w:footnoteRef/>
      </w:r>
      <w:r>
        <w:rPr>
          <w:rFonts w:ascii="Times New Roman" w:hAnsi="Times New Roman"/>
        </w:rPr>
        <w:t>Disponível em &lt;</w:t>
      </w:r>
      <w:r w:rsidRPr="00EF615E">
        <w:rPr>
          <w:rFonts w:ascii="Times New Roman" w:hAnsi="Times New Roman"/>
        </w:rPr>
        <w:t>http://www.planalto.gov.br/ccivil_03/decreto/2003/D4744a.htm</w:t>
      </w:r>
      <w:r>
        <w:rPr>
          <w:rFonts w:ascii="Times New Roman" w:hAnsi="Times New Roman"/>
        </w:rPr>
        <w:t>&gt; . Grifos meus.</w:t>
      </w:r>
    </w:p>
  </w:footnote>
  <w:footnote w:id="92">
    <w:p w:rsidR="00DD31B9" w:rsidRPr="00EF615E" w:rsidRDefault="00DD31B9" w:rsidP="00CE3680">
      <w:pPr>
        <w:pStyle w:val="Textodenotaderodap"/>
        <w:rPr>
          <w:rFonts w:ascii="Times New Roman" w:hAnsi="Times New Roman"/>
        </w:rPr>
      </w:pPr>
      <w:r w:rsidRPr="00EF615E">
        <w:rPr>
          <w:rStyle w:val="Refdenotaderodap"/>
          <w:rFonts w:ascii="Times New Roman" w:hAnsi="Times New Roman"/>
        </w:rPr>
        <w:footnoteRef/>
      </w:r>
      <w:r w:rsidRPr="00EF615E">
        <w:rPr>
          <w:rFonts w:ascii="Times New Roman" w:hAnsi="Times New Roman"/>
        </w:rPr>
        <w:t xml:space="preserve"> KOWARICK, Lúcio. </w:t>
      </w:r>
      <w:r w:rsidRPr="00EF615E">
        <w:rPr>
          <w:rFonts w:ascii="Times New Roman" w:hAnsi="Times New Roman"/>
          <w:i/>
        </w:rPr>
        <w:t>O Conselho de Desenvolvimento Econômico e Social</w:t>
      </w:r>
      <w:r>
        <w:rPr>
          <w:rFonts w:ascii="Times New Roman" w:hAnsi="Times New Roman"/>
        </w:rPr>
        <w:t>: um processo em construção... Op. cit., p. 05.</w:t>
      </w:r>
    </w:p>
  </w:footnote>
  <w:footnote w:id="93">
    <w:p w:rsidR="00DD31B9" w:rsidRPr="00791543" w:rsidRDefault="00DD31B9" w:rsidP="00791543">
      <w:pPr>
        <w:pStyle w:val="Textodenotaderodap"/>
        <w:rPr>
          <w:rFonts w:ascii="Times New Roman" w:hAnsi="Times New Roman"/>
        </w:rPr>
      </w:pPr>
      <w:r w:rsidRPr="00791543">
        <w:rPr>
          <w:rStyle w:val="Refdenotaderodap"/>
          <w:rFonts w:ascii="Times New Roman" w:hAnsi="Times New Roman"/>
        </w:rPr>
        <w:footnoteRef/>
      </w:r>
      <w:r>
        <w:rPr>
          <w:rFonts w:ascii="Times New Roman" w:hAnsi="Times New Roman"/>
        </w:rPr>
        <w:t xml:space="preserve">Disponível em </w:t>
      </w:r>
      <w:r w:rsidRPr="00791543">
        <w:rPr>
          <w:rFonts w:ascii="Times New Roman" w:hAnsi="Times New Roman"/>
        </w:rPr>
        <w:t>&lt;</w:t>
      </w:r>
      <w:hyperlink r:id="rId2" w:history="1">
        <w:r w:rsidRPr="00791543">
          <w:rPr>
            <w:rStyle w:val="Hyperlink"/>
            <w:rFonts w:ascii="Times New Roman" w:hAnsi="Times New Roman"/>
            <w:color w:val="auto"/>
            <w:u w:val="none"/>
          </w:rPr>
          <w:t>http://www.planalto.gov.br/ccivil_03/leis/2003/l10.683</w:t>
        </w:r>
      </w:hyperlink>
      <w:r w:rsidRPr="00CE3680">
        <w:rPr>
          <w:rFonts w:ascii="Times New Roman" w:hAnsi="Times New Roman"/>
        </w:rPr>
        <w:t>.htm&gt;</w:t>
      </w:r>
      <w:r>
        <w:rPr>
          <w:rFonts w:ascii="Times New Roman" w:hAnsi="Times New Roman"/>
        </w:rPr>
        <w:t>. Acesso 08/03/2015.</w:t>
      </w:r>
    </w:p>
  </w:footnote>
  <w:footnote w:id="94">
    <w:p w:rsidR="00DD31B9" w:rsidRPr="00791543" w:rsidRDefault="00DD31B9" w:rsidP="00791543">
      <w:pPr>
        <w:spacing w:after="0" w:line="240" w:lineRule="auto"/>
        <w:rPr>
          <w:rFonts w:ascii="Times New Roman" w:hAnsi="Times New Roman"/>
        </w:rPr>
      </w:pPr>
      <w:r w:rsidRPr="00CE3680">
        <w:rPr>
          <w:rStyle w:val="Refdenotaderodap"/>
          <w:rFonts w:ascii="Times New Roman" w:hAnsi="Times New Roman"/>
          <w:sz w:val="20"/>
          <w:szCs w:val="20"/>
        </w:rPr>
        <w:footnoteRef/>
      </w:r>
      <w:r w:rsidRPr="00CE3680">
        <w:rPr>
          <w:rFonts w:ascii="Times New Roman" w:hAnsi="Times New Roman"/>
          <w:sz w:val="20"/>
          <w:szCs w:val="20"/>
        </w:rPr>
        <w:t xml:space="preserve"> Jornal Folha de São Paulo, 15 de maio de 2003.  “INSS divulga lista com 176 mil devedores”. Reportagem de Marta Salomon. Disponível em &lt;</w:t>
      </w:r>
      <w:hyperlink r:id="rId3" w:history="1">
        <w:r w:rsidRPr="00A12C41">
          <w:rPr>
            <w:rStyle w:val="Hyperlink"/>
            <w:rFonts w:ascii="Times New Roman" w:hAnsi="Times New Roman"/>
            <w:color w:val="auto"/>
            <w:sz w:val="20"/>
            <w:szCs w:val="20"/>
            <w:u w:val="none"/>
          </w:rPr>
          <w:t>http://www1.folha.uol.com.br/fsp/brasil /fc1505200321.htm</w:t>
        </w:r>
      </w:hyperlink>
      <w:r w:rsidRPr="00CE3680">
        <w:rPr>
          <w:rFonts w:ascii="Times New Roman" w:hAnsi="Times New Roman"/>
          <w:sz w:val="20"/>
          <w:szCs w:val="20"/>
        </w:rPr>
        <w:t>&gt;. Acesso em 20/11/2012; Ver toda a lista em</w:t>
      </w:r>
      <w:r w:rsidRPr="00791543">
        <w:rPr>
          <w:rFonts w:ascii="Times New Roman" w:hAnsi="Times New Roman"/>
          <w:sz w:val="20"/>
          <w:szCs w:val="20"/>
        </w:rPr>
        <w:t>&lt;</w:t>
      </w:r>
      <w:hyperlink r:id="rId4" w:history="1">
        <w:r w:rsidRPr="00791543">
          <w:rPr>
            <w:rStyle w:val="Hyperlink"/>
            <w:rFonts w:ascii="Times New Roman" w:hAnsi="Times New Roman"/>
            <w:color w:val="auto"/>
            <w:sz w:val="20"/>
            <w:szCs w:val="20"/>
            <w:u w:val="none"/>
          </w:rPr>
          <w:t>http://www.migalhas.com.br/arquivo_artigo/Lista%20de%20Devedores%20da% 20Dívida%20Ativa%20do%20INSS.htm</w:t>
        </w:r>
      </w:hyperlink>
      <w:r w:rsidRPr="00791543">
        <w:rPr>
          <w:rFonts w:ascii="Times New Roman" w:hAnsi="Times New Roman"/>
          <w:sz w:val="20"/>
          <w:szCs w:val="20"/>
        </w:rPr>
        <w:t>&gt;.</w:t>
      </w:r>
    </w:p>
  </w:footnote>
  <w:footnote w:id="95">
    <w:p w:rsidR="00DD31B9" w:rsidRPr="00791543" w:rsidRDefault="00DD31B9" w:rsidP="00791543">
      <w:pPr>
        <w:pStyle w:val="Textodenotaderodap"/>
        <w:rPr>
          <w:rFonts w:ascii="Times New Roman" w:hAnsi="Times New Roman"/>
        </w:rPr>
      </w:pPr>
      <w:r w:rsidRPr="00791543">
        <w:rPr>
          <w:rStyle w:val="Refdenotaderodap"/>
          <w:rFonts w:ascii="Times New Roman" w:hAnsi="Times New Roman"/>
        </w:rPr>
        <w:footnoteRef/>
      </w:r>
      <w:r>
        <w:rPr>
          <w:rFonts w:ascii="Times New Roman" w:hAnsi="Times New Roman"/>
        </w:rPr>
        <w:t xml:space="preserve">Disponível em </w:t>
      </w:r>
      <w:r w:rsidRPr="00791543">
        <w:rPr>
          <w:rFonts w:ascii="Times New Roman" w:hAnsi="Times New Roman"/>
        </w:rPr>
        <w:t>&lt;</w:t>
      </w:r>
      <w:hyperlink r:id="rId5" w:history="1">
        <w:r w:rsidRPr="00791543">
          <w:rPr>
            <w:rStyle w:val="Hyperlink"/>
            <w:rFonts w:ascii="Times New Roman" w:hAnsi="Times New Roman"/>
            <w:color w:val="auto"/>
            <w:u w:val="none"/>
          </w:rPr>
          <w:t>http://www.planalto.gov.br/ccivil_03/leis/2003/l10.683</w:t>
        </w:r>
      </w:hyperlink>
      <w:r w:rsidRPr="00791543">
        <w:rPr>
          <w:rFonts w:ascii="Times New Roman" w:hAnsi="Times New Roman"/>
        </w:rPr>
        <w:t>.htm&gt;</w:t>
      </w:r>
      <w:r>
        <w:rPr>
          <w:rFonts w:ascii="Times New Roman" w:hAnsi="Times New Roman"/>
        </w:rPr>
        <w:t>. Acesso 08/03/2015.</w:t>
      </w:r>
    </w:p>
  </w:footnote>
  <w:footnote w:id="96">
    <w:p w:rsidR="00DD31B9" w:rsidRPr="004535D9" w:rsidRDefault="00DD31B9" w:rsidP="00CE3680">
      <w:pPr>
        <w:pStyle w:val="Textodenotaderodap"/>
        <w:rPr>
          <w:rFonts w:ascii="Times New Roman" w:hAnsi="Times New Roman"/>
        </w:rPr>
      </w:pPr>
      <w:r w:rsidRPr="004535D9">
        <w:rPr>
          <w:rStyle w:val="Refdenotaderodap"/>
          <w:rFonts w:ascii="Times New Roman" w:hAnsi="Times New Roman"/>
        </w:rPr>
        <w:footnoteRef/>
      </w:r>
      <w:r w:rsidRPr="004535D9">
        <w:rPr>
          <w:rFonts w:ascii="Times New Roman" w:hAnsi="Times New Roman"/>
        </w:rPr>
        <w:t xml:space="preserve"> Entrevista </w:t>
      </w:r>
      <w:r>
        <w:rPr>
          <w:rFonts w:ascii="Times New Roman" w:hAnsi="Times New Roman"/>
        </w:rPr>
        <w:t xml:space="preserve">concedidapor Tarso Genro </w:t>
      </w:r>
      <w:r w:rsidRPr="004535D9">
        <w:rPr>
          <w:rFonts w:ascii="Times New Roman" w:hAnsi="Times New Roman"/>
        </w:rPr>
        <w:t>ao Jornal Autonomia</w:t>
      </w:r>
      <w:r>
        <w:rPr>
          <w:rFonts w:ascii="Times New Roman" w:hAnsi="Times New Roman"/>
        </w:rPr>
        <w:t xml:space="preserve"> em nov/dez. de 2003</w:t>
      </w:r>
      <w:r w:rsidRPr="004535D9">
        <w:rPr>
          <w:rFonts w:ascii="Times New Roman" w:hAnsi="Times New Roman"/>
        </w:rPr>
        <w:t>, reproduzida no site do Sindicato dos Trabalhadores em Processamento de Dados e Empregados de empresas de Processamento de Dados do Estado de São Paulo (Sindpd). Disponível em &lt;http://www.sindpd.org.br/artigos/entrevistasPrint.asp?id=3&gt;. Acesso em 30/08/2010.</w:t>
      </w:r>
    </w:p>
  </w:footnote>
  <w:footnote w:id="97">
    <w:p w:rsidR="00DD31B9" w:rsidRPr="008522BD" w:rsidRDefault="00DD31B9" w:rsidP="00CE3680">
      <w:pPr>
        <w:pStyle w:val="Textodenotaderodap"/>
        <w:rPr>
          <w:rFonts w:ascii="Times New Roman" w:hAnsi="Times New Roman"/>
        </w:rPr>
      </w:pPr>
      <w:r w:rsidRPr="008522BD">
        <w:rPr>
          <w:rStyle w:val="Refdenotaderodap"/>
          <w:rFonts w:ascii="Times New Roman" w:hAnsi="Times New Roman"/>
        </w:rPr>
        <w:footnoteRef/>
      </w:r>
      <w:r>
        <w:rPr>
          <w:rFonts w:ascii="Times New Roman" w:hAnsi="Times New Roman"/>
        </w:rPr>
        <w:t>Retirado em &lt;http://www.cdes.gov.br/conteudo/41/o-que-e-o-cdes.html&gt;. Acesso 29/12/2013. Uma reflexão mais aprofundada sobre a “concertação social” no CDES será realizada no capítulo 3.</w:t>
      </w:r>
    </w:p>
  </w:footnote>
  <w:footnote w:id="98">
    <w:p w:rsidR="00DD31B9" w:rsidRDefault="00DD31B9">
      <w:pPr>
        <w:pStyle w:val="Textodenotaderodap"/>
      </w:pPr>
      <w:r>
        <w:rPr>
          <w:rStyle w:val="Refdenotaderodap"/>
        </w:rPr>
        <w:footnoteRef/>
      </w:r>
      <w:r w:rsidRPr="00D621CB">
        <w:rPr>
          <w:rFonts w:ascii="Times New Roman" w:hAnsi="Times New Roman"/>
        </w:rPr>
        <w:t>Disponível em &lt;http://www.sindpd.org.br/artigos/entrevistasPrint.asp?id=3&gt;</w:t>
      </w:r>
      <w:r>
        <w:rPr>
          <w:rFonts w:ascii="Times New Roman" w:hAnsi="Times New Roman"/>
        </w:rPr>
        <w:t>.</w:t>
      </w:r>
    </w:p>
  </w:footnote>
  <w:footnote w:id="99">
    <w:p w:rsidR="00DD31B9" w:rsidRPr="00814B92" w:rsidRDefault="00DD31B9" w:rsidP="00CE3680">
      <w:pPr>
        <w:pStyle w:val="Textodenotaderodap"/>
        <w:rPr>
          <w:rFonts w:ascii="Times New Roman" w:hAnsi="Times New Roman"/>
        </w:rPr>
      </w:pPr>
      <w:r w:rsidRPr="00814B92">
        <w:rPr>
          <w:rStyle w:val="Refdenotaderodap"/>
          <w:rFonts w:ascii="Times New Roman" w:hAnsi="Times New Roman"/>
        </w:rPr>
        <w:footnoteRef/>
      </w:r>
      <w:r w:rsidRPr="00814B92">
        <w:rPr>
          <w:rFonts w:ascii="Times New Roman" w:hAnsi="Times New Roman"/>
        </w:rPr>
        <w:t xml:space="preserve"> Apreendi esta dinâmica de através de </w:t>
      </w:r>
      <w:r w:rsidRPr="00E02AE8">
        <w:rPr>
          <w:rFonts w:ascii="Times New Roman" w:hAnsi="Times New Roman"/>
        </w:rPr>
        <w:t xml:space="preserve">COSTA, Vanda Maria Ribeiro. </w:t>
      </w:r>
      <w:r w:rsidRPr="00E02AE8">
        <w:rPr>
          <w:rFonts w:ascii="Times New Roman" w:hAnsi="Times New Roman"/>
          <w:i/>
        </w:rPr>
        <w:t>O Conselho de Desenvolvimento Econômico e Social</w:t>
      </w:r>
      <w:r>
        <w:rPr>
          <w:rFonts w:ascii="Times New Roman" w:hAnsi="Times New Roman"/>
        </w:rPr>
        <w:t xml:space="preserve">: um experimento democrático., p. 05. </w:t>
      </w:r>
      <w:r w:rsidRPr="00E02AE8">
        <w:rPr>
          <w:rFonts w:ascii="Times New Roman" w:hAnsi="Times New Roman"/>
        </w:rPr>
        <w:t xml:space="preserve">Disponível em: &lt;www.cdes.gov.br&gt;. </w:t>
      </w:r>
      <w:r>
        <w:rPr>
          <w:rFonts w:ascii="Times New Roman" w:hAnsi="Times New Roman"/>
        </w:rPr>
        <w:t>e</w:t>
      </w:r>
      <w:r w:rsidRPr="00814B92">
        <w:rPr>
          <w:rFonts w:ascii="Times New Roman" w:hAnsi="Times New Roman"/>
        </w:rPr>
        <w:t>da leitura de algumas Atas de Reuniões Plenárias.</w:t>
      </w:r>
    </w:p>
  </w:footnote>
  <w:footnote w:id="100">
    <w:p w:rsidR="00DD31B9" w:rsidRDefault="00DD31B9" w:rsidP="0059455D">
      <w:pPr>
        <w:spacing w:after="0"/>
      </w:pPr>
      <w:r w:rsidRPr="008D6738">
        <w:rPr>
          <w:rStyle w:val="Refdenotaderodap"/>
          <w:rFonts w:ascii="Times New Roman" w:hAnsi="Times New Roman"/>
          <w:sz w:val="20"/>
          <w:szCs w:val="20"/>
        </w:rPr>
        <w:footnoteRef/>
      </w:r>
      <w:r w:rsidRPr="008D6738">
        <w:rPr>
          <w:rFonts w:ascii="Times New Roman" w:hAnsi="Times New Roman"/>
          <w:sz w:val="20"/>
          <w:szCs w:val="20"/>
        </w:rPr>
        <w:t xml:space="preserve"> Disponível em &lt;http://www1.folha.uol.com.br/fsp/brasil/fc1402200302.htm&gt;</w:t>
      </w:r>
      <w:r>
        <w:rPr>
          <w:rFonts w:ascii="Times New Roman" w:hAnsi="Times New Roman"/>
          <w:sz w:val="20"/>
          <w:szCs w:val="20"/>
        </w:rPr>
        <w:t>. Acesso em 11/01/2014.</w:t>
      </w:r>
    </w:p>
  </w:footnote>
  <w:footnote w:id="101">
    <w:p w:rsidR="00DD31B9" w:rsidRPr="00E02AE8" w:rsidRDefault="00DD31B9" w:rsidP="00CE3680">
      <w:pPr>
        <w:pStyle w:val="Textodenotaderodap"/>
        <w:rPr>
          <w:rFonts w:ascii="Times New Roman" w:hAnsi="Times New Roman"/>
        </w:rPr>
      </w:pPr>
      <w:r w:rsidRPr="00E02AE8">
        <w:rPr>
          <w:rStyle w:val="Refdenotaderodap"/>
          <w:rFonts w:ascii="Times New Roman" w:hAnsi="Times New Roman"/>
        </w:rPr>
        <w:footnoteRef/>
      </w:r>
      <w:r w:rsidRPr="00E02AE8">
        <w:rPr>
          <w:rFonts w:ascii="Times New Roman" w:hAnsi="Times New Roman"/>
        </w:rPr>
        <w:t xml:space="preserve"> FLEURY, Sonia (2006). </w:t>
      </w:r>
      <w:r w:rsidRPr="00E02AE8">
        <w:rPr>
          <w:rFonts w:ascii="Times New Roman" w:hAnsi="Times New Roman"/>
          <w:i/>
        </w:rPr>
        <w:t>O Conselho de Desenvolvimento Econômico e Social do Governo Lula</w:t>
      </w:r>
      <w:r w:rsidRPr="00E02AE8">
        <w:rPr>
          <w:rFonts w:ascii="Times New Roman" w:hAnsi="Times New Roman"/>
        </w:rPr>
        <w:t xml:space="preserve"> – Texto entregue aos conselheiros em agosto de 2005. In: BRASIL, Secretaria de Relações Institucionais. </w:t>
      </w:r>
      <w:r w:rsidRPr="00E02AE8">
        <w:rPr>
          <w:rFonts w:ascii="Times New Roman" w:hAnsi="Times New Roman"/>
          <w:i/>
        </w:rPr>
        <w:t>Reflexões sobre o CDES.</w:t>
      </w:r>
      <w:r>
        <w:rPr>
          <w:rFonts w:ascii="Times New Roman" w:hAnsi="Times New Roman"/>
        </w:rPr>
        <w:t>p. 33.</w:t>
      </w:r>
    </w:p>
  </w:footnote>
  <w:footnote w:id="102">
    <w:p w:rsidR="00DD31B9" w:rsidRPr="00A12C41" w:rsidRDefault="00DD31B9">
      <w:pPr>
        <w:pStyle w:val="Textodenotaderodap"/>
        <w:rPr>
          <w:rFonts w:ascii="Times New Roman" w:hAnsi="Times New Roman"/>
        </w:rPr>
      </w:pPr>
      <w:r w:rsidRPr="00A12C41">
        <w:rPr>
          <w:rStyle w:val="Refdenotaderodap"/>
          <w:rFonts w:ascii="Times New Roman" w:hAnsi="Times New Roman"/>
        </w:rPr>
        <w:footnoteRef/>
      </w:r>
      <w:r>
        <w:rPr>
          <w:rFonts w:ascii="Times New Roman" w:hAnsi="Times New Roman"/>
        </w:rPr>
        <w:t>Sobre estas reflexões agradeço os comentários feitos pela Profª Sonia Regina de Mendonça.</w:t>
      </w:r>
    </w:p>
  </w:footnote>
  <w:footnote w:id="103">
    <w:p w:rsidR="00DD31B9" w:rsidRPr="006E1AE0" w:rsidRDefault="00DD31B9" w:rsidP="00CE3680">
      <w:pPr>
        <w:spacing w:after="0" w:line="240" w:lineRule="auto"/>
        <w:rPr>
          <w:rFonts w:ascii="Times New Roman" w:hAnsi="Times New Roman"/>
          <w:sz w:val="20"/>
          <w:szCs w:val="20"/>
        </w:rPr>
      </w:pPr>
      <w:r w:rsidRPr="006E1AE0">
        <w:rPr>
          <w:rStyle w:val="Refdenotaderodap"/>
          <w:rFonts w:ascii="Times New Roman" w:hAnsi="Times New Roman"/>
          <w:sz w:val="20"/>
          <w:szCs w:val="20"/>
        </w:rPr>
        <w:footnoteRef/>
      </w:r>
      <w:r w:rsidRPr="006E1AE0">
        <w:rPr>
          <w:rFonts w:ascii="Times New Roman" w:hAnsi="Times New Roman"/>
          <w:sz w:val="20"/>
          <w:szCs w:val="20"/>
        </w:rPr>
        <w:t xml:space="preserve"> KUNRATH, Romerio Jair. </w:t>
      </w:r>
      <w:r w:rsidRPr="006E1AE0">
        <w:rPr>
          <w:rFonts w:ascii="Times New Roman" w:hAnsi="Times New Roman"/>
          <w:i/>
          <w:sz w:val="20"/>
          <w:szCs w:val="20"/>
        </w:rPr>
        <w:t>Os Conselhos Econômicos e Sociais em perspectiva comparada</w:t>
      </w:r>
      <w:r w:rsidRPr="006E1AE0">
        <w:rPr>
          <w:rFonts w:ascii="Times New Roman" w:hAnsi="Times New Roman"/>
          <w:sz w:val="20"/>
          <w:szCs w:val="20"/>
        </w:rPr>
        <w:t>: os casos da Espanha e do Brasil. Tese de doutorado, Porto Alegre: UFRGS, 2012</w:t>
      </w:r>
      <w:r>
        <w:rPr>
          <w:rFonts w:ascii="Times New Roman" w:hAnsi="Times New Roman"/>
          <w:sz w:val="20"/>
          <w:szCs w:val="20"/>
        </w:rPr>
        <w:t>, p. 146.</w:t>
      </w:r>
    </w:p>
  </w:footnote>
  <w:footnote w:id="104">
    <w:p w:rsidR="00DD31B9" w:rsidRPr="00085EDC" w:rsidRDefault="00DD31B9" w:rsidP="00CE3680">
      <w:pPr>
        <w:pStyle w:val="Textodenotaderodap"/>
        <w:rPr>
          <w:rFonts w:ascii="Times New Roman" w:hAnsi="Times New Roman"/>
        </w:rPr>
      </w:pPr>
      <w:r w:rsidRPr="00085EDC">
        <w:rPr>
          <w:rStyle w:val="Refdenotaderodap"/>
          <w:rFonts w:ascii="Times New Roman" w:hAnsi="Times New Roman"/>
        </w:rPr>
        <w:footnoteRef/>
      </w:r>
      <w:r w:rsidRPr="00085EDC">
        <w:rPr>
          <w:rFonts w:ascii="Times New Roman" w:hAnsi="Times New Roman"/>
        </w:rPr>
        <w:t xml:space="preserve"> A</w:t>
      </w:r>
      <w:r>
        <w:rPr>
          <w:rFonts w:ascii="Times New Roman" w:hAnsi="Times New Roman"/>
        </w:rPr>
        <w:t>té a 6ª reunião plenária asA</w:t>
      </w:r>
      <w:r w:rsidRPr="00085EDC">
        <w:rPr>
          <w:rFonts w:ascii="Times New Roman" w:hAnsi="Times New Roman"/>
        </w:rPr>
        <w:t>tas eram produzidas a partir d</w:t>
      </w:r>
      <w:r>
        <w:rPr>
          <w:rFonts w:ascii="Times New Roman" w:hAnsi="Times New Roman"/>
        </w:rPr>
        <w:t xml:space="preserve">e um relato </w:t>
      </w:r>
      <w:r w:rsidRPr="00085EDC">
        <w:rPr>
          <w:rFonts w:ascii="Times New Roman" w:hAnsi="Times New Roman"/>
        </w:rPr>
        <w:t>da fala dos emissores e não a</w:t>
      </w:r>
      <w:r>
        <w:rPr>
          <w:rFonts w:ascii="Times New Roman" w:hAnsi="Times New Roman"/>
        </w:rPr>
        <w:t xml:space="preserve"> transcrição da</w:t>
      </w:r>
      <w:r w:rsidRPr="00085EDC">
        <w:rPr>
          <w:rFonts w:ascii="Times New Roman" w:hAnsi="Times New Roman"/>
        </w:rPr>
        <w:t xml:space="preserve"> fala propriamente dita.</w:t>
      </w:r>
    </w:p>
  </w:footnote>
  <w:footnote w:id="105">
    <w:p w:rsidR="00DD31B9" w:rsidRPr="00F421D1" w:rsidRDefault="00DD31B9">
      <w:pPr>
        <w:pStyle w:val="Textodenotaderodap"/>
        <w:rPr>
          <w:rFonts w:ascii="Times New Roman" w:hAnsi="Times New Roman"/>
        </w:rPr>
      </w:pPr>
      <w:r w:rsidRPr="00F421D1">
        <w:rPr>
          <w:rStyle w:val="Refdenotaderodap"/>
          <w:rFonts w:ascii="Times New Roman" w:hAnsi="Times New Roman"/>
        </w:rPr>
        <w:footnoteRef/>
      </w:r>
      <w:r>
        <w:rPr>
          <w:rFonts w:ascii="Times New Roman" w:hAnsi="Times New Roman"/>
        </w:rPr>
        <w:t>Ata da 6ªReunião Plenária, 11/03/2004, p. 10 e 12. Todas as atas das reuniões plenárias do CDES encontram-se disponíveis em &lt;</w:t>
      </w:r>
      <w:r w:rsidRPr="00F421D1">
        <w:rPr>
          <w:rFonts w:ascii="Times New Roman" w:hAnsi="Times New Roman"/>
        </w:rPr>
        <w:t>http://www.cdes.gov.br/evento/realizados/tipo/64/</w:t>
      </w:r>
      <w:r>
        <w:rPr>
          <w:rFonts w:ascii="Times New Roman" w:hAnsi="Times New Roman"/>
        </w:rPr>
        <w:t>&gt;. Acesso em 30/04/2015.</w:t>
      </w:r>
    </w:p>
  </w:footnote>
  <w:footnote w:id="106">
    <w:p w:rsidR="00DD31B9" w:rsidRPr="009F1FCC" w:rsidRDefault="00DD31B9" w:rsidP="00CE3680">
      <w:pPr>
        <w:pStyle w:val="Textodenotaderodap"/>
        <w:rPr>
          <w:rFonts w:ascii="Times New Roman" w:hAnsi="Times New Roman"/>
        </w:rPr>
      </w:pPr>
      <w:r w:rsidRPr="009F1FCC">
        <w:rPr>
          <w:rStyle w:val="Refdenotaderodap"/>
          <w:rFonts w:ascii="Times New Roman" w:hAnsi="Times New Roman"/>
        </w:rPr>
        <w:footnoteRef/>
      </w:r>
      <w:r w:rsidRPr="009F1FCC">
        <w:rPr>
          <w:rFonts w:ascii="Times New Roman" w:hAnsi="Times New Roman"/>
        </w:rPr>
        <w:t xml:space="preserve"> Retirado de &lt;http://www.cdes.gov.br/conteudo/8508/funcionamento-do-conselho.html&gt;. </w:t>
      </w:r>
      <w:r>
        <w:rPr>
          <w:rFonts w:ascii="Times New Roman" w:hAnsi="Times New Roman"/>
        </w:rPr>
        <w:t xml:space="preserve"> Acesso 29/12/2013.</w:t>
      </w:r>
    </w:p>
  </w:footnote>
  <w:footnote w:id="107">
    <w:p w:rsidR="00DD31B9" w:rsidRPr="00554FDF" w:rsidRDefault="00DD31B9" w:rsidP="00CE3680">
      <w:pPr>
        <w:pStyle w:val="Textodenotaderodap"/>
        <w:rPr>
          <w:rFonts w:ascii="Times New Roman" w:hAnsi="Times New Roman"/>
        </w:rPr>
      </w:pPr>
      <w:r w:rsidRPr="00554FDF">
        <w:rPr>
          <w:rStyle w:val="Refdenotaderodap"/>
          <w:rFonts w:ascii="Times New Roman" w:hAnsi="Times New Roman"/>
        </w:rPr>
        <w:footnoteRef/>
      </w:r>
      <w:r>
        <w:rPr>
          <w:rFonts w:ascii="Times New Roman" w:hAnsi="Times New Roman"/>
        </w:rPr>
        <w:t>Retirado de &lt;</w:t>
      </w:r>
      <w:r w:rsidRPr="00554FDF">
        <w:rPr>
          <w:rFonts w:ascii="Times New Roman" w:hAnsi="Times New Roman"/>
        </w:rPr>
        <w:t>http://www.cdes.gov.br/conteudo/44/secretaria-do-conselho-de-desenvolvimento-economico-e-social-sedes.html</w:t>
      </w:r>
      <w:r>
        <w:rPr>
          <w:rFonts w:ascii="Times New Roman" w:hAnsi="Times New Roman"/>
        </w:rPr>
        <w:t>&gt;. Acesso 29/12/2013.</w:t>
      </w:r>
    </w:p>
  </w:footnote>
  <w:footnote w:id="108">
    <w:p w:rsidR="00DD31B9" w:rsidRPr="006E1AE0" w:rsidRDefault="00DD31B9" w:rsidP="00CE3680">
      <w:pPr>
        <w:pStyle w:val="Textodenotaderodap"/>
        <w:rPr>
          <w:rFonts w:ascii="Times New Roman" w:hAnsi="Times New Roman"/>
        </w:rPr>
      </w:pPr>
      <w:r w:rsidRPr="006E1AE0">
        <w:rPr>
          <w:rStyle w:val="Refdenotaderodap"/>
          <w:rFonts w:ascii="Times New Roman" w:hAnsi="Times New Roman"/>
        </w:rPr>
        <w:footnoteRef/>
      </w:r>
      <w:r>
        <w:rPr>
          <w:rFonts w:ascii="Times New Roman" w:hAnsi="Times New Roman"/>
        </w:rPr>
        <w:t>SEDES</w:t>
      </w:r>
      <w:r w:rsidRPr="006E1AE0">
        <w:rPr>
          <w:rFonts w:ascii="Times New Roman" w:hAnsi="Times New Roman"/>
        </w:rPr>
        <w:t xml:space="preserve">. </w:t>
      </w:r>
      <w:r w:rsidRPr="006E1AE0">
        <w:rPr>
          <w:rFonts w:ascii="Times New Roman" w:hAnsi="Times New Roman"/>
          <w:i/>
        </w:rPr>
        <w:t>Termo de Referência para a Formação da Secretaria Especial do Conselho de Desenvolvim</w:t>
      </w:r>
      <w:r>
        <w:rPr>
          <w:rFonts w:ascii="Times New Roman" w:hAnsi="Times New Roman"/>
          <w:i/>
        </w:rPr>
        <w:t>ento Econômico e Social (SEDES)</w:t>
      </w:r>
      <w:r>
        <w:rPr>
          <w:rFonts w:ascii="Times New Roman" w:hAnsi="Times New Roman"/>
        </w:rPr>
        <w:t>. Op. cit.</w:t>
      </w:r>
    </w:p>
  </w:footnote>
  <w:footnote w:id="109">
    <w:p w:rsidR="00DD31B9" w:rsidRPr="006E1AE0" w:rsidRDefault="00DD31B9" w:rsidP="00CE3680">
      <w:pPr>
        <w:pStyle w:val="Textodenotaderodap"/>
        <w:rPr>
          <w:rFonts w:ascii="Times New Roman" w:hAnsi="Times New Roman"/>
        </w:rPr>
      </w:pPr>
      <w:r w:rsidRPr="006E1AE0">
        <w:rPr>
          <w:rStyle w:val="Refdenotaderodap"/>
          <w:rFonts w:ascii="Times New Roman" w:hAnsi="Times New Roman"/>
        </w:rPr>
        <w:footnoteRef/>
      </w:r>
      <w:r>
        <w:rPr>
          <w:rFonts w:ascii="Times New Roman" w:hAnsi="Times New Roman"/>
        </w:rPr>
        <w:t>Idem.</w:t>
      </w:r>
    </w:p>
  </w:footnote>
  <w:footnote w:id="110">
    <w:p w:rsidR="00DD31B9" w:rsidRPr="006E1AE0" w:rsidRDefault="00DD31B9" w:rsidP="00CE3680">
      <w:pPr>
        <w:pStyle w:val="Textodenotaderodap"/>
        <w:rPr>
          <w:rFonts w:ascii="Times New Roman" w:hAnsi="Times New Roman"/>
        </w:rPr>
      </w:pPr>
      <w:r w:rsidRPr="006E1AE0">
        <w:rPr>
          <w:rStyle w:val="Refdenotaderodap"/>
          <w:rFonts w:ascii="Times New Roman" w:hAnsi="Times New Roman"/>
        </w:rPr>
        <w:footnoteRef/>
      </w:r>
      <w:r>
        <w:rPr>
          <w:rFonts w:ascii="Times New Roman" w:hAnsi="Times New Roman"/>
        </w:rPr>
        <w:t>Idem.</w:t>
      </w:r>
    </w:p>
  </w:footnote>
  <w:footnote w:id="111">
    <w:p w:rsidR="00DD31B9" w:rsidRPr="006E1AE0" w:rsidRDefault="00DD31B9" w:rsidP="00CE3680">
      <w:pPr>
        <w:pStyle w:val="Textodenotaderodap"/>
        <w:rPr>
          <w:rFonts w:ascii="Times New Roman" w:hAnsi="Times New Roman"/>
        </w:rPr>
      </w:pPr>
      <w:r w:rsidRPr="006E1AE0">
        <w:rPr>
          <w:rStyle w:val="Refdenotaderodap"/>
          <w:rFonts w:ascii="Times New Roman" w:hAnsi="Times New Roman"/>
        </w:rPr>
        <w:footnoteRef/>
      </w:r>
      <w:r>
        <w:rPr>
          <w:rFonts w:ascii="Times New Roman" w:hAnsi="Times New Roman"/>
        </w:rPr>
        <w:t>Idem.</w:t>
      </w:r>
    </w:p>
  </w:footnote>
  <w:footnote w:id="112">
    <w:p w:rsidR="00DD31B9" w:rsidRPr="000E1FB5" w:rsidRDefault="00DD31B9" w:rsidP="00CE3680">
      <w:pPr>
        <w:pStyle w:val="Textodenotaderodap"/>
        <w:rPr>
          <w:rFonts w:ascii="Times New Roman" w:hAnsi="Times New Roman"/>
        </w:rPr>
      </w:pPr>
      <w:r w:rsidRPr="000E1FB5">
        <w:rPr>
          <w:rStyle w:val="Refdenotaderodap"/>
          <w:rFonts w:ascii="Times New Roman" w:hAnsi="Times New Roman"/>
        </w:rPr>
        <w:footnoteRef/>
      </w:r>
      <w:r w:rsidRPr="000E1FB5">
        <w:rPr>
          <w:rFonts w:ascii="Times New Roman" w:hAnsi="Times New Roman"/>
        </w:rPr>
        <w:t xml:space="preserve"> §</w:t>
      </w:r>
      <w:r>
        <w:rPr>
          <w:rFonts w:ascii="Times New Roman" w:hAnsi="Times New Roman"/>
        </w:rPr>
        <w:t xml:space="preserve">1º, artigo 5º do Decreto 4.744/03. </w:t>
      </w:r>
    </w:p>
  </w:footnote>
  <w:footnote w:id="113">
    <w:p w:rsidR="00DD31B9" w:rsidRPr="00CB3B21" w:rsidRDefault="00DD31B9" w:rsidP="00CE3680">
      <w:pPr>
        <w:pStyle w:val="Textodenotaderodap"/>
        <w:rPr>
          <w:rFonts w:ascii="Times New Roman" w:hAnsi="Times New Roman"/>
          <w:lang w:val="en-US"/>
        </w:rPr>
      </w:pPr>
      <w:r>
        <w:rPr>
          <w:rStyle w:val="Refdenotaderodap"/>
        </w:rPr>
        <w:footnoteRef/>
      </w:r>
      <w:r>
        <w:rPr>
          <w:rFonts w:ascii="Times New Roman" w:hAnsi="Times New Roman"/>
        </w:rPr>
        <w:t>Disponível em &lt;</w:t>
      </w:r>
      <w:r w:rsidRPr="006262E7">
        <w:rPr>
          <w:rFonts w:ascii="Times New Roman" w:hAnsi="Times New Roman"/>
        </w:rPr>
        <w:t>http://www.relacoesinstitucionais.gov.br/sedes&gt;. Acesso em 15/09/2010.</w:t>
      </w:r>
      <w:r>
        <w:rPr>
          <w:rFonts w:ascii="Times New Roman" w:hAnsi="Times New Roman"/>
        </w:rPr>
        <w:t xml:space="preserve"> No governo Dilma Rousseff, a SEDES foi transferida da Secretaria das Relações Institucionais para a Secretaria de Assuntos Estratégicos da Presidência da República, conforme consta no Decreto 7465 de 25/05/2011. </w:t>
      </w:r>
      <w:r w:rsidRPr="00CB3B21">
        <w:rPr>
          <w:rFonts w:ascii="Times New Roman" w:hAnsi="Times New Roman"/>
          <w:lang w:val="en-US"/>
        </w:rPr>
        <w:t>Cf. http://www.planalto.gov.br/ccivil_03/_Ato2011-2014/2011/Decreto/D7465.htm</w:t>
      </w:r>
      <w:r>
        <w:rPr>
          <w:rFonts w:ascii="Times New Roman" w:hAnsi="Times New Roman"/>
          <w:lang w:val="en-US"/>
        </w:rPr>
        <w:t xml:space="preserve">. </w:t>
      </w:r>
    </w:p>
  </w:footnote>
  <w:footnote w:id="114">
    <w:p w:rsidR="00DD31B9" w:rsidRPr="006E1AE0" w:rsidRDefault="00DD31B9" w:rsidP="00CE3680">
      <w:pPr>
        <w:pStyle w:val="Textodenotaderodap"/>
        <w:rPr>
          <w:rFonts w:ascii="Times New Roman" w:hAnsi="Times New Roman"/>
        </w:rPr>
      </w:pPr>
      <w:r w:rsidRPr="006E1AE0">
        <w:rPr>
          <w:rStyle w:val="Refdenotaderodap"/>
          <w:rFonts w:ascii="Times New Roman" w:hAnsi="Times New Roman"/>
        </w:rPr>
        <w:footnoteRef/>
      </w:r>
      <w:r w:rsidRPr="006E1AE0">
        <w:rPr>
          <w:rFonts w:ascii="Times New Roman" w:hAnsi="Times New Roman"/>
        </w:rPr>
        <w:t xml:space="preserve"> RIBEIRO, Daniela M. De Franco. </w:t>
      </w:r>
      <w:r w:rsidRPr="006E1AE0">
        <w:rPr>
          <w:rFonts w:ascii="Times New Roman" w:hAnsi="Times New Roman"/>
          <w:i/>
        </w:rPr>
        <w:t>A construção institucional do CDES</w:t>
      </w:r>
      <w:r w:rsidRPr="006E1AE0">
        <w:rPr>
          <w:rFonts w:ascii="Times New Roman" w:hAnsi="Times New Roman"/>
        </w:rPr>
        <w:t>: uma dinâmica favorável ao desenvolvimento?. Recife: 2010</w:t>
      </w:r>
      <w:r>
        <w:rPr>
          <w:rFonts w:ascii="Times New Roman" w:hAnsi="Times New Roman"/>
        </w:rPr>
        <w:t>, p. 14.</w:t>
      </w:r>
    </w:p>
  </w:footnote>
  <w:footnote w:id="115">
    <w:p w:rsidR="00DD31B9" w:rsidRPr="00DE52F6" w:rsidRDefault="00DD31B9" w:rsidP="00CE3680">
      <w:pPr>
        <w:spacing w:after="0" w:line="240" w:lineRule="auto"/>
        <w:rPr>
          <w:rFonts w:ascii="Times New Roman" w:hAnsi="Times New Roman"/>
          <w:sz w:val="20"/>
          <w:szCs w:val="20"/>
        </w:rPr>
      </w:pPr>
      <w:r w:rsidRPr="00DE52F6">
        <w:rPr>
          <w:rStyle w:val="Refdenotaderodap"/>
          <w:rFonts w:ascii="Times New Roman" w:hAnsi="Times New Roman"/>
          <w:sz w:val="20"/>
          <w:szCs w:val="20"/>
        </w:rPr>
        <w:footnoteRef/>
      </w:r>
      <w:r w:rsidRPr="00DE52F6">
        <w:rPr>
          <w:rFonts w:ascii="Times New Roman" w:hAnsi="Times New Roman"/>
          <w:sz w:val="20"/>
          <w:szCs w:val="20"/>
        </w:rPr>
        <w:t xml:space="preserve"> DE TONI, Jackson. </w:t>
      </w:r>
      <w:r w:rsidRPr="00DE52F6">
        <w:rPr>
          <w:rFonts w:ascii="Times New Roman" w:hAnsi="Times New Roman"/>
          <w:i/>
          <w:sz w:val="20"/>
          <w:szCs w:val="20"/>
        </w:rPr>
        <w:t>Novos arranjos institucionais na política industrial do governo LULA</w:t>
      </w:r>
      <w:r w:rsidRPr="00DE52F6">
        <w:rPr>
          <w:rFonts w:ascii="Times New Roman" w:hAnsi="Times New Roman"/>
          <w:sz w:val="20"/>
          <w:szCs w:val="20"/>
        </w:rPr>
        <w:t>: a força das novas ideias e dos empreendedores políticos. Tese de doutorado em Ciência Política, Brasília: UnB, 201</w:t>
      </w:r>
      <w:r>
        <w:rPr>
          <w:rFonts w:ascii="Times New Roman" w:hAnsi="Times New Roman"/>
          <w:sz w:val="20"/>
          <w:szCs w:val="20"/>
        </w:rPr>
        <w:t>3, p. 250.</w:t>
      </w:r>
    </w:p>
  </w:footnote>
  <w:footnote w:id="116">
    <w:p w:rsidR="00DD31B9" w:rsidRPr="00DE52F6" w:rsidRDefault="00DD31B9" w:rsidP="00CE3680">
      <w:pPr>
        <w:autoSpaceDE w:val="0"/>
        <w:autoSpaceDN w:val="0"/>
        <w:adjustRightInd w:val="0"/>
        <w:spacing w:after="0" w:line="240" w:lineRule="auto"/>
        <w:rPr>
          <w:rFonts w:ascii="Times New Roman" w:hAnsi="Times New Roman"/>
          <w:sz w:val="20"/>
          <w:szCs w:val="20"/>
        </w:rPr>
      </w:pPr>
      <w:r w:rsidRPr="00DE52F6">
        <w:rPr>
          <w:rStyle w:val="Refdenotaderodap"/>
          <w:rFonts w:ascii="Times New Roman" w:hAnsi="Times New Roman"/>
          <w:sz w:val="20"/>
          <w:szCs w:val="20"/>
        </w:rPr>
        <w:footnoteRef/>
      </w:r>
      <w:r w:rsidRPr="00DE52F6">
        <w:rPr>
          <w:rFonts w:ascii="Times New Roman" w:hAnsi="Times New Roman"/>
          <w:sz w:val="20"/>
          <w:szCs w:val="20"/>
        </w:rPr>
        <w:t xml:space="preserve"> COSTA, Paulo Maurício Teixeira da.</w:t>
      </w:r>
      <w:r w:rsidRPr="00DE52F6">
        <w:rPr>
          <w:rFonts w:ascii="Times New Roman" w:hAnsi="Times New Roman"/>
          <w:i/>
          <w:sz w:val="20"/>
          <w:szCs w:val="20"/>
        </w:rPr>
        <w:t xml:space="preserve">Coordenação política, governança e governabilidade: </w:t>
      </w:r>
      <w:r w:rsidRPr="00DE52F6">
        <w:rPr>
          <w:rFonts w:ascii="Times New Roman" w:hAnsi="Times New Roman"/>
          <w:sz w:val="20"/>
          <w:szCs w:val="20"/>
        </w:rPr>
        <w:t>o papel da Secretaria de Relações Institucionais da Presidência da República. XI Congresso Internacional del CLAD sobre la Reforma Del Estado y de la Administración Pública, Ciudad de Guatemala, 2006</w:t>
      </w:r>
      <w:r>
        <w:rPr>
          <w:rFonts w:ascii="Times New Roman" w:hAnsi="Times New Roman"/>
          <w:sz w:val="20"/>
          <w:szCs w:val="20"/>
        </w:rPr>
        <w:t>a, p. 03, grifos meus.</w:t>
      </w:r>
    </w:p>
    <w:p w:rsidR="00DD31B9" w:rsidRDefault="00DD31B9" w:rsidP="00CE3680">
      <w:pPr>
        <w:pStyle w:val="Textodenotaderodap"/>
      </w:pPr>
    </w:p>
  </w:footnote>
  <w:footnote w:id="117">
    <w:p w:rsidR="00DD31B9" w:rsidRDefault="00DD31B9">
      <w:pPr>
        <w:pStyle w:val="Textodenotaderodap"/>
      </w:pPr>
      <w:r>
        <w:rPr>
          <w:rStyle w:val="Refdenotaderodap"/>
        </w:rPr>
        <w:footnoteRef/>
      </w:r>
      <w:r w:rsidRPr="00EF615E">
        <w:rPr>
          <w:rFonts w:ascii="Times New Roman" w:hAnsi="Times New Roman"/>
        </w:rPr>
        <w:t>GARCIA, Ronaldo C. O CDES e a construção da Age</w:t>
      </w:r>
      <w:r>
        <w:rPr>
          <w:rFonts w:ascii="Times New Roman" w:hAnsi="Times New Roman"/>
        </w:rPr>
        <w:t>nda Nacional de Desenvolvimento... Op. cit., p. 110.</w:t>
      </w:r>
    </w:p>
  </w:footnote>
  <w:footnote w:id="118">
    <w:p w:rsidR="00DD31B9" w:rsidRPr="00C63C88" w:rsidRDefault="00DD31B9" w:rsidP="00765A8B">
      <w:pPr>
        <w:autoSpaceDE w:val="0"/>
        <w:autoSpaceDN w:val="0"/>
        <w:adjustRightInd w:val="0"/>
        <w:spacing w:after="0" w:line="240" w:lineRule="auto"/>
        <w:rPr>
          <w:rFonts w:ascii="Times New Roman" w:hAnsi="Times New Roman"/>
          <w:sz w:val="20"/>
          <w:szCs w:val="20"/>
        </w:rPr>
      </w:pPr>
      <w:r w:rsidRPr="00E8480C">
        <w:rPr>
          <w:rStyle w:val="Refdenotaderodap"/>
          <w:rFonts w:ascii="Times New Roman" w:hAnsi="Times New Roman"/>
          <w:sz w:val="20"/>
          <w:szCs w:val="20"/>
        </w:rPr>
        <w:footnoteRef/>
      </w:r>
      <w:r>
        <w:rPr>
          <w:rFonts w:ascii="Times New Roman" w:hAnsi="Times New Roman"/>
          <w:sz w:val="20"/>
          <w:szCs w:val="20"/>
        </w:rPr>
        <w:t xml:space="preserve">Secretaria de Relações Institucionais, Secretaria do Conselho de Desenvolvimento Econômico e Social. </w:t>
      </w:r>
      <w:r>
        <w:rPr>
          <w:rFonts w:ascii="Times New Roman" w:hAnsi="Times New Roman"/>
          <w:i/>
          <w:sz w:val="20"/>
          <w:szCs w:val="20"/>
        </w:rPr>
        <w:t>Relatório de Atividades 2007</w:t>
      </w:r>
      <w:r>
        <w:rPr>
          <w:rFonts w:ascii="Times New Roman" w:hAnsi="Times New Roman"/>
          <w:sz w:val="20"/>
          <w:szCs w:val="20"/>
        </w:rPr>
        <w:t>. Brasília: p. 45.</w:t>
      </w:r>
    </w:p>
  </w:footnote>
  <w:footnote w:id="119">
    <w:p w:rsidR="00DD31B9" w:rsidRPr="00B537D2" w:rsidRDefault="00DD31B9">
      <w:pPr>
        <w:pStyle w:val="Textodenotaderodap"/>
      </w:pPr>
      <w:r>
        <w:rPr>
          <w:rStyle w:val="Refdenotaderodap"/>
        </w:rPr>
        <w:footnoteRef/>
      </w:r>
      <w:r>
        <w:rPr>
          <w:rFonts w:ascii="Times New Roman" w:hAnsi="Times New Roman"/>
        </w:rPr>
        <w:t xml:space="preserve">Secretaria de Relações Institucionais, Secretaria do Conselho de Desenvolvimento Econômico e Social. </w:t>
      </w:r>
      <w:r>
        <w:rPr>
          <w:rFonts w:ascii="Times New Roman" w:hAnsi="Times New Roman"/>
          <w:i/>
        </w:rPr>
        <w:t xml:space="preserve">Relatório de Atividades 2008. </w:t>
      </w:r>
      <w:r>
        <w:rPr>
          <w:rFonts w:ascii="Times New Roman" w:hAnsi="Times New Roman"/>
        </w:rPr>
        <w:t>Brasília, p. 33.</w:t>
      </w:r>
    </w:p>
  </w:footnote>
  <w:footnote w:id="120">
    <w:p w:rsidR="00DD31B9" w:rsidRDefault="00DD31B9">
      <w:pPr>
        <w:pStyle w:val="Textodenotaderodap"/>
      </w:pPr>
      <w:r w:rsidRPr="00016576">
        <w:rPr>
          <w:rStyle w:val="Refdenotaderodap"/>
          <w:rFonts w:ascii="Times New Roman" w:hAnsi="Times New Roman"/>
        </w:rPr>
        <w:footnoteRef/>
      </w:r>
      <w:r>
        <w:rPr>
          <w:rFonts w:ascii="Times New Roman" w:hAnsi="Times New Roman"/>
        </w:rPr>
        <w:t xml:space="preserve">Secretaria de Relações Institucionais, Secretaria do Conselho de Desenvolvimento Econômico e Social. </w:t>
      </w:r>
      <w:r>
        <w:rPr>
          <w:rFonts w:ascii="Times New Roman" w:hAnsi="Times New Roman"/>
          <w:i/>
        </w:rPr>
        <w:t xml:space="preserve">Relatório de Atividades 2009. </w:t>
      </w:r>
      <w:r>
        <w:rPr>
          <w:rFonts w:ascii="Times New Roman" w:hAnsi="Times New Roman"/>
        </w:rPr>
        <w:t>Brasília, p. 47.</w:t>
      </w:r>
    </w:p>
  </w:footnote>
  <w:footnote w:id="121">
    <w:p w:rsidR="00DD31B9" w:rsidRPr="00E8480C" w:rsidRDefault="00DD31B9" w:rsidP="00765A8B">
      <w:pPr>
        <w:autoSpaceDE w:val="0"/>
        <w:autoSpaceDN w:val="0"/>
        <w:adjustRightInd w:val="0"/>
        <w:spacing w:after="0" w:line="240" w:lineRule="auto"/>
        <w:rPr>
          <w:rFonts w:ascii="Times New Roman" w:hAnsi="Times New Roman"/>
          <w:sz w:val="20"/>
          <w:szCs w:val="20"/>
        </w:rPr>
      </w:pPr>
      <w:r w:rsidRPr="00E8480C">
        <w:rPr>
          <w:rStyle w:val="Refdenotaderodap"/>
          <w:rFonts w:ascii="Times New Roman" w:hAnsi="Times New Roman"/>
          <w:sz w:val="20"/>
          <w:szCs w:val="20"/>
        </w:rPr>
        <w:footnoteRef/>
      </w:r>
      <w:r w:rsidRPr="00E8480C">
        <w:rPr>
          <w:rFonts w:ascii="Times New Roman" w:hAnsi="Times New Roman"/>
          <w:sz w:val="20"/>
          <w:szCs w:val="20"/>
        </w:rPr>
        <w:t xml:space="preserve"> Dentre as competências da </w:t>
      </w:r>
      <w:r>
        <w:rPr>
          <w:rFonts w:ascii="Times New Roman" w:hAnsi="Times New Roman"/>
          <w:sz w:val="20"/>
          <w:szCs w:val="20"/>
        </w:rPr>
        <w:t>SEDES</w:t>
      </w:r>
      <w:r w:rsidRPr="00E8480C">
        <w:rPr>
          <w:rFonts w:ascii="Times New Roman" w:hAnsi="Times New Roman"/>
          <w:sz w:val="20"/>
          <w:szCs w:val="20"/>
        </w:rPr>
        <w:t xml:space="preserve"> figurava “Acompanhar o andamento dos projetos de interesse do Conselho de Desenvolvimento Econômico e Social, em tramitação no Congresso Nacional”</w:t>
      </w:r>
      <w:r>
        <w:rPr>
          <w:rFonts w:ascii="Times New Roman" w:hAnsi="Times New Roman"/>
          <w:sz w:val="20"/>
          <w:szCs w:val="20"/>
        </w:rPr>
        <w:t xml:space="preserve">. Secretaria de Relações Institucionais, Secretaria do Conselho de Desenvolvimento Econômico e Social. </w:t>
      </w:r>
      <w:r w:rsidRPr="00E8480C">
        <w:rPr>
          <w:rFonts w:ascii="Times New Roman" w:hAnsi="Times New Roman"/>
          <w:i/>
          <w:sz w:val="20"/>
          <w:szCs w:val="20"/>
        </w:rPr>
        <w:t>Relatório de Atividades 2006</w:t>
      </w:r>
      <w:r>
        <w:rPr>
          <w:rFonts w:ascii="Times New Roman" w:hAnsi="Times New Roman"/>
          <w:sz w:val="20"/>
          <w:szCs w:val="20"/>
        </w:rPr>
        <w:t>. Brasília: p. 02.</w:t>
      </w:r>
    </w:p>
  </w:footnote>
  <w:footnote w:id="122">
    <w:p w:rsidR="00DD31B9" w:rsidRPr="00A34480" w:rsidRDefault="00DD31B9">
      <w:pPr>
        <w:pStyle w:val="Textodenotaderodap"/>
        <w:rPr>
          <w:rFonts w:ascii="Times New Roman" w:hAnsi="Times New Roman"/>
        </w:rPr>
      </w:pPr>
      <w:r w:rsidRPr="00A34480">
        <w:rPr>
          <w:rStyle w:val="Refdenotaderodap"/>
          <w:rFonts w:ascii="Times New Roman" w:hAnsi="Times New Roman"/>
        </w:rPr>
        <w:footnoteRef/>
      </w:r>
      <w:r>
        <w:rPr>
          <w:rFonts w:ascii="Times New Roman" w:hAnsi="Times New Roman"/>
        </w:rPr>
        <w:t>Durante esta tese, o termo “destacado(a) conselheiro(a)” não se direciona à posição na estrutura social de classes, mas ao peso de suas intervenções nas plenárias, abrindo novas questões, e de seu papel  militante ou organizador em outras instâncias do Conselho, bem como sua participação em eventos, viagens e publicação de artigos no sítio eletrônico do CDES.</w:t>
      </w:r>
    </w:p>
  </w:footnote>
  <w:footnote w:id="123">
    <w:p w:rsidR="00DD31B9" w:rsidRPr="00251345" w:rsidRDefault="00DD31B9">
      <w:pPr>
        <w:pStyle w:val="Textodenotaderodap"/>
        <w:rPr>
          <w:rFonts w:ascii="Times New Roman" w:hAnsi="Times New Roman"/>
        </w:rPr>
      </w:pPr>
      <w:r w:rsidRPr="00251345">
        <w:rPr>
          <w:rStyle w:val="Refdenotaderodap"/>
          <w:rFonts w:ascii="Times New Roman" w:hAnsi="Times New Roman"/>
        </w:rPr>
        <w:footnoteRef/>
      </w:r>
      <w:r w:rsidRPr="00251345">
        <w:rPr>
          <w:rStyle w:val="apple-converted-space"/>
          <w:rFonts w:ascii="Times New Roman" w:hAnsi="Times New Roman"/>
          <w:color w:val="000000"/>
          <w:shd w:val="clear" w:color="auto" w:fill="FFFFFF"/>
        </w:rPr>
        <w:t> </w:t>
      </w:r>
      <w:r w:rsidRPr="00251345">
        <w:rPr>
          <w:rFonts w:ascii="Times New Roman" w:hAnsi="Times New Roman"/>
          <w:color w:val="000000"/>
          <w:shd w:val="clear" w:color="auto" w:fill="FFFFFF"/>
        </w:rPr>
        <w:t xml:space="preserve">Na década de 90, </w:t>
      </w:r>
      <w:r>
        <w:rPr>
          <w:rFonts w:ascii="Times New Roman" w:hAnsi="Times New Roman"/>
          <w:color w:val="000000"/>
          <w:shd w:val="clear" w:color="auto" w:fill="FFFFFF"/>
        </w:rPr>
        <w:t xml:space="preserve">Germano Rigotto </w:t>
      </w:r>
      <w:r w:rsidRPr="00251345">
        <w:rPr>
          <w:rFonts w:ascii="Times New Roman" w:hAnsi="Times New Roman"/>
          <w:color w:val="000000"/>
          <w:shd w:val="clear" w:color="auto" w:fill="FFFFFF"/>
        </w:rPr>
        <w:t>foi três vezes eleito deputado federal</w:t>
      </w:r>
      <w:r>
        <w:rPr>
          <w:rFonts w:ascii="Times New Roman" w:hAnsi="Times New Roman"/>
          <w:color w:val="000000"/>
          <w:shd w:val="clear" w:color="auto" w:fill="FFFFFF"/>
        </w:rPr>
        <w:t>,</w:t>
      </w:r>
      <w:r w:rsidRPr="00251345">
        <w:rPr>
          <w:rFonts w:ascii="Times New Roman" w:hAnsi="Times New Roman"/>
          <w:color w:val="000000"/>
          <w:shd w:val="clear" w:color="auto" w:fill="FFFFFF"/>
        </w:rPr>
        <w:t xml:space="preserve"> líder do PMDB e líder do Go</w:t>
      </w:r>
      <w:r>
        <w:rPr>
          <w:rFonts w:ascii="Times New Roman" w:hAnsi="Times New Roman"/>
          <w:color w:val="000000"/>
          <w:shd w:val="clear" w:color="auto" w:fill="FFFFFF"/>
        </w:rPr>
        <w:t>verno Fernando Henrique Cardoso na Câmara. (Cf.</w:t>
      </w:r>
      <w:r w:rsidRPr="00251345">
        <w:rPr>
          <w:rFonts w:ascii="Times New Roman" w:hAnsi="Times New Roman"/>
          <w:color w:val="000000"/>
          <w:shd w:val="clear" w:color="auto" w:fill="FFFFFF"/>
        </w:rPr>
        <w:t>http://www.cdes.gov.br/galeria_conselho/2007/</w:t>
      </w:r>
      <w:r>
        <w:rPr>
          <w:rFonts w:ascii="Times New Roman" w:hAnsi="Times New Roman"/>
          <w:color w:val="000000"/>
          <w:shd w:val="clear" w:color="auto" w:fill="FFFFFF"/>
        </w:rPr>
        <w:t>).</w:t>
      </w:r>
    </w:p>
  </w:footnote>
  <w:footnote w:id="124">
    <w:p w:rsidR="00DD31B9" w:rsidRPr="0055496A" w:rsidRDefault="00DD31B9">
      <w:pPr>
        <w:pStyle w:val="Textodenotaderodap"/>
        <w:rPr>
          <w:rFonts w:ascii="Times New Roman" w:hAnsi="Times New Roman"/>
        </w:rPr>
      </w:pPr>
      <w:r w:rsidRPr="0055496A">
        <w:rPr>
          <w:rStyle w:val="Refdenotaderodap"/>
          <w:rFonts w:ascii="Times New Roman" w:hAnsi="Times New Roman"/>
        </w:rPr>
        <w:footnoteRef/>
      </w:r>
      <w:r w:rsidRPr="00303FA9">
        <w:rPr>
          <w:rFonts w:ascii="Times New Roman" w:hAnsi="Times New Roman"/>
        </w:rPr>
        <w:t xml:space="preserve">Entre 2003 e 2010, Armando Monteiro Neto não foi, a rigor, conselheiro do CDES. </w:t>
      </w:r>
      <w:r>
        <w:rPr>
          <w:rFonts w:ascii="Times New Roman" w:hAnsi="Times New Roman"/>
        </w:rPr>
        <w:t>Seu nome não figurava na lista de convocação publicada no Diário Oficial da União. A</w:t>
      </w:r>
      <w:r w:rsidRPr="00303FA9">
        <w:rPr>
          <w:rFonts w:ascii="Times New Roman" w:hAnsi="Times New Roman"/>
        </w:rPr>
        <w:t xml:space="preserve"> presença </w:t>
      </w:r>
      <w:r>
        <w:rPr>
          <w:rFonts w:ascii="Times New Roman" w:hAnsi="Times New Roman"/>
        </w:rPr>
        <w:t xml:space="preserve">de Armando Monteiro Neto </w:t>
      </w:r>
      <w:r w:rsidRPr="00303FA9">
        <w:rPr>
          <w:rFonts w:ascii="Times New Roman" w:hAnsi="Times New Roman"/>
        </w:rPr>
        <w:t xml:space="preserve">nas reuniões plenárias se dava na condição de </w:t>
      </w:r>
      <w:r>
        <w:rPr>
          <w:rFonts w:ascii="Times New Roman" w:hAnsi="Times New Roman"/>
        </w:rPr>
        <w:t xml:space="preserve">“convidado especial permanente”. </w:t>
      </w:r>
    </w:p>
  </w:footnote>
  <w:footnote w:id="125">
    <w:p w:rsidR="00DD31B9" w:rsidRPr="007E4782" w:rsidRDefault="00DD31B9" w:rsidP="007E4782">
      <w:pPr>
        <w:autoSpaceDE w:val="0"/>
        <w:autoSpaceDN w:val="0"/>
        <w:adjustRightInd w:val="0"/>
        <w:spacing w:after="0" w:line="240" w:lineRule="auto"/>
        <w:rPr>
          <w:rFonts w:ascii="Times New Roman" w:hAnsi="Times New Roman"/>
          <w:szCs w:val="20"/>
        </w:rPr>
      </w:pPr>
      <w:r w:rsidRPr="007E4782">
        <w:rPr>
          <w:rStyle w:val="Refdenotaderodap"/>
          <w:rFonts w:ascii="Times New Roman" w:hAnsi="Times New Roman"/>
          <w:sz w:val="20"/>
          <w:szCs w:val="20"/>
        </w:rPr>
        <w:footnoteRef/>
      </w:r>
      <w:r w:rsidRPr="007E4782">
        <w:rPr>
          <w:rFonts w:ascii="Times New Roman" w:hAnsi="Times New Roman"/>
          <w:sz w:val="20"/>
          <w:szCs w:val="20"/>
        </w:rPr>
        <w:t xml:space="preserve"> A moção elaborada pelos conselheiros e enviada ao Presidente da República </w:t>
      </w:r>
      <w:r>
        <w:rPr>
          <w:rFonts w:ascii="Times New Roman" w:hAnsi="Times New Roman"/>
          <w:sz w:val="20"/>
          <w:szCs w:val="20"/>
        </w:rPr>
        <w:t>afirmava</w:t>
      </w:r>
      <w:r w:rsidRPr="007E4782">
        <w:rPr>
          <w:rFonts w:ascii="Times New Roman" w:hAnsi="Times New Roman"/>
          <w:sz w:val="20"/>
          <w:szCs w:val="20"/>
        </w:rPr>
        <w:t xml:space="preserve"> que: “</w:t>
      </w:r>
      <w:r>
        <w:rPr>
          <w:rFonts w:ascii="Times New Roman" w:hAnsi="Times New Roman"/>
          <w:sz w:val="20"/>
          <w:szCs w:val="20"/>
        </w:rPr>
        <w:t xml:space="preserve">O </w:t>
      </w:r>
      <w:r w:rsidRPr="007E4782">
        <w:rPr>
          <w:rFonts w:ascii="Times New Roman" w:hAnsi="Times New Roman"/>
          <w:bCs/>
          <w:sz w:val="20"/>
          <w:szCs w:val="20"/>
        </w:rPr>
        <w:t xml:space="preserve">Conselho de Desenvolvimento Econômico e Social da Presidência daRepública, órgão representativo da sociedade brasileira, </w:t>
      </w:r>
      <w:r w:rsidRPr="007E4782">
        <w:rPr>
          <w:rFonts w:ascii="Times New Roman" w:hAnsi="Times New Roman"/>
          <w:b/>
          <w:bCs/>
          <w:sz w:val="20"/>
          <w:szCs w:val="20"/>
        </w:rPr>
        <w:t>faz veemente apelo</w:t>
      </w:r>
      <w:r w:rsidRPr="007E4782">
        <w:rPr>
          <w:rFonts w:ascii="Times New Roman" w:hAnsi="Times New Roman"/>
          <w:bCs/>
          <w:sz w:val="20"/>
          <w:szCs w:val="20"/>
        </w:rPr>
        <w:t xml:space="preserve"> aque seja conferida prioridade à aprovação do Projeto de Emenda Constitucionalda Reforma Tributária ainda no ano de 2008, de maneira que o País não percaeste momento oportuno. Embora seus efeitos sejam de médio e longo prazos, aaprovação da Reforma somará imediatamente na conformação do ambiente deexpectativas positivas em relação ao Brasil</w:t>
      </w:r>
      <w:r>
        <w:rPr>
          <w:rFonts w:ascii="Times New Roman" w:hAnsi="Times New Roman"/>
          <w:bCs/>
          <w:sz w:val="20"/>
          <w:szCs w:val="20"/>
        </w:rPr>
        <w:t>”</w:t>
      </w:r>
      <w:r w:rsidRPr="007E4782">
        <w:rPr>
          <w:rFonts w:ascii="Times New Roman" w:hAnsi="Times New Roman"/>
          <w:bCs/>
          <w:sz w:val="20"/>
          <w:szCs w:val="20"/>
        </w:rPr>
        <w:t>.</w:t>
      </w:r>
      <w:r>
        <w:rPr>
          <w:rFonts w:ascii="Times New Roman" w:hAnsi="Times New Roman"/>
          <w:bCs/>
          <w:sz w:val="20"/>
          <w:szCs w:val="20"/>
        </w:rPr>
        <w:t xml:space="preserve"> Secretaria de Relações Institucionais. Secretaria do Conselho de Desenvolvimento Econômico e Social. </w:t>
      </w:r>
      <w:r>
        <w:rPr>
          <w:rFonts w:ascii="Times New Roman" w:hAnsi="Times New Roman"/>
          <w:bCs/>
          <w:i/>
          <w:sz w:val="20"/>
          <w:szCs w:val="20"/>
        </w:rPr>
        <w:t>Moção do Conselho de Desenvolvimento Econômico e Social ao Presidente da República</w:t>
      </w:r>
      <w:r>
        <w:rPr>
          <w:rFonts w:ascii="Times New Roman" w:hAnsi="Times New Roman"/>
          <w:bCs/>
          <w:sz w:val="20"/>
          <w:szCs w:val="20"/>
        </w:rPr>
        <w:t>. Brasília, 28 de agosto de 2008, grifos meus.</w:t>
      </w:r>
    </w:p>
  </w:footnote>
  <w:footnote w:id="126">
    <w:p w:rsidR="00DD31B9" w:rsidRPr="00094D22" w:rsidRDefault="00DD31B9">
      <w:pPr>
        <w:pStyle w:val="Textodenotaderodap"/>
        <w:rPr>
          <w:rFonts w:ascii="Times New Roman" w:hAnsi="Times New Roman"/>
        </w:rPr>
      </w:pPr>
      <w:r w:rsidRPr="00094D22">
        <w:rPr>
          <w:rStyle w:val="Refdenotaderodap"/>
          <w:rFonts w:ascii="Times New Roman" w:hAnsi="Times New Roman"/>
        </w:rPr>
        <w:footnoteRef/>
      </w:r>
      <w:r w:rsidRPr="00094D22">
        <w:rPr>
          <w:rFonts w:ascii="Times New Roman" w:hAnsi="Times New Roman"/>
        </w:rPr>
        <w:t xml:space="preserve"> Não foi o foco da pesquisa investigar a fundo os vínculos político-partidários dos conselheiros, mas constatamos que alguns eram oriundos dos círculos não petistas, tais como  Paulo Safady Simão (Presidente da CBIC e do PSD/MG), Maria Elvira Salles Ferreira (empresária, foi secretária estadual de turismo no governo de Aécio Neves e deputada estadual e federal pelo PMDB-MG) e João Elísio Campos (empresário, ex-governador do Paraná entre 1986-1987 em substituição a José Richa, foi deputadoestadual pela ARENA e depois filiou-se ao PMDB/PR) e Zaire Rezende (PMDB/MG). Entre os sindicalistas não cutistas, o vice-presidente da UGT, Laerte Teixeira da Costa é filiado ao PMDB e Antonio Carlos dos Reis, o Salim, é vice-prefeito de Carapicuiba e filiado ao DEM. Antonio Neto, liderança da CGTB, é membro do diretório nacional do PMDB. Paulo Pereira da Silva, da FS, à época foi deputado federal pelo PDT.</w:t>
      </w:r>
    </w:p>
  </w:footnote>
  <w:footnote w:id="127">
    <w:p w:rsidR="00DD31B9" w:rsidRPr="00167356" w:rsidRDefault="00DD31B9" w:rsidP="00CE3680">
      <w:pPr>
        <w:pStyle w:val="Textodenotaderodap"/>
        <w:rPr>
          <w:rFonts w:ascii="Times New Roman" w:hAnsi="Times New Roman"/>
        </w:rPr>
      </w:pPr>
      <w:r w:rsidRPr="00167356">
        <w:rPr>
          <w:rStyle w:val="Refdenotaderodap"/>
          <w:rFonts w:ascii="Times New Roman" w:hAnsi="Times New Roman"/>
        </w:rPr>
        <w:footnoteRef/>
      </w:r>
      <w:r w:rsidRPr="00167356">
        <w:rPr>
          <w:rFonts w:ascii="Times New Roman" w:hAnsi="Times New Roman"/>
        </w:rPr>
        <w:t xml:space="preserve"> Neste momento do documento, aparece uma nota de rodapé em que afirma “desde 10 de março de 2005, o CDES conta com a participação de </w:t>
      </w:r>
      <w:r w:rsidRPr="00167356">
        <w:rPr>
          <w:rFonts w:ascii="Times New Roman" w:hAnsi="Times New Roman"/>
          <w:b/>
        </w:rPr>
        <w:t>uma</w:t>
      </w:r>
      <w:r w:rsidRPr="00167356">
        <w:rPr>
          <w:rFonts w:ascii="Times New Roman" w:hAnsi="Times New Roman"/>
        </w:rPr>
        <w:t xml:space="preserve"> representante dos povos indígenas, Joênia (Wapichana) Batista Carvalho” (grifos meus).</w:t>
      </w:r>
      <w:r>
        <w:rPr>
          <w:rFonts w:ascii="Times New Roman" w:hAnsi="Times New Roman"/>
        </w:rPr>
        <w:t xml:space="preserve"> Pesquisas nas Atas das Reuniões revelaram que a 13ª reunião plenária, em 25 de agosto de 2005, foi a última que contou com a participação da conselheira suplente Jurema Werneck no CDES. A participação dos conselheiros suplentes nas plenárias do CDES foi abolida, conforme consta na ATA da 21ª Reunião Plenária do CDES, em maio de 2007. Eram os próprios conselheiros titulares que indicavam os nomes dos suplentes, respeitado o segmento de atuação. Continuava sendo permitido, contudo, o envio de suplentes apenas para o caso do conselheiro titular não poder participar dos Grupos Temáticos.</w:t>
      </w:r>
    </w:p>
  </w:footnote>
  <w:footnote w:id="128">
    <w:p w:rsidR="00DD31B9" w:rsidRPr="009A2F26" w:rsidRDefault="00DD31B9" w:rsidP="00CE3680">
      <w:pPr>
        <w:pStyle w:val="Textodenotaderodap"/>
        <w:rPr>
          <w:rFonts w:ascii="Times New Roman" w:hAnsi="Times New Roman"/>
        </w:rPr>
      </w:pPr>
      <w:r w:rsidRPr="009A2F26">
        <w:rPr>
          <w:rStyle w:val="Refdenotaderodap"/>
          <w:rFonts w:ascii="Times New Roman" w:hAnsi="Times New Roman"/>
        </w:rPr>
        <w:footnoteRef/>
      </w:r>
      <w:r w:rsidRPr="009A2F26">
        <w:rPr>
          <w:rFonts w:ascii="Times New Roman" w:hAnsi="Times New Roman"/>
        </w:rPr>
        <w:t xml:space="preserve"> Secretaria de Relações Institucionais. Secretaria do Conselho de Desenvolvimento Econômico e Social. </w:t>
      </w:r>
      <w:r w:rsidRPr="009A2F26">
        <w:rPr>
          <w:rFonts w:ascii="Times New Roman" w:hAnsi="Times New Roman"/>
          <w:i/>
        </w:rPr>
        <w:t>Mesa Redonda</w:t>
      </w:r>
      <w:r w:rsidRPr="009A2F26">
        <w:rPr>
          <w:rFonts w:ascii="Times New Roman" w:hAnsi="Times New Roman"/>
        </w:rPr>
        <w:t>: Diálogo Social – Alavanca para o Desenvolvimento. Brasília: Publicação Assessoria de Comunicação Social – SEDES/PR</w:t>
      </w:r>
      <w:r>
        <w:rPr>
          <w:rFonts w:ascii="Times New Roman" w:hAnsi="Times New Roman"/>
        </w:rPr>
        <w:t>, 2004a, p. 76.</w:t>
      </w:r>
    </w:p>
  </w:footnote>
  <w:footnote w:id="129">
    <w:p w:rsidR="00DD31B9" w:rsidRPr="005F7881" w:rsidRDefault="00DD31B9" w:rsidP="005E578B">
      <w:pPr>
        <w:spacing w:after="0" w:line="240" w:lineRule="auto"/>
        <w:rPr>
          <w:rFonts w:ascii="Times New Roman" w:hAnsi="Times New Roman"/>
        </w:rPr>
      </w:pPr>
      <w:r w:rsidRPr="005F7881">
        <w:rPr>
          <w:rStyle w:val="Refdenotaderodap"/>
          <w:rFonts w:ascii="Times New Roman" w:hAnsi="Times New Roman"/>
        </w:rPr>
        <w:footnoteRef/>
      </w:r>
      <w:r w:rsidRPr="006E1AE0">
        <w:rPr>
          <w:rFonts w:ascii="Times New Roman" w:hAnsi="Times New Roman"/>
          <w:sz w:val="20"/>
          <w:szCs w:val="20"/>
        </w:rPr>
        <w:t xml:space="preserve">KUNRATH, Romerio Jair. </w:t>
      </w:r>
      <w:r w:rsidRPr="006E1AE0">
        <w:rPr>
          <w:rFonts w:ascii="Times New Roman" w:hAnsi="Times New Roman"/>
          <w:i/>
          <w:sz w:val="20"/>
          <w:szCs w:val="20"/>
        </w:rPr>
        <w:t xml:space="preserve">Os Conselhos Econômicos e Sociais </w:t>
      </w:r>
      <w:r>
        <w:rPr>
          <w:rFonts w:ascii="Times New Roman" w:hAnsi="Times New Roman"/>
          <w:sz w:val="20"/>
          <w:szCs w:val="20"/>
        </w:rPr>
        <w:t xml:space="preserve">... Op. cit. </w:t>
      </w:r>
      <w:r w:rsidRPr="005F7881">
        <w:rPr>
          <w:rFonts w:ascii="Times New Roman" w:hAnsi="Times New Roman"/>
          <w:sz w:val="20"/>
          <w:szCs w:val="20"/>
        </w:rPr>
        <w:t>p</w:t>
      </w:r>
      <w:r>
        <w:rPr>
          <w:rFonts w:ascii="Times New Roman" w:hAnsi="Times New Roman"/>
          <w:sz w:val="20"/>
          <w:szCs w:val="20"/>
        </w:rPr>
        <w:t>. 149.</w:t>
      </w:r>
    </w:p>
  </w:footnote>
  <w:footnote w:id="130">
    <w:p w:rsidR="00DD31B9" w:rsidRPr="00EC007B" w:rsidRDefault="00DD31B9" w:rsidP="00CE3680">
      <w:pPr>
        <w:pStyle w:val="Textodenotaderodap"/>
        <w:rPr>
          <w:rFonts w:ascii="Times New Roman" w:hAnsi="Times New Roman"/>
        </w:rPr>
      </w:pPr>
      <w:r w:rsidRPr="00EC007B">
        <w:rPr>
          <w:rStyle w:val="Refdenotaderodap"/>
          <w:rFonts w:ascii="Times New Roman" w:hAnsi="Times New Roman"/>
        </w:rPr>
        <w:footnoteRef/>
      </w:r>
      <w:r w:rsidRPr="00EC007B">
        <w:rPr>
          <w:rFonts w:ascii="Times New Roman" w:hAnsi="Times New Roman"/>
        </w:rPr>
        <w:t xml:space="preserve"> Retirado em &lt;http://www.cdes.gov.br/conteudo/8171/grupos-tematicos.html&gt;. Acesso 05/01/2014.</w:t>
      </w:r>
    </w:p>
  </w:footnote>
  <w:footnote w:id="131">
    <w:p w:rsidR="00DD31B9" w:rsidRDefault="00DD31B9" w:rsidP="00CE3680">
      <w:pPr>
        <w:spacing w:after="0" w:line="240" w:lineRule="auto"/>
      </w:pPr>
      <w:r w:rsidRPr="002550BA">
        <w:rPr>
          <w:rStyle w:val="Refdenotaderodap"/>
          <w:rFonts w:ascii="Times New Roman" w:hAnsi="Times New Roman"/>
        </w:rPr>
        <w:footnoteRef/>
      </w:r>
      <w:r w:rsidRPr="002550BA">
        <w:rPr>
          <w:rFonts w:ascii="Times New Roman" w:hAnsi="Times New Roman"/>
          <w:sz w:val="20"/>
          <w:szCs w:val="20"/>
        </w:rPr>
        <w:t>K</w:t>
      </w:r>
      <w:r w:rsidRPr="006E1AE0">
        <w:rPr>
          <w:rFonts w:ascii="Times New Roman" w:hAnsi="Times New Roman"/>
          <w:sz w:val="20"/>
          <w:szCs w:val="20"/>
        </w:rPr>
        <w:t xml:space="preserve">UNRATH, Romerio Jair. </w:t>
      </w:r>
      <w:r w:rsidRPr="006E1AE0">
        <w:rPr>
          <w:rFonts w:ascii="Times New Roman" w:hAnsi="Times New Roman"/>
          <w:i/>
          <w:sz w:val="20"/>
          <w:szCs w:val="20"/>
        </w:rPr>
        <w:t>Os Conselhos Econômicos e Sociais</w:t>
      </w:r>
      <w:r>
        <w:rPr>
          <w:rFonts w:ascii="Times New Roman" w:hAnsi="Times New Roman"/>
          <w:i/>
          <w:sz w:val="20"/>
          <w:szCs w:val="20"/>
        </w:rPr>
        <w:t xml:space="preserve">... </w:t>
      </w:r>
      <w:r>
        <w:rPr>
          <w:rFonts w:ascii="Times New Roman" w:hAnsi="Times New Roman"/>
          <w:sz w:val="20"/>
          <w:szCs w:val="20"/>
        </w:rPr>
        <w:t>Op., cit, p. 147.</w:t>
      </w:r>
    </w:p>
  </w:footnote>
  <w:footnote w:id="132">
    <w:p w:rsidR="00DD31B9" w:rsidRPr="00F826E4" w:rsidRDefault="00DD31B9" w:rsidP="00CE3680">
      <w:pPr>
        <w:pStyle w:val="Textodenotaderodap"/>
        <w:rPr>
          <w:rFonts w:ascii="Times New Roman" w:hAnsi="Times New Roman"/>
        </w:rPr>
      </w:pPr>
      <w:r w:rsidRPr="00F826E4">
        <w:rPr>
          <w:rStyle w:val="Refdenotaderodap"/>
          <w:rFonts w:ascii="Times New Roman" w:hAnsi="Times New Roman"/>
        </w:rPr>
        <w:footnoteRef/>
      </w:r>
      <w:r w:rsidRPr="00F826E4">
        <w:rPr>
          <w:rFonts w:ascii="Times New Roman" w:hAnsi="Times New Roman"/>
        </w:rPr>
        <w:t xml:space="preserve"> Na realidade esta limitação quantitativa não era obedecida. Havia GT’s com até 60 ou 70 conselheiros como, por exemplo, o GTFED.</w:t>
      </w:r>
      <w:r>
        <w:rPr>
          <w:rFonts w:ascii="Times New Roman" w:hAnsi="Times New Roman"/>
        </w:rPr>
        <w:t xml:space="preserve"> Não há documentação que comprove a assiduidade deles nos GT’s.</w:t>
      </w:r>
    </w:p>
  </w:footnote>
  <w:footnote w:id="133">
    <w:p w:rsidR="00DD31B9" w:rsidRPr="00C60E8E" w:rsidRDefault="00DD31B9" w:rsidP="00CE3680">
      <w:pPr>
        <w:pStyle w:val="Textodenotaderodap"/>
        <w:rPr>
          <w:rFonts w:ascii="Times New Roman" w:hAnsi="Times New Roman"/>
        </w:rPr>
      </w:pPr>
      <w:r w:rsidRPr="00C60E8E">
        <w:rPr>
          <w:rStyle w:val="Refdenotaderodap"/>
          <w:rFonts w:ascii="Times New Roman" w:hAnsi="Times New Roman"/>
        </w:rPr>
        <w:footnoteRef/>
      </w:r>
      <w:r>
        <w:rPr>
          <w:rFonts w:ascii="Times New Roman" w:hAnsi="Times New Roman"/>
        </w:rPr>
        <w:t>Retirado em &lt;</w:t>
      </w:r>
      <w:r w:rsidRPr="00C60E8E">
        <w:rPr>
          <w:rFonts w:ascii="Times New Roman" w:hAnsi="Times New Roman"/>
        </w:rPr>
        <w:t>http://www.cdes.gov.br/grupo/192/gt-micro-e-pequena-empresainformalidade-e-autogestao.html</w:t>
      </w:r>
      <w:r>
        <w:rPr>
          <w:rFonts w:ascii="Times New Roman" w:hAnsi="Times New Roman"/>
        </w:rPr>
        <w:t>&gt;. Acesso em 05/01/2014.</w:t>
      </w:r>
    </w:p>
  </w:footnote>
  <w:footnote w:id="134">
    <w:p w:rsidR="00DD31B9" w:rsidRPr="002550BA" w:rsidRDefault="00DD31B9" w:rsidP="00CE3680">
      <w:pPr>
        <w:pStyle w:val="Textodenotaderodap"/>
        <w:rPr>
          <w:rFonts w:ascii="Times New Roman" w:hAnsi="Times New Roman"/>
        </w:rPr>
      </w:pPr>
      <w:r w:rsidRPr="002550BA">
        <w:rPr>
          <w:rStyle w:val="Refdenotaderodap"/>
          <w:rFonts w:ascii="Times New Roman" w:hAnsi="Times New Roman"/>
        </w:rPr>
        <w:footnoteRef/>
      </w:r>
      <w:r w:rsidRPr="002550BA">
        <w:rPr>
          <w:rFonts w:ascii="Times New Roman" w:hAnsi="Times New Roman"/>
        </w:rPr>
        <w:t xml:space="preserve"> COSTA, Vanda Maria Ribeiro (2006b). </w:t>
      </w:r>
      <w:r w:rsidRPr="002550BA">
        <w:rPr>
          <w:rFonts w:ascii="Times New Roman" w:hAnsi="Times New Roman"/>
          <w:i/>
        </w:rPr>
        <w:t>O Conselho de Desenvolvimento Econômico e Social</w:t>
      </w:r>
      <w:r w:rsidRPr="002550BA">
        <w:rPr>
          <w:rFonts w:ascii="Times New Roman" w:hAnsi="Times New Roman"/>
        </w:rPr>
        <w:t>: um experimento democrático.</w:t>
      </w:r>
      <w:r>
        <w:rPr>
          <w:rFonts w:ascii="Times New Roman" w:hAnsi="Times New Roman"/>
        </w:rPr>
        <w:t xml:space="preserve"> Op. cit., p. 06.</w:t>
      </w:r>
    </w:p>
  </w:footnote>
  <w:footnote w:id="135">
    <w:p w:rsidR="00DD31B9" w:rsidRPr="002550BA" w:rsidRDefault="00DD31B9" w:rsidP="00CE3680">
      <w:pPr>
        <w:spacing w:after="0" w:line="240" w:lineRule="auto"/>
      </w:pPr>
      <w:r w:rsidRPr="002550BA">
        <w:rPr>
          <w:rStyle w:val="Refdenotaderodap"/>
          <w:rFonts w:ascii="Times New Roman" w:hAnsi="Times New Roman"/>
        </w:rPr>
        <w:footnoteRef/>
      </w:r>
      <w:r w:rsidRPr="002550BA">
        <w:rPr>
          <w:rFonts w:ascii="Times New Roman" w:hAnsi="Times New Roman"/>
          <w:sz w:val="20"/>
          <w:szCs w:val="20"/>
        </w:rPr>
        <w:t>K</w:t>
      </w:r>
      <w:r w:rsidRPr="006E1AE0">
        <w:rPr>
          <w:rFonts w:ascii="Times New Roman" w:hAnsi="Times New Roman"/>
          <w:sz w:val="20"/>
          <w:szCs w:val="20"/>
        </w:rPr>
        <w:t xml:space="preserve">UNRATH, Romerio Jair. </w:t>
      </w:r>
      <w:r w:rsidRPr="006E1AE0">
        <w:rPr>
          <w:rFonts w:ascii="Times New Roman" w:hAnsi="Times New Roman"/>
          <w:i/>
          <w:sz w:val="20"/>
          <w:szCs w:val="20"/>
        </w:rPr>
        <w:t>Os Conselhos Econômicos e Sociais</w:t>
      </w:r>
      <w:r>
        <w:rPr>
          <w:rFonts w:ascii="Times New Roman" w:hAnsi="Times New Roman"/>
          <w:i/>
          <w:sz w:val="20"/>
          <w:szCs w:val="20"/>
        </w:rPr>
        <w:t xml:space="preserve">... </w:t>
      </w:r>
      <w:r>
        <w:rPr>
          <w:rFonts w:ascii="Times New Roman" w:hAnsi="Times New Roman"/>
          <w:sz w:val="20"/>
          <w:szCs w:val="20"/>
        </w:rPr>
        <w:t>Op., cit, p. 149-150.</w:t>
      </w:r>
    </w:p>
  </w:footnote>
  <w:footnote w:id="136">
    <w:p w:rsidR="00DD31B9" w:rsidRPr="002550BA" w:rsidRDefault="00DD31B9" w:rsidP="00CE3680">
      <w:pPr>
        <w:pStyle w:val="Textodenotaderodap"/>
        <w:rPr>
          <w:rFonts w:ascii="Times New Roman" w:hAnsi="Times New Roman"/>
        </w:rPr>
      </w:pPr>
      <w:r w:rsidRPr="002550BA">
        <w:rPr>
          <w:rStyle w:val="Refdenotaderodap"/>
          <w:rFonts w:ascii="Times New Roman" w:hAnsi="Times New Roman"/>
        </w:rPr>
        <w:footnoteRef/>
      </w:r>
      <w:r w:rsidRPr="002550BA">
        <w:rPr>
          <w:rFonts w:ascii="Times New Roman" w:hAnsi="Times New Roman"/>
        </w:rPr>
        <w:t xml:space="preserve"> Secretaria de Relações Institucionais. Secretaria do Conselho de Desenvolvimento Econômico e Social. </w:t>
      </w:r>
      <w:r w:rsidRPr="002550BA">
        <w:rPr>
          <w:rFonts w:ascii="Times New Roman" w:hAnsi="Times New Roman"/>
          <w:i/>
        </w:rPr>
        <w:t xml:space="preserve">O Conselho de Desenvolvimento Econômico e Social – </w:t>
      </w:r>
      <w:r w:rsidRPr="002550BA">
        <w:rPr>
          <w:rFonts w:ascii="Times New Roman" w:hAnsi="Times New Roman"/>
        </w:rPr>
        <w:t>Brasil: Versão Preliminar. Brasília: 2004b</w:t>
      </w:r>
      <w:r>
        <w:rPr>
          <w:rFonts w:ascii="Times New Roman" w:hAnsi="Times New Roman"/>
        </w:rPr>
        <w:t>, p. 21.</w:t>
      </w:r>
    </w:p>
  </w:footnote>
  <w:footnote w:id="137">
    <w:p w:rsidR="00DD31B9" w:rsidRPr="003113A7" w:rsidRDefault="00DD31B9" w:rsidP="00CE3680">
      <w:pPr>
        <w:pStyle w:val="Textodenotaderodap"/>
        <w:rPr>
          <w:rFonts w:ascii="Times New Roman" w:hAnsi="Times New Roman"/>
        </w:rPr>
      </w:pPr>
      <w:r w:rsidRPr="006E2E74">
        <w:rPr>
          <w:rStyle w:val="Refdenotaderodap"/>
          <w:rFonts w:ascii="Times New Roman" w:hAnsi="Times New Roman"/>
        </w:rPr>
        <w:footnoteRef/>
      </w:r>
      <w:r w:rsidRPr="003113A7">
        <w:rPr>
          <w:rFonts w:ascii="Times New Roman" w:hAnsi="Times New Roman"/>
        </w:rPr>
        <w:t>Retirado de &lt; http://www.cdes.gov.br/grupo/461/monitoramento-da-crise-economica-internacional.html&gt;. O CDES, na verdade, já estava realizando discussões e emitindo pareceres e moções sobre a crise econômica internacional ao Presidente da República desde inícios de 2008. Ou melhor, desde a 23ª Reunião Plenária, em 2</w:t>
      </w:r>
      <w:r>
        <w:rPr>
          <w:rFonts w:ascii="Times New Roman" w:hAnsi="Times New Roman"/>
        </w:rPr>
        <w:t>0</w:t>
      </w:r>
      <w:r w:rsidRPr="003113A7">
        <w:rPr>
          <w:rFonts w:ascii="Times New Roman" w:hAnsi="Times New Roman"/>
        </w:rPr>
        <w:t xml:space="preserve">/09/2007, o conselheiro Luiz Carlos Delben Leite já tratava dos impactos da crise </w:t>
      </w:r>
      <w:r>
        <w:rPr>
          <w:rFonts w:ascii="Times New Roman" w:hAnsi="Times New Roman"/>
        </w:rPr>
        <w:t xml:space="preserve">internacional </w:t>
      </w:r>
      <w:r w:rsidRPr="003113A7">
        <w:rPr>
          <w:rFonts w:ascii="Times New Roman" w:hAnsi="Times New Roman"/>
        </w:rPr>
        <w:t xml:space="preserve">nas exportações de </w:t>
      </w:r>
      <w:r w:rsidRPr="003113A7">
        <w:rPr>
          <w:rFonts w:ascii="Times New Roman" w:hAnsi="Times New Roman"/>
          <w:i/>
        </w:rPr>
        <w:t>commodities</w:t>
      </w:r>
      <w:r w:rsidRPr="003113A7">
        <w:rPr>
          <w:rFonts w:ascii="Times New Roman" w:hAnsi="Times New Roman"/>
        </w:rPr>
        <w:t xml:space="preserve"> brasileiras.</w:t>
      </w:r>
    </w:p>
  </w:footnote>
  <w:footnote w:id="138">
    <w:p w:rsidR="00DD31B9" w:rsidRPr="002C0312" w:rsidRDefault="00DD31B9" w:rsidP="00CE3680">
      <w:pPr>
        <w:pStyle w:val="Textodenotaderodap"/>
        <w:rPr>
          <w:rFonts w:ascii="Times New Roman" w:hAnsi="Times New Roman"/>
        </w:rPr>
      </w:pPr>
      <w:r w:rsidRPr="002C0312">
        <w:rPr>
          <w:rStyle w:val="Refdenotaderodap"/>
          <w:rFonts w:ascii="Times New Roman" w:hAnsi="Times New Roman"/>
        </w:rPr>
        <w:footnoteRef/>
      </w:r>
      <w:r w:rsidRPr="002C0312">
        <w:rPr>
          <w:rFonts w:ascii="Times New Roman" w:hAnsi="Times New Roman"/>
        </w:rPr>
        <w:t xml:space="preserve"> Retirado de &lt;http://www.cdes.gov.br/grupo/189/ga-politicas-sociais.html#&gt;. Acesso em 06/01/2014.</w:t>
      </w:r>
    </w:p>
  </w:footnote>
  <w:footnote w:id="139">
    <w:p w:rsidR="00DD31B9" w:rsidRDefault="00DD31B9" w:rsidP="00CE3680">
      <w:pPr>
        <w:pStyle w:val="Textodenotaderodap"/>
        <w:rPr>
          <w:rFonts w:ascii="Times New Roman" w:hAnsi="Times New Roman"/>
        </w:rPr>
      </w:pPr>
      <w:r w:rsidRPr="0065366F">
        <w:rPr>
          <w:rStyle w:val="Refdenotaderodap"/>
          <w:rFonts w:ascii="Times New Roman" w:hAnsi="Times New Roman"/>
        </w:rPr>
        <w:footnoteRef/>
      </w:r>
      <w:r w:rsidRPr="0065366F">
        <w:rPr>
          <w:rFonts w:ascii="Times New Roman" w:hAnsi="Times New Roman"/>
        </w:rPr>
        <w:t xml:space="preserve"> Para confecção </w:t>
      </w:r>
      <w:r>
        <w:rPr>
          <w:rFonts w:ascii="Times New Roman" w:hAnsi="Times New Roman"/>
        </w:rPr>
        <w:t>desta tabela</w:t>
      </w:r>
      <w:r w:rsidRPr="0065366F">
        <w:rPr>
          <w:rFonts w:ascii="Times New Roman" w:hAnsi="Times New Roman"/>
        </w:rPr>
        <w:t>foram utilizados o site do CDES http://www.cdes.gov.br/conteudo/</w:t>
      </w:r>
    </w:p>
    <w:p w:rsidR="00DD31B9" w:rsidRPr="0065366F" w:rsidRDefault="00DD31B9" w:rsidP="00CE3680">
      <w:pPr>
        <w:pStyle w:val="Textodenotaderodap"/>
        <w:rPr>
          <w:rFonts w:ascii="Times New Roman" w:hAnsi="Times New Roman"/>
        </w:rPr>
      </w:pPr>
      <w:r w:rsidRPr="0065366F">
        <w:rPr>
          <w:rFonts w:ascii="Times New Roman" w:hAnsi="Times New Roman"/>
        </w:rPr>
        <w:t xml:space="preserve">8171/grupos-tematicos.html&gt;; os </w:t>
      </w:r>
      <w:r>
        <w:rPr>
          <w:rFonts w:ascii="Times New Roman" w:hAnsi="Times New Roman"/>
        </w:rPr>
        <w:t>Re</w:t>
      </w:r>
      <w:r w:rsidRPr="0065366F">
        <w:rPr>
          <w:rFonts w:ascii="Times New Roman" w:hAnsi="Times New Roman"/>
        </w:rPr>
        <w:t xml:space="preserve">latórios de </w:t>
      </w:r>
      <w:r>
        <w:rPr>
          <w:rFonts w:ascii="Times New Roman" w:hAnsi="Times New Roman"/>
        </w:rPr>
        <w:t>A</w:t>
      </w:r>
      <w:r w:rsidRPr="0065366F">
        <w:rPr>
          <w:rFonts w:ascii="Times New Roman" w:hAnsi="Times New Roman"/>
        </w:rPr>
        <w:t xml:space="preserve">tividades </w:t>
      </w:r>
      <w:r>
        <w:rPr>
          <w:rFonts w:ascii="Times New Roman" w:hAnsi="Times New Roman"/>
        </w:rPr>
        <w:t xml:space="preserve">Anuais </w:t>
      </w:r>
      <w:r w:rsidRPr="0065366F">
        <w:rPr>
          <w:rFonts w:ascii="Times New Roman" w:hAnsi="Times New Roman"/>
        </w:rPr>
        <w:t>do Conselho e</w:t>
      </w:r>
      <w:r>
        <w:rPr>
          <w:rFonts w:ascii="Times New Roman" w:hAnsi="Times New Roman"/>
        </w:rPr>
        <w:t>, para as colunas Subgrupos e Encontros,</w:t>
      </w:r>
      <w:r w:rsidRPr="00FD620C">
        <w:rPr>
          <w:rFonts w:ascii="Times New Roman" w:hAnsi="Times New Roman"/>
        </w:rPr>
        <w:t xml:space="preserve">KUNRATH, Romerio Jair. </w:t>
      </w:r>
      <w:r w:rsidRPr="00FD620C">
        <w:rPr>
          <w:rFonts w:ascii="Times New Roman" w:hAnsi="Times New Roman"/>
          <w:i/>
        </w:rPr>
        <w:t>Os Conselhos Econômicos e Sociais em perspectiva comparada</w:t>
      </w:r>
      <w:r>
        <w:rPr>
          <w:rFonts w:ascii="Times New Roman" w:hAnsi="Times New Roman"/>
          <w:i/>
        </w:rPr>
        <w:t>...</w:t>
      </w:r>
      <w:r>
        <w:rPr>
          <w:rFonts w:ascii="Times New Roman" w:hAnsi="Times New Roman"/>
        </w:rPr>
        <w:t xml:space="preserve"> OP. cit., p. 148 e 226. Onde se observa, nas duas últimas colunas, dois números consecutivos separados por um hífen, se referem, a situações no primeiro (2003-2006) e segundo (2007-2010) mandato de Lula da Silva.</w:t>
      </w:r>
    </w:p>
  </w:footnote>
  <w:footnote w:id="140">
    <w:p w:rsidR="00DD31B9" w:rsidRPr="00362EFD" w:rsidRDefault="00DD31B9">
      <w:pPr>
        <w:pStyle w:val="Textodenotaderodap"/>
        <w:rPr>
          <w:rFonts w:ascii="Times New Roman" w:hAnsi="Times New Roman"/>
        </w:rPr>
      </w:pPr>
      <w:r w:rsidRPr="00362EFD">
        <w:rPr>
          <w:rStyle w:val="Refdenotaderodap"/>
          <w:rFonts w:ascii="Times New Roman" w:hAnsi="Times New Roman"/>
        </w:rPr>
        <w:footnoteRef/>
      </w:r>
      <w:r w:rsidRPr="00362EFD">
        <w:rPr>
          <w:rFonts w:ascii="Times New Roman" w:hAnsi="Times New Roman"/>
        </w:rPr>
        <w:t xml:space="preserve"> A Lei do Primeiro Emprego aprofunda o processo de flexibilização da legislação trabalhista pela via do contrato de duração determinada.</w:t>
      </w:r>
    </w:p>
  </w:footnote>
  <w:footnote w:id="141">
    <w:p w:rsidR="00DD31B9" w:rsidRDefault="00DD31B9">
      <w:pPr>
        <w:pStyle w:val="Textodenotaderodap"/>
      </w:pPr>
      <w:r w:rsidRPr="00EA6C56">
        <w:rPr>
          <w:rStyle w:val="Refdenotaderodap"/>
          <w:rFonts w:ascii="Times New Roman" w:hAnsi="Times New Roman"/>
        </w:rPr>
        <w:footnoteRef/>
      </w:r>
      <w:r w:rsidRPr="00FD610C">
        <w:rPr>
          <w:rFonts w:ascii="Times New Roman" w:hAnsi="Times New Roman"/>
        </w:rPr>
        <w:t>Conselheiro</w:t>
      </w:r>
      <w:r>
        <w:rPr>
          <w:rFonts w:ascii="Times New Roman" w:hAnsi="Times New Roman"/>
        </w:rPr>
        <w:t>(</w:t>
      </w:r>
      <w:r w:rsidRPr="00FD610C">
        <w:rPr>
          <w:rFonts w:ascii="Times New Roman" w:hAnsi="Times New Roman"/>
        </w:rPr>
        <w:t>s</w:t>
      </w:r>
      <w:r>
        <w:rPr>
          <w:rFonts w:ascii="Times New Roman" w:hAnsi="Times New Roman"/>
        </w:rPr>
        <w:t>)</w:t>
      </w:r>
      <w:r w:rsidRPr="00FD610C">
        <w:rPr>
          <w:rFonts w:ascii="Times New Roman" w:hAnsi="Times New Roman"/>
        </w:rPr>
        <w:t>-empresário</w:t>
      </w:r>
      <w:r>
        <w:rPr>
          <w:rFonts w:ascii="Times New Roman" w:hAnsi="Times New Roman"/>
        </w:rPr>
        <w:t>(</w:t>
      </w:r>
      <w:r w:rsidRPr="00FD610C">
        <w:rPr>
          <w:rFonts w:ascii="Times New Roman" w:hAnsi="Times New Roman"/>
        </w:rPr>
        <w:t>s</w:t>
      </w:r>
      <w:r>
        <w:rPr>
          <w:rFonts w:ascii="Times New Roman" w:hAnsi="Times New Roman"/>
        </w:rPr>
        <w:t>) foi</w:t>
      </w:r>
      <w:r w:rsidRPr="00FD610C">
        <w:rPr>
          <w:rFonts w:ascii="Times New Roman" w:hAnsi="Times New Roman"/>
        </w:rPr>
        <w:t xml:space="preserve">uma denominação por mim criada para se referir aos que se vinculam </w:t>
      </w:r>
      <w:r w:rsidRPr="00FD610C">
        <w:rPr>
          <w:rFonts w:ascii="Times New Roman" w:hAnsi="Times New Roman"/>
          <w:i/>
        </w:rPr>
        <w:t xml:space="preserve">diretamente </w:t>
      </w:r>
      <w:r w:rsidRPr="00FD610C">
        <w:rPr>
          <w:rFonts w:ascii="Times New Roman" w:hAnsi="Times New Roman"/>
        </w:rPr>
        <w:t>ao meio empresarial – de origem nacional ou estrangeira - por meio de empresas, grupos econômicos, associações ou entidades patronais. Trata-se de proprietários diretos de meios e/ou recursos de produção e de seus prepostos (executivos, diretores, chief executive officer (CEOs), gerentes) e/ou daqueles que detém cargos de destaque em associações de classe do patronato.</w:t>
      </w:r>
    </w:p>
  </w:footnote>
  <w:footnote w:id="142">
    <w:p w:rsidR="00DD31B9" w:rsidRPr="005569D4" w:rsidRDefault="00DD31B9" w:rsidP="00CE3680">
      <w:pPr>
        <w:pStyle w:val="Textodenotaderodap"/>
        <w:rPr>
          <w:rFonts w:ascii="Times New Roman" w:hAnsi="Times New Roman"/>
        </w:rPr>
      </w:pPr>
      <w:r w:rsidRPr="005569D4">
        <w:rPr>
          <w:rStyle w:val="Refdenotaderodap"/>
          <w:rFonts w:ascii="Times New Roman" w:hAnsi="Times New Roman"/>
        </w:rPr>
        <w:footnoteRef/>
      </w:r>
      <w:r w:rsidRPr="005569D4">
        <w:rPr>
          <w:rFonts w:ascii="Times New Roman" w:hAnsi="Times New Roman"/>
        </w:rPr>
        <w:t xml:space="preserve"> Secretaria de Relações Institucionais. Secretaria do Conselho de Desenvolvimento Econômico e Social.</w:t>
      </w:r>
      <w:r w:rsidRPr="005569D4">
        <w:rPr>
          <w:rFonts w:ascii="Times New Roman" w:hAnsi="Times New Roman"/>
          <w:i/>
        </w:rPr>
        <w:t xml:space="preserve"> Proposta de Criação do Observatório da Equidade</w:t>
      </w:r>
      <w:r>
        <w:rPr>
          <w:rFonts w:ascii="Times New Roman" w:hAnsi="Times New Roman"/>
        </w:rPr>
        <w:t>. Brasília, 2005, p. 02.</w:t>
      </w:r>
      <w:r w:rsidRPr="005569D4">
        <w:rPr>
          <w:rFonts w:ascii="Times New Roman" w:hAnsi="Times New Roman"/>
        </w:rPr>
        <w:t xml:space="preserve"> Disponível em &lt;http://www.cdes.gov.br/grupo/189/ga-politicas-sociais.html&gt;.</w:t>
      </w:r>
    </w:p>
  </w:footnote>
  <w:footnote w:id="143">
    <w:p w:rsidR="00DD31B9" w:rsidRPr="005569D4" w:rsidRDefault="00DD31B9" w:rsidP="00CE3680">
      <w:pPr>
        <w:autoSpaceDE w:val="0"/>
        <w:autoSpaceDN w:val="0"/>
        <w:adjustRightInd w:val="0"/>
        <w:spacing w:after="0" w:line="240" w:lineRule="auto"/>
        <w:rPr>
          <w:rFonts w:ascii="Times New Roman" w:hAnsi="Times New Roman"/>
          <w:sz w:val="20"/>
          <w:szCs w:val="20"/>
        </w:rPr>
      </w:pPr>
      <w:r w:rsidRPr="005569D4">
        <w:rPr>
          <w:rStyle w:val="Refdenotaderodap"/>
          <w:rFonts w:ascii="Times New Roman" w:hAnsi="Times New Roman"/>
          <w:sz w:val="20"/>
          <w:szCs w:val="20"/>
        </w:rPr>
        <w:footnoteRef/>
      </w:r>
      <w:r w:rsidRPr="005569D4">
        <w:rPr>
          <w:rFonts w:ascii="Times New Roman" w:hAnsi="Times New Roman"/>
          <w:sz w:val="20"/>
          <w:szCs w:val="20"/>
        </w:rPr>
        <w:t xml:space="preserve"> Secretaria de Relações Institucionais. Secretaria do Conselho de Desenvolvimento Econômico e Social.</w:t>
      </w:r>
      <w:r w:rsidRPr="005569D4">
        <w:rPr>
          <w:rFonts w:ascii="Times New Roman" w:hAnsi="Times New Roman"/>
          <w:i/>
          <w:sz w:val="20"/>
          <w:szCs w:val="20"/>
        </w:rPr>
        <w:t xml:space="preserve"> Agenda Nacional de Desenvolvimento – AND</w:t>
      </w:r>
      <w:r w:rsidRPr="005569D4">
        <w:rPr>
          <w:rFonts w:ascii="Times New Roman" w:hAnsi="Times New Roman"/>
          <w:sz w:val="20"/>
          <w:szCs w:val="20"/>
        </w:rPr>
        <w:t>. 3. ed. Brasília: Presidência da República, Conselho de Desenvolvimento Econômico e Social – CDES, 2010</w:t>
      </w:r>
      <w:r>
        <w:rPr>
          <w:rFonts w:ascii="Times New Roman" w:hAnsi="Times New Roman"/>
          <w:sz w:val="20"/>
          <w:szCs w:val="20"/>
        </w:rPr>
        <w:t>a, p. 17.</w:t>
      </w:r>
    </w:p>
  </w:footnote>
  <w:footnote w:id="144">
    <w:p w:rsidR="00DD31B9" w:rsidRPr="00055CEB" w:rsidRDefault="00DD31B9" w:rsidP="00CE3680">
      <w:pPr>
        <w:pStyle w:val="Textodenotaderodap"/>
        <w:rPr>
          <w:rFonts w:ascii="Times New Roman" w:hAnsi="Times New Roman"/>
        </w:rPr>
      </w:pPr>
      <w:r w:rsidRPr="00055CEB">
        <w:rPr>
          <w:rStyle w:val="Refdenotaderodap"/>
          <w:rFonts w:ascii="Times New Roman" w:hAnsi="Times New Roman"/>
        </w:rPr>
        <w:footnoteRef/>
      </w:r>
      <w:r>
        <w:rPr>
          <w:rFonts w:ascii="Times New Roman" w:hAnsi="Times New Roman"/>
        </w:rPr>
        <w:t xml:space="preserve"> Não à toa integrava o GAPS no momento de construção do Observatório os seguintes conselheiros: Clemente Ganz Lúcio (DIEESE), Oded Grajew (Instituto Ethos), Sônia Fleury (FGV-RJ),Gisela Gorovitz (CIVES), José Antônio Moroni (INESC), Paulo Vellinho (Springer/FIERGS), Sérgio Haddad (ABONG) e Zilda Arns (Pastoral da Criança). Alguns deles compuseram o primeiro Conselho Diretor do Observatório da Equidade.</w:t>
      </w:r>
    </w:p>
  </w:footnote>
  <w:footnote w:id="145">
    <w:p w:rsidR="00DD31B9" w:rsidRPr="005569D4" w:rsidRDefault="00DD31B9" w:rsidP="00CE3680">
      <w:pPr>
        <w:pStyle w:val="Textodenotaderodap"/>
        <w:rPr>
          <w:rFonts w:ascii="Times New Roman" w:hAnsi="Times New Roman"/>
        </w:rPr>
      </w:pPr>
      <w:r w:rsidRPr="005569D4">
        <w:rPr>
          <w:rStyle w:val="Refdenotaderodap"/>
          <w:rFonts w:ascii="Times New Roman" w:hAnsi="Times New Roman"/>
        </w:rPr>
        <w:footnoteRef/>
      </w:r>
      <w:r w:rsidRPr="005569D4">
        <w:rPr>
          <w:rFonts w:ascii="Times New Roman" w:hAnsi="Times New Roman"/>
        </w:rPr>
        <w:t xml:space="preserve"> SRI, SEDES.</w:t>
      </w:r>
      <w:r w:rsidRPr="005569D4">
        <w:rPr>
          <w:rFonts w:ascii="Times New Roman" w:hAnsi="Times New Roman"/>
          <w:i/>
        </w:rPr>
        <w:t xml:space="preserve"> Proposta de Criação do Observatório da Equidade</w:t>
      </w:r>
      <w:r>
        <w:rPr>
          <w:rFonts w:ascii="Times New Roman" w:hAnsi="Times New Roman"/>
        </w:rPr>
        <w:t>. Brasília, 2005, Op. cit., p. 02. Grifos no original.</w:t>
      </w:r>
    </w:p>
  </w:footnote>
  <w:footnote w:id="146">
    <w:p w:rsidR="00DD31B9" w:rsidRPr="00300601" w:rsidRDefault="00DD31B9" w:rsidP="00CE3680">
      <w:pPr>
        <w:pStyle w:val="Textodenotaderodap"/>
        <w:rPr>
          <w:rFonts w:ascii="Times New Roman" w:hAnsi="Times New Roman"/>
        </w:rPr>
      </w:pPr>
      <w:r w:rsidRPr="00300601">
        <w:rPr>
          <w:rStyle w:val="Refdenotaderodap"/>
          <w:rFonts w:ascii="Times New Roman" w:hAnsi="Times New Roman"/>
        </w:rPr>
        <w:footnoteRef/>
      </w:r>
      <w:r w:rsidRPr="00300601">
        <w:rPr>
          <w:rFonts w:ascii="Times New Roman" w:hAnsi="Times New Roman"/>
        </w:rPr>
        <w:t xml:space="preserve"> As metas a s</w:t>
      </w:r>
      <w:r>
        <w:rPr>
          <w:rFonts w:ascii="Times New Roman" w:hAnsi="Times New Roman"/>
        </w:rPr>
        <w:t xml:space="preserve">erem perseguidas foram planejadas </w:t>
      </w:r>
      <w:r w:rsidRPr="00300601">
        <w:rPr>
          <w:rFonts w:ascii="Times New Roman" w:hAnsi="Times New Roman"/>
        </w:rPr>
        <w:t xml:space="preserve">no primeiro do governo Lula: Plano Plurianual, Brasil em Três Tempos e, é claro, a própria Agenda Nacional de Desenvolvimento. As Metas </w:t>
      </w:r>
      <w:r>
        <w:rPr>
          <w:rFonts w:ascii="Times New Roman" w:hAnsi="Times New Roman"/>
        </w:rPr>
        <w:t>do</w:t>
      </w:r>
      <w:r w:rsidRPr="00300601">
        <w:rPr>
          <w:rFonts w:ascii="Times New Roman" w:hAnsi="Times New Roman"/>
        </w:rPr>
        <w:t xml:space="preserve"> Milênio da ONU</w:t>
      </w:r>
      <w:r>
        <w:rPr>
          <w:rFonts w:ascii="Times New Roman" w:hAnsi="Times New Roman"/>
        </w:rPr>
        <w:t>, estabelecidas em 2000,</w:t>
      </w:r>
      <w:r w:rsidRPr="00300601">
        <w:rPr>
          <w:rFonts w:ascii="Times New Roman" w:hAnsi="Times New Roman"/>
        </w:rPr>
        <w:t xml:space="preserve"> também foram </w:t>
      </w:r>
      <w:r>
        <w:rPr>
          <w:rFonts w:ascii="Times New Roman" w:hAnsi="Times New Roman"/>
        </w:rPr>
        <w:t>adotadas como instrumento de planejamento para se alcançar a “equidade”</w:t>
      </w:r>
      <w:r w:rsidRPr="00300601">
        <w:rPr>
          <w:rFonts w:ascii="Times New Roman" w:hAnsi="Times New Roman"/>
        </w:rPr>
        <w:t>.</w:t>
      </w:r>
    </w:p>
  </w:footnote>
  <w:footnote w:id="147">
    <w:p w:rsidR="00DD31B9" w:rsidRPr="00335E55" w:rsidRDefault="00DD31B9" w:rsidP="00CE3680">
      <w:pPr>
        <w:pStyle w:val="Textodenotaderodap"/>
        <w:rPr>
          <w:rFonts w:ascii="Times New Roman" w:hAnsi="Times New Roman"/>
        </w:rPr>
      </w:pPr>
      <w:r w:rsidRPr="00335E55">
        <w:rPr>
          <w:rStyle w:val="Refdenotaderodap"/>
          <w:rFonts w:ascii="Times New Roman" w:hAnsi="Times New Roman"/>
        </w:rPr>
        <w:footnoteRef/>
      </w:r>
      <w:r>
        <w:rPr>
          <w:rFonts w:ascii="Times New Roman" w:hAnsi="Times New Roman"/>
        </w:rPr>
        <w:t>Idem, p. 07.</w:t>
      </w:r>
    </w:p>
  </w:footnote>
  <w:footnote w:id="148">
    <w:p w:rsidR="00DD31B9" w:rsidRPr="00376FD1" w:rsidRDefault="00DD31B9" w:rsidP="00CE3680">
      <w:pPr>
        <w:autoSpaceDE w:val="0"/>
        <w:autoSpaceDN w:val="0"/>
        <w:adjustRightInd w:val="0"/>
        <w:spacing w:after="0" w:line="240" w:lineRule="auto"/>
        <w:rPr>
          <w:rFonts w:ascii="Times New Roman" w:hAnsi="Times New Roman"/>
          <w:sz w:val="24"/>
          <w:szCs w:val="24"/>
        </w:rPr>
      </w:pPr>
      <w:r w:rsidRPr="0093418E">
        <w:rPr>
          <w:rStyle w:val="Refdenotaderodap"/>
          <w:rFonts w:ascii="Times New Roman" w:hAnsi="Times New Roman"/>
        </w:rPr>
        <w:footnoteRef/>
      </w:r>
      <w:r w:rsidRPr="0093418E">
        <w:rPr>
          <w:rFonts w:ascii="Times New Roman" w:hAnsi="Times New Roman"/>
        </w:rPr>
        <w:t xml:space="preserve"> Disponível em &lt;http://www.cdes.gov.br/observatoriodaequidade/metodologia.php&gt;. Acesso em 08/01/2014.</w:t>
      </w:r>
      <w:r>
        <w:rPr>
          <w:rFonts w:ascii="Times New Roman" w:hAnsi="Times New Roman"/>
        </w:rPr>
        <w:t xml:space="preserve"> A referência a este texto também pode ser encontrada em: </w:t>
      </w:r>
      <w:r w:rsidRPr="00376FD1">
        <w:rPr>
          <w:rFonts w:ascii="Times New Roman" w:hAnsi="Times New Roman"/>
          <w:color w:val="231F20"/>
          <w:sz w:val="20"/>
          <w:szCs w:val="20"/>
        </w:rPr>
        <w:t xml:space="preserve">Brasil. Presidência da República, Observatório da Equidade. </w:t>
      </w:r>
      <w:r w:rsidRPr="0090647A">
        <w:rPr>
          <w:rFonts w:ascii="Times New Roman" w:hAnsi="Times New Roman"/>
          <w:bCs/>
          <w:i/>
          <w:color w:val="231F20"/>
          <w:sz w:val="20"/>
          <w:szCs w:val="20"/>
        </w:rPr>
        <w:t>Indicadores de Equidade do Sistema Tributário Nacional</w:t>
      </w:r>
      <w:r w:rsidRPr="00376FD1">
        <w:rPr>
          <w:rFonts w:ascii="Times New Roman" w:hAnsi="Times New Roman"/>
          <w:b/>
          <w:bCs/>
          <w:color w:val="231F20"/>
          <w:sz w:val="20"/>
          <w:szCs w:val="20"/>
        </w:rPr>
        <w:t>.</w:t>
      </w:r>
      <w:r w:rsidRPr="00376FD1">
        <w:rPr>
          <w:rFonts w:ascii="Times New Roman" w:hAnsi="Times New Roman"/>
          <w:color w:val="231F20"/>
          <w:sz w:val="20"/>
          <w:szCs w:val="20"/>
        </w:rPr>
        <w:t>Brasília:</w:t>
      </w:r>
      <w:r>
        <w:rPr>
          <w:rFonts w:ascii="Times New Roman" w:hAnsi="Times New Roman"/>
          <w:color w:val="231F20"/>
          <w:sz w:val="20"/>
          <w:szCs w:val="20"/>
        </w:rPr>
        <w:t xml:space="preserve"> 2009, p. 17-20.</w:t>
      </w:r>
    </w:p>
  </w:footnote>
  <w:footnote w:id="149">
    <w:p w:rsidR="00DD31B9" w:rsidRPr="00335E55" w:rsidRDefault="00DD31B9" w:rsidP="00CE3680">
      <w:pPr>
        <w:pStyle w:val="Textodenotaderodap"/>
        <w:rPr>
          <w:rFonts w:ascii="Times New Roman" w:hAnsi="Times New Roman"/>
        </w:rPr>
      </w:pPr>
      <w:r w:rsidRPr="00335E55">
        <w:rPr>
          <w:rStyle w:val="Refdenotaderodap"/>
          <w:rFonts w:ascii="Times New Roman" w:hAnsi="Times New Roman"/>
        </w:rPr>
        <w:footnoteRef/>
      </w:r>
      <w:r>
        <w:rPr>
          <w:rFonts w:ascii="Times New Roman" w:hAnsi="Times New Roman"/>
        </w:rPr>
        <w:t>Idem, p. 17.</w:t>
      </w:r>
    </w:p>
  </w:footnote>
  <w:footnote w:id="150">
    <w:p w:rsidR="00DD31B9" w:rsidRPr="00163682" w:rsidRDefault="00DD31B9" w:rsidP="00CE3680">
      <w:pPr>
        <w:pStyle w:val="Textodenotaderodap"/>
        <w:rPr>
          <w:rFonts w:ascii="Times New Roman" w:hAnsi="Times New Roman"/>
        </w:rPr>
      </w:pPr>
      <w:r w:rsidRPr="00163682">
        <w:rPr>
          <w:rStyle w:val="Refdenotaderodap"/>
          <w:rFonts w:ascii="Times New Roman" w:hAnsi="Times New Roman"/>
        </w:rPr>
        <w:footnoteRef/>
      </w:r>
      <w:r w:rsidRPr="00163682">
        <w:rPr>
          <w:rFonts w:ascii="Times New Roman" w:hAnsi="Times New Roman"/>
        </w:rPr>
        <w:t xml:space="preserve"> Documento “Presidente Lula no CDES”. Disponível em </w:t>
      </w:r>
      <w:hyperlink r:id="rId6" w:history="1">
        <w:r w:rsidRPr="00094D22">
          <w:rPr>
            <w:rStyle w:val="Hyperlink"/>
            <w:rFonts w:ascii="Times New Roman" w:hAnsi="Times New Roman"/>
            <w:color w:val="auto"/>
            <w:u w:val="none"/>
          </w:rPr>
          <w:t>www.cdes.gov.br</w:t>
        </w:r>
      </w:hyperlink>
      <w:r w:rsidRPr="00094D22">
        <w:rPr>
          <w:rFonts w:ascii="Times New Roman" w:hAnsi="Times New Roman"/>
        </w:rPr>
        <w:t xml:space="preserve">. </w:t>
      </w:r>
      <w:r>
        <w:rPr>
          <w:rFonts w:ascii="Times New Roman" w:hAnsi="Times New Roman"/>
        </w:rPr>
        <w:t>Grifos meus.</w:t>
      </w:r>
    </w:p>
  </w:footnote>
  <w:footnote w:id="151">
    <w:p w:rsidR="00DD31B9" w:rsidRPr="007C4E0A" w:rsidRDefault="00DD31B9" w:rsidP="00182A15">
      <w:pPr>
        <w:pStyle w:val="Textodenotaderodap"/>
        <w:rPr>
          <w:rFonts w:ascii="Times New Roman" w:hAnsi="Times New Roman"/>
        </w:rPr>
      </w:pPr>
      <w:r w:rsidRPr="007C4E0A">
        <w:rPr>
          <w:rStyle w:val="Refdenotaderodap"/>
          <w:rFonts w:ascii="Times New Roman" w:hAnsi="Times New Roman"/>
        </w:rPr>
        <w:footnoteRef/>
      </w:r>
      <w:r w:rsidRPr="007C4E0A">
        <w:rPr>
          <w:rFonts w:ascii="Times New Roman" w:hAnsi="Times New Roman"/>
        </w:rPr>
        <w:t xml:space="preserve"> A conta investimento permitia a troca de operações financeiras sem incidência da Contribuição Provisória sobre Movimentação Financeira (CPMF).</w:t>
      </w:r>
    </w:p>
  </w:footnote>
  <w:footnote w:id="152">
    <w:p w:rsidR="00DD31B9" w:rsidRDefault="00DD31B9" w:rsidP="00182A15">
      <w:pPr>
        <w:pStyle w:val="Textodenotaderodap"/>
        <w:rPr>
          <w:rFonts w:ascii="Times New Roman" w:hAnsi="Times New Roman"/>
        </w:rPr>
      </w:pPr>
      <w:r w:rsidRPr="003D61DD">
        <w:rPr>
          <w:rStyle w:val="Refdenotaderodap"/>
          <w:rFonts w:ascii="Times New Roman" w:hAnsi="Times New Roman"/>
        </w:rPr>
        <w:footnoteRef/>
      </w:r>
      <w:r>
        <w:rPr>
          <w:rFonts w:ascii="Times New Roman" w:hAnsi="Times New Roman"/>
        </w:rPr>
        <w:t>Conferir em &lt;http://www.cdes.gov.br/conteudo/41/o-que-e-o-cdes.html&gt;. Acesso em 12/01/2014. Ver também entrevista com Ester Bemerguy</w:t>
      </w:r>
      <w:r w:rsidRPr="0081034B">
        <w:rPr>
          <w:rFonts w:ascii="Times New Roman" w:hAnsi="Times New Roman"/>
        </w:rPr>
        <w:t>, titular da Secretaria do Conselho de Desenvolvimento Econômico e Social da Secretaria de Relações Institucionais da Presidência da República (SEDES/SRI/PR) entre 2004 e 2011</w:t>
      </w:r>
      <w:r>
        <w:rPr>
          <w:rFonts w:ascii="Times New Roman" w:hAnsi="Times New Roman"/>
        </w:rPr>
        <w:t xml:space="preserve"> em &lt;http://www.rs.gov.br/geral_email_print.php?modo=print&amp;tip</w:t>
      </w:r>
    </w:p>
    <w:p w:rsidR="00DD31B9" w:rsidRPr="0081034B" w:rsidRDefault="00DD31B9" w:rsidP="00182A15">
      <w:pPr>
        <w:pStyle w:val="Textodenotaderodap"/>
        <w:rPr>
          <w:rFonts w:ascii="Times New Roman" w:hAnsi="Times New Roman"/>
        </w:rPr>
      </w:pPr>
      <w:r>
        <w:rPr>
          <w:rFonts w:ascii="Times New Roman" w:hAnsi="Times New Roman"/>
        </w:rPr>
        <w:t>o=capa&gt;. Acesso em 12/06/2013.</w:t>
      </w:r>
    </w:p>
  </w:footnote>
  <w:footnote w:id="153">
    <w:p w:rsidR="00DD31B9" w:rsidRPr="00A47336" w:rsidRDefault="00DD31B9" w:rsidP="00182A15">
      <w:pPr>
        <w:pStyle w:val="Textodenotaderodap"/>
        <w:rPr>
          <w:rFonts w:ascii="Times New Roman" w:hAnsi="Times New Roman"/>
        </w:rPr>
      </w:pPr>
      <w:r w:rsidRPr="00A47336">
        <w:rPr>
          <w:rStyle w:val="Refdenotaderodap"/>
          <w:rFonts w:ascii="Times New Roman" w:hAnsi="Times New Roman"/>
        </w:rPr>
        <w:footnoteRef/>
      </w:r>
      <w:r w:rsidRPr="00A47336">
        <w:rPr>
          <w:rFonts w:ascii="Times New Roman" w:hAnsi="Times New Roman"/>
        </w:rPr>
        <w:t xml:space="preserve"> De acordo com o Secretário Jaques Wagner, na Ata da 7ª Reunião Plenária, em maio de 2004, “essa sugestão veio do deputado e presidente da CNI Armando Monteiro”.</w:t>
      </w:r>
    </w:p>
  </w:footnote>
  <w:footnote w:id="154">
    <w:p w:rsidR="00DD31B9" w:rsidRPr="00797D0A" w:rsidRDefault="00DD31B9" w:rsidP="00182A15">
      <w:pPr>
        <w:autoSpaceDE w:val="0"/>
        <w:autoSpaceDN w:val="0"/>
        <w:adjustRightInd w:val="0"/>
        <w:spacing w:after="0" w:line="240" w:lineRule="auto"/>
        <w:rPr>
          <w:rFonts w:ascii="Times New Roman" w:hAnsi="Times New Roman"/>
          <w:sz w:val="20"/>
          <w:szCs w:val="20"/>
        </w:rPr>
      </w:pPr>
      <w:r w:rsidRPr="0040225E">
        <w:rPr>
          <w:rStyle w:val="Refdenotaderodap"/>
          <w:rFonts w:ascii="Times New Roman" w:hAnsi="Times New Roman"/>
          <w:sz w:val="20"/>
          <w:szCs w:val="20"/>
        </w:rPr>
        <w:footnoteRef/>
      </w:r>
      <w:r>
        <w:rPr>
          <w:rFonts w:ascii="Times New Roman" w:hAnsi="Times New Roman"/>
          <w:sz w:val="20"/>
          <w:szCs w:val="20"/>
        </w:rPr>
        <w:t>O GT Reforma Sindical e Trabalhista apontou, dentre outros os consensos produzidos e presentes no Relatório sobre a Reforma Sindical e Trabalhista que seguiu para discussão no FNT e, posteriormente, para o Ministério do Trabalho, que “d</w:t>
      </w:r>
      <w:r w:rsidRPr="0040225E">
        <w:rPr>
          <w:rFonts w:ascii="Times New Roman" w:hAnsi="Times New Roman"/>
          <w:sz w:val="20"/>
          <w:szCs w:val="20"/>
        </w:rPr>
        <w:t>eve ser efetivo o reconhecimento da personalidade sindical às Centrais, demaneira que venha a ser consignada, na sua integralidade, a capacidade jurídicadessas entidades para firmar convenções e acordos coletivos</w:t>
      </w:r>
      <w:r>
        <w:rPr>
          <w:rFonts w:ascii="Times New Roman" w:hAnsi="Times New Roman"/>
          <w:sz w:val="20"/>
          <w:szCs w:val="20"/>
        </w:rPr>
        <w:t xml:space="preserve">”. </w:t>
      </w:r>
      <w:r w:rsidRPr="009F30BA">
        <w:rPr>
          <w:rFonts w:ascii="Times New Roman" w:hAnsi="Times New Roman"/>
          <w:sz w:val="20"/>
          <w:szCs w:val="20"/>
        </w:rPr>
        <w:t xml:space="preserve">Secretaria Especial do Conselho de Desenvolvimento Econômico e Social. </w:t>
      </w:r>
      <w:r w:rsidRPr="009F30BA">
        <w:rPr>
          <w:rFonts w:ascii="Times New Roman" w:hAnsi="Times New Roman"/>
          <w:i/>
          <w:sz w:val="20"/>
          <w:szCs w:val="20"/>
        </w:rPr>
        <w:t>Relatório Consolidado da Reforma Sindical e Trabalhista.</w:t>
      </w:r>
      <w:r w:rsidRPr="009F30BA">
        <w:rPr>
          <w:rFonts w:ascii="Times New Roman" w:hAnsi="Times New Roman"/>
          <w:sz w:val="20"/>
          <w:szCs w:val="20"/>
        </w:rPr>
        <w:t xml:space="preserve"> Brasília, 2003b</w:t>
      </w:r>
      <w:r>
        <w:rPr>
          <w:rFonts w:ascii="Times New Roman" w:hAnsi="Times New Roman"/>
          <w:sz w:val="20"/>
          <w:szCs w:val="20"/>
        </w:rPr>
        <w:t xml:space="preserve">. Vários conselheiros da sociedade civil no CDES (empresários e sindicalistas) também participaram do FNT. Para um estudo do conteúdo programático e classista presente no FNT ver ALMEIDA, Gelsom Rozentino de e LOURENÇO NETO, Sydenham. </w:t>
      </w:r>
      <w:r>
        <w:rPr>
          <w:rFonts w:ascii="Times New Roman" w:hAnsi="Times New Roman"/>
          <w:i/>
          <w:sz w:val="20"/>
          <w:szCs w:val="20"/>
        </w:rPr>
        <w:t>Estado, Hegemonia e Luta de Classes</w:t>
      </w:r>
      <w:r>
        <w:rPr>
          <w:rFonts w:ascii="Times New Roman" w:hAnsi="Times New Roman"/>
          <w:sz w:val="20"/>
          <w:szCs w:val="20"/>
        </w:rPr>
        <w:t>: interesses organizados no Brasil recente. Bauru, SP: Canal 6, 2012, p. 83-140.</w:t>
      </w:r>
    </w:p>
  </w:footnote>
  <w:footnote w:id="155">
    <w:p w:rsidR="00DD31B9" w:rsidRPr="002B0943" w:rsidRDefault="00DD31B9" w:rsidP="00CE3680">
      <w:pPr>
        <w:pStyle w:val="Textodenotaderodap"/>
        <w:rPr>
          <w:rFonts w:ascii="Times New Roman" w:hAnsi="Times New Roman"/>
        </w:rPr>
      </w:pPr>
      <w:r w:rsidRPr="002B0943">
        <w:rPr>
          <w:rStyle w:val="Refdenotaderodap"/>
          <w:rFonts w:ascii="Times New Roman" w:hAnsi="Times New Roman"/>
        </w:rPr>
        <w:footnoteRef/>
      </w:r>
      <w:r w:rsidRPr="002B0943">
        <w:rPr>
          <w:rFonts w:ascii="Times New Roman" w:hAnsi="Times New Roman"/>
        </w:rPr>
        <w:t xml:space="preserve"> CASTELO, Rodrigo. O social-liberalismo brasileiro e a miséria ideológica da economia do bem-estar. In: MOTA, Ana Elizabete (org.). </w:t>
      </w:r>
      <w:r w:rsidRPr="002B0943">
        <w:rPr>
          <w:rFonts w:ascii="Times New Roman" w:hAnsi="Times New Roman"/>
          <w:i/>
        </w:rPr>
        <w:t>Desenvolvimento e construção de hegemonia</w:t>
      </w:r>
      <w:r w:rsidRPr="002B0943">
        <w:rPr>
          <w:rFonts w:ascii="Times New Roman" w:hAnsi="Times New Roman"/>
        </w:rPr>
        <w:t>: crescimento econômico e reprodução da desigualdade. São Paulo: Cortez, 2012.</w:t>
      </w:r>
    </w:p>
  </w:footnote>
  <w:footnote w:id="156">
    <w:p w:rsidR="00DD31B9" w:rsidRPr="002B0943" w:rsidRDefault="00DD31B9" w:rsidP="00CE3680">
      <w:pPr>
        <w:spacing w:after="0"/>
        <w:rPr>
          <w:rFonts w:ascii="Times New Roman" w:hAnsi="Times New Roman"/>
          <w:sz w:val="20"/>
          <w:szCs w:val="20"/>
        </w:rPr>
      </w:pPr>
      <w:r w:rsidRPr="002B0943">
        <w:rPr>
          <w:rStyle w:val="Refdenotaderodap"/>
          <w:rFonts w:ascii="Times New Roman" w:hAnsi="Times New Roman"/>
          <w:sz w:val="20"/>
          <w:szCs w:val="20"/>
        </w:rPr>
        <w:footnoteRef/>
      </w:r>
      <w:r w:rsidRPr="002B0943">
        <w:rPr>
          <w:rFonts w:ascii="Times New Roman" w:hAnsi="Times New Roman"/>
          <w:sz w:val="20"/>
          <w:szCs w:val="20"/>
        </w:rPr>
        <w:t xml:space="preserve"> BANCO MUNDIAL. </w:t>
      </w:r>
      <w:r w:rsidRPr="002B0943">
        <w:rPr>
          <w:rFonts w:ascii="Times New Roman" w:hAnsi="Times New Roman"/>
          <w:i/>
          <w:sz w:val="20"/>
          <w:szCs w:val="20"/>
        </w:rPr>
        <w:t>Equidade e Desenvolvimento</w:t>
      </w:r>
      <w:r w:rsidRPr="002B0943">
        <w:rPr>
          <w:rFonts w:ascii="Times New Roman" w:hAnsi="Times New Roman"/>
          <w:sz w:val="20"/>
          <w:szCs w:val="20"/>
        </w:rPr>
        <w:t xml:space="preserve">. Relatório sobre o Desenvolvimento Mundial 2006. Washington </w:t>
      </w:r>
      <w:r>
        <w:rPr>
          <w:rFonts w:ascii="Times New Roman" w:hAnsi="Times New Roman"/>
          <w:sz w:val="20"/>
          <w:szCs w:val="20"/>
        </w:rPr>
        <w:t>D.C., 2006, grifos meus.</w:t>
      </w:r>
    </w:p>
  </w:footnote>
  <w:footnote w:id="157">
    <w:p w:rsidR="00DD31B9" w:rsidRPr="002B0943" w:rsidRDefault="00DD31B9" w:rsidP="00EB4951">
      <w:pPr>
        <w:autoSpaceDE w:val="0"/>
        <w:autoSpaceDN w:val="0"/>
        <w:adjustRightInd w:val="0"/>
        <w:spacing w:after="0" w:line="240" w:lineRule="auto"/>
        <w:rPr>
          <w:rFonts w:ascii="Times New Roman" w:hAnsi="Times New Roman"/>
        </w:rPr>
      </w:pPr>
      <w:r w:rsidRPr="002B0943">
        <w:rPr>
          <w:rStyle w:val="Refdenotaderodap"/>
          <w:rFonts w:ascii="Times New Roman" w:hAnsi="Times New Roman"/>
          <w:sz w:val="20"/>
          <w:szCs w:val="20"/>
        </w:rPr>
        <w:footnoteRef/>
      </w:r>
      <w:r w:rsidRPr="002B0943">
        <w:rPr>
          <w:rFonts w:ascii="Times New Roman" w:hAnsi="Times New Roman"/>
          <w:sz w:val="20"/>
          <w:szCs w:val="20"/>
        </w:rPr>
        <w:t xml:space="preserve"> Secretaria de Relações Institucionais. Secretaria do Conselho de Desenvolvimento Econômico e Social. </w:t>
      </w:r>
      <w:r w:rsidRPr="002B0943">
        <w:rPr>
          <w:rFonts w:ascii="Times New Roman" w:hAnsi="Times New Roman"/>
          <w:i/>
          <w:sz w:val="20"/>
          <w:szCs w:val="20"/>
        </w:rPr>
        <w:t xml:space="preserve">O Conselho de Desenvolvimento Econômico e Social – </w:t>
      </w:r>
      <w:r w:rsidRPr="002B0943">
        <w:rPr>
          <w:rFonts w:ascii="Times New Roman" w:hAnsi="Times New Roman"/>
          <w:sz w:val="20"/>
          <w:szCs w:val="20"/>
        </w:rPr>
        <w:t>Brasil: Ver</w:t>
      </w:r>
      <w:r>
        <w:rPr>
          <w:rFonts w:ascii="Times New Roman" w:hAnsi="Times New Roman"/>
          <w:sz w:val="20"/>
          <w:szCs w:val="20"/>
        </w:rPr>
        <w:t>são Preliminar. Brasília: 2004b, p. 26.</w:t>
      </w:r>
    </w:p>
  </w:footnote>
  <w:footnote w:id="158">
    <w:p w:rsidR="00DD31B9" w:rsidRPr="00EB4951" w:rsidRDefault="00DD31B9">
      <w:pPr>
        <w:pStyle w:val="Textodenotaderodap"/>
        <w:rPr>
          <w:rFonts w:ascii="Times New Roman" w:hAnsi="Times New Roman"/>
        </w:rPr>
      </w:pPr>
      <w:r w:rsidRPr="00EB4951">
        <w:rPr>
          <w:rStyle w:val="Refdenotaderodap"/>
          <w:rFonts w:ascii="Times New Roman" w:hAnsi="Times New Roman"/>
        </w:rPr>
        <w:footnoteRef/>
      </w:r>
      <w:r>
        <w:rPr>
          <w:rFonts w:ascii="Times New Roman" w:hAnsi="Times New Roman"/>
        </w:rPr>
        <w:t>Idem, p. 26.</w:t>
      </w:r>
    </w:p>
  </w:footnote>
  <w:footnote w:id="159">
    <w:p w:rsidR="00DD31B9" w:rsidRPr="002B0943" w:rsidRDefault="00DD31B9" w:rsidP="008F013E">
      <w:pPr>
        <w:spacing w:after="0" w:line="240" w:lineRule="auto"/>
        <w:rPr>
          <w:rFonts w:ascii="Times New Roman" w:hAnsi="Times New Roman"/>
          <w:sz w:val="20"/>
          <w:szCs w:val="20"/>
        </w:rPr>
      </w:pPr>
      <w:r w:rsidRPr="002B0943">
        <w:rPr>
          <w:rStyle w:val="Refdenotaderodap"/>
          <w:rFonts w:ascii="Times New Roman" w:hAnsi="Times New Roman"/>
          <w:sz w:val="20"/>
          <w:szCs w:val="20"/>
        </w:rPr>
        <w:footnoteRef/>
      </w:r>
      <w:r w:rsidRPr="002B0943">
        <w:rPr>
          <w:rFonts w:ascii="Times New Roman" w:hAnsi="Times New Roman"/>
          <w:sz w:val="20"/>
          <w:szCs w:val="20"/>
        </w:rPr>
        <w:t xml:space="preserve"> FONTES, Virgínia. </w:t>
      </w:r>
      <w:r w:rsidRPr="002B0943">
        <w:rPr>
          <w:rFonts w:ascii="Times New Roman" w:hAnsi="Times New Roman"/>
          <w:i/>
          <w:sz w:val="20"/>
          <w:szCs w:val="20"/>
        </w:rPr>
        <w:t>O Brasil e o capital-imperialismo</w:t>
      </w:r>
      <w:r>
        <w:rPr>
          <w:rFonts w:ascii="Times New Roman" w:hAnsi="Times New Roman"/>
          <w:sz w:val="20"/>
          <w:szCs w:val="20"/>
        </w:rPr>
        <w:t>... Op. cit., p. 304.</w:t>
      </w:r>
    </w:p>
  </w:footnote>
  <w:footnote w:id="160">
    <w:p w:rsidR="00DD31B9" w:rsidRPr="00B56BDD" w:rsidRDefault="00DD31B9" w:rsidP="00CE3680">
      <w:pPr>
        <w:pStyle w:val="Textodenotaderodap"/>
        <w:rPr>
          <w:rFonts w:ascii="Times New Roman" w:hAnsi="Times New Roman"/>
        </w:rPr>
      </w:pPr>
      <w:r w:rsidRPr="00B56BDD">
        <w:rPr>
          <w:rStyle w:val="Refdenotaderodap"/>
          <w:rFonts w:ascii="Times New Roman" w:hAnsi="Times New Roman"/>
        </w:rPr>
        <w:footnoteRef/>
      </w:r>
      <w:r w:rsidRPr="00B56BDD">
        <w:rPr>
          <w:rFonts w:ascii="Times New Roman" w:hAnsi="Times New Roman"/>
        </w:rPr>
        <w:t xml:space="preserve"> A denúncia, publicada pela Folha de São Paulo, do então deputado federal Roberto Jefferson (PTB) de que o tesoureiro do PT, Delúbio Soares, articulava um esquema de pagamento de propina mensal de R$ 30 mil a deputados e senadores que votassem as matérias encaminhadas ao Congresso segundo orientações do governo apareceu em 06 de junho de 2005.</w:t>
      </w:r>
    </w:p>
  </w:footnote>
  <w:footnote w:id="161">
    <w:p w:rsidR="00DD31B9" w:rsidRPr="00A953E2" w:rsidRDefault="00DD31B9" w:rsidP="00CE3680">
      <w:pPr>
        <w:pStyle w:val="Textodenotaderodap"/>
        <w:rPr>
          <w:rFonts w:ascii="Times New Roman" w:hAnsi="Times New Roman"/>
        </w:rPr>
      </w:pPr>
      <w:r w:rsidRPr="00A953E2">
        <w:rPr>
          <w:rStyle w:val="Refdenotaderodap"/>
          <w:rFonts w:ascii="Times New Roman" w:hAnsi="Times New Roman"/>
        </w:rPr>
        <w:footnoteRef/>
      </w:r>
      <w:r w:rsidRPr="00EF615E">
        <w:rPr>
          <w:rFonts w:ascii="Times New Roman" w:hAnsi="Times New Roman"/>
        </w:rPr>
        <w:t>GARCIA, Ronaldo C</w:t>
      </w:r>
      <w:r>
        <w:rPr>
          <w:rFonts w:ascii="Times New Roman" w:hAnsi="Times New Roman"/>
        </w:rPr>
        <w:t>.</w:t>
      </w:r>
      <w:r w:rsidRPr="00EF615E">
        <w:rPr>
          <w:rFonts w:ascii="Times New Roman" w:hAnsi="Times New Roman"/>
        </w:rPr>
        <w:t xml:space="preserve"> O CDES e a construção da Agenda Nacional de Desenvolvimento</w:t>
      </w:r>
      <w:r>
        <w:rPr>
          <w:rFonts w:ascii="Times New Roman" w:hAnsi="Times New Roman"/>
        </w:rPr>
        <w:t>... Op. cit., p. 110.</w:t>
      </w:r>
    </w:p>
  </w:footnote>
  <w:footnote w:id="162">
    <w:p w:rsidR="00DD31B9" w:rsidRPr="00A953E2" w:rsidRDefault="00DD31B9" w:rsidP="00CE3680">
      <w:pPr>
        <w:pStyle w:val="Textodenotaderodap"/>
        <w:rPr>
          <w:rFonts w:ascii="Times New Roman" w:hAnsi="Times New Roman"/>
        </w:rPr>
      </w:pPr>
      <w:r w:rsidRPr="00A953E2">
        <w:rPr>
          <w:rStyle w:val="Refdenotaderodap"/>
          <w:rFonts w:ascii="Times New Roman" w:hAnsi="Times New Roman"/>
        </w:rPr>
        <w:footnoteRef/>
      </w:r>
      <w:r>
        <w:rPr>
          <w:rFonts w:ascii="Times New Roman" w:hAnsi="Times New Roman"/>
        </w:rPr>
        <w:t>Idem, p. 111-112.</w:t>
      </w:r>
    </w:p>
  </w:footnote>
  <w:footnote w:id="163">
    <w:p w:rsidR="00DD31B9" w:rsidRDefault="00DD31B9" w:rsidP="00CE3680">
      <w:pPr>
        <w:pStyle w:val="Textodenotaderodap"/>
      </w:pPr>
      <w:r w:rsidRPr="00A953E2">
        <w:rPr>
          <w:rStyle w:val="Refdenotaderodap"/>
          <w:rFonts w:ascii="Times New Roman" w:hAnsi="Times New Roman"/>
        </w:rPr>
        <w:footnoteRef/>
      </w:r>
      <w:r w:rsidRPr="00A953E2">
        <w:rPr>
          <w:rFonts w:ascii="Times New Roman" w:hAnsi="Times New Roman"/>
        </w:rPr>
        <w:t xml:space="preserve"> Idem, p. 113</w:t>
      </w:r>
      <w:r>
        <w:t>.</w:t>
      </w:r>
    </w:p>
  </w:footnote>
  <w:footnote w:id="164">
    <w:p w:rsidR="00DD31B9" w:rsidRPr="00A953E2" w:rsidRDefault="00DD31B9" w:rsidP="00CE3680">
      <w:pPr>
        <w:pStyle w:val="Textodenotaderodap"/>
        <w:rPr>
          <w:rFonts w:ascii="Times New Roman" w:hAnsi="Times New Roman"/>
        </w:rPr>
      </w:pPr>
      <w:r w:rsidRPr="00A953E2">
        <w:rPr>
          <w:rStyle w:val="Refdenotaderodap"/>
          <w:rFonts w:ascii="Times New Roman" w:hAnsi="Times New Roman"/>
        </w:rPr>
        <w:footnoteRef/>
      </w:r>
      <w:r w:rsidRPr="00A953E2">
        <w:rPr>
          <w:rFonts w:ascii="Times New Roman" w:hAnsi="Times New Roman"/>
        </w:rPr>
        <w:t xml:space="preserve"> Idem, p. 116.</w:t>
      </w:r>
    </w:p>
  </w:footnote>
  <w:footnote w:id="165">
    <w:p w:rsidR="00DD31B9" w:rsidRPr="002E12D5" w:rsidRDefault="00DD31B9" w:rsidP="00CE3680">
      <w:pPr>
        <w:pStyle w:val="Textodenotaderodap"/>
        <w:rPr>
          <w:rFonts w:ascii="Times New Roman" w:hAnsi="Times New Roman"/>
        </w:rPr>
      </w:pPr>
      <w:r w:rsidRPr="002E12D5">
        <w:rPr>
          <w:rStyle w:val="Refdenotaderodap"/>
          <w:rFonts w:ascii="Times New Roman" w:hAnsi="Times New Roman"/>
        </w:rPr>
        <w:footnoteRef/>
      </w:r>
      <w:r w:rsidRPr="002E12D5">
        <w:rPr>
          <w:rFonts w:ascii="Times New Roman" w:hAnsi="Times New Roman"/>
        </w:rPr>
        <w:t xml:space="preserve"> Trata-se da entrevista de 21 de janeiro de 2008 intitulada “Governo troca conselheiro quando bem entende”, já referenciada. A resposta </w:t>
      </w:r>
      <w:r>
        <w:rPr>
          <w:rFonts w:ascii="Times New Roman" w:hAnsi="Times New Roman"/>
        </w:rPr>
        <w:t>em defesa do governo</w:t>
      </w:r>
      <w:r w:rsidRPr="002E12D5">
        <w:rPr>
          <w:rFonts w:ascii="Times New Roman" w:hAnsi="Times New Roman"/>
        </w:rPr>
        <w:t xml:space="preserve"> foi dada pelo conselheiro Antonio Neto (CGTB)</w:t>
      </w:r>
      <w:r>
        <w:rPr>
          <w:rFonts w:ascii="Times New Roman" w:hAnsi="Times New Roman"/>
        </w:rPr>
        <w:t>, em 15/02/2008:</w:t>
      </w:r>
      <w:r w:rsidRPr="002E12D5">
        <w:rPr>
          <w:rFonts w:ascii="Times New Roman" w:hAnsi="Times New Roman"/>
        </w:rPr>
        <w:t xml:space="preserve"> “Participo do CDES desde a sua fundação e posso assegurar que há um grande equívoco nessa avaliação. Os conselheiros são nomeados para mandatos de dois anos e, em nenhum momento, esses mandatos foram interrompidos por decisão do governo</w:t>
      </w:r>
      <w:r>
        <w:rPr>
          <w:rFonts w:ascii="Times New Roman" w:hAnsi="Times New Roman"/>
        </w:rPr>
        <w:t>”</w:t>
      </w:r>
      <w:r w:rsidRPr="002E12D5">
        <w:rPr>
          <w:rFonts w:ascii="Times New Roman" w:hAnsi="Times New Roman"/>
        </w:rPr>
        <w:t>.</w:t>
      </w:r>
      <w:r>
        <w:rPr>
          <w:rFonts w:ascii="Times New Roman" w:hAnsi="Times New Roman"/>
        </w:rPr>
        <w:t xml:space="preserve"> Para mais detalhes conferir em &lt;</w:t>
      </w:r>
      <w:r w:rsidRPr="002E12D5">
        <w:rPr>
          <w:rFonts w:ascii="Times New Roman" w:hAnsi="Times New Roman"/>
        </w:rPr>
        <w:t>http://www.cdes.gov.br/noticia/5968/um-conselho-que-veio-para-ficar.html</w:t>
      </w:r>
      <w:r>
        <w:rPr>
          <w:rFonts w:ascii="Times New Roman" w:hAnsi="Times New Roman"/>
        </w:rPr>
        <w:t>&gt;. Acesso em 13/01/2014.</w:t>
      </w:r>
    </w:p>
  </w:footnote>
  <w:footnote w:id="166">
    <w:p w:rsidR="00DD31B9" w:rsidRPr="00F86EA0" w:rsidRDefault="00DD31B9" w:rsidP="006561DA">
      <w:pPr>
        <w:spacing w:after="0" w:line="240" w:lineRule="auto"/>
        <w:rPr>
          <w:rFonts w:ascii="Times New Roman" w:hAnsi="Times New Roman"/>
          <w:sz w:val="20"/>
          <w:szCs w:val="20"/>
        </w:rPr>
      </w:pPr>
      <w:r w:rsidRPr="00F86EA0">
        <w:rPr>
          <w:rStyle w:val="Refdenotaderodap"/>
          <w:rFonts w:ascii="Times New Roman" w:hAnsi="Times New Roman"/>
          <w:sz w:val="20"/>
          <w:szCs w:val="20"/>
        </w:rPr>
        <w:footnoteRef/>
      </w:r>
      <w:r w:rsidRPr="00F86EA0">
        <w:rPr>
          <w:rFonts w:ascii="Times New Roman" w:hAnsi="Times New Roman"/>
          <w:sz w:val="20"/>
          <w:szCs w:val="20"/>
        </w:rPr>
        <w:t xml:space="preserve"> FLEURY, Sonia. Governo troca conselheiro quando bem entende. Entrevista concedida a Luciana Nunes Leal ao </w:t>
      </w:r>
      <w:r w:rsidRPr="00F86EA0">
        <w:rPr>
          <w:rFonts w:ascii="Times New Roman" w:hAnsi="Times New Roman"/>
          <w:i/>
          <w:sz w:val="20"/>
          <w:szCs w:val="20"/>
        </w:rPr>
        <w:t>Jornal Estado de São Paulo</w:t>
      </w:r>
      <w:r w:rsidRPr="00F86EA0">
        <w:rPr>
          <w:rFonts w:ascii="Times New Roman" w:hAnsi="Times New Roman"/>
          <w:sz w:val="20"/>
          <w:szCs w:val="20"/>
        </w:rPr>
        <w:t xml:space="preserve">. “Grifos meus. Retirado de &lt;http://www.cdes.gov.br/noticia/5789/governo-troca-conselheiro-quando-bem-entende.html&gt;. Acesso em 02/01/2014. </w:t>
      </w:r>
    </w:p>
  </w:footnote>
  <w:footnote w:id="167">
    <w:p w:rsidR="00DD31B9" w:rsidRPr="00094D22" w:rsidRDefault="00DD31B9" w:rsidP="00DC613E">
      <w:pPr>
        <w:autoSpaceDE w:val="0"/>
        <w:autoSpaceDN w:val="0"/>
        <w:adjustRightInd w:val="0"/>
        <w:spacing w:after="0" w:line="240" w:lineRule="auto"/>
        <w:rPr>
          <w:rFonts w:ascii="Times New Roman" w:hAnsi="Times New Roman"/>
          <w:sz w:val="20"/>
          <w:szCs w:val="20"/>
        </w:rPr>
      </w:pPr>
      <w:r w:rsidRPr="00094D22">
        <w:rPr>
          <w:rStyle w:val="Refdenotaderodap"/>
          <w:rFonts w:ascii="Times New Roman" w:hAnsi="Times New Roman"/>
          <w:sz w:val="20"/>
          <w:szCs w:val="20"/>
        </w:rPr>
        <w:footnoteRef/>
      </w:r>
      <w:r w:rsidRPr="00094D22">
        <w:rPr>
          <w:rFonts w:ascii="Times New Roman" w:hAnsi="Times New Roman"/>
          <w:sz w:val="20"/>
          <w:szCs w:val="20"/>
        </w:rPr>
        <w:t xml:space="preserve"> “Então, esse é o desafio que nós queremos propor, esse será o objeto das três intervenções que foram indicadas, [traçar pontos para a produção dos Enunciados Estratégicos para o Desenvolvimento] e nós queremos abrir um debate profundo democrático “radical” sobre esse assunto, “radical” no sentido de ir as raízes, esse é o sentido da expressão “radical” que a gente usa, </w:t>
      </w:r>
      <w:r w:rsidRPr="00094D22">
        <w:rPr>
          <w:rFonts w:ascii="Times New Roman" w:hAnsi="Times New Roman"/>
          <w:b/>
          <w:sz w:val="20"/>
          <w:szCs w:val="20"/>
        </w:rPr>
        <w:t>e não de histeria retórica que ninguém é dotado aqui nesse conselho</w:t>
      </w:r>
      <w:r w:rsidRPr="00094D22">
        <w:rPr>
          <w:rFonts w:ascii="Times New Roman" w:hAnsi="Times New Roman"/>
          <w:sz w:val="20"/>
          <w:szCs w:val="20"/>
        </w:rPr>
        <w:t>” (ATA da 17ª Reunião Plenária, 10/05/2006, p. 14, grifos meus).</w:t>
      </w:r>
    </w:p>
  </w:footnote>
  <w:footnote w:id="168">
    <w:p w:rsidR="00DD31B9" w:rsidRPr="005D2C9B" w:rsidRDefault="00DD31B9">
      <w:pPr>
        <w:pStyle w:val="Textodenotaderodap"/>
        <w:rPr>
          <w:rFonts w:ascii="Times New Roman" w:hAnsi="Times New Roman"/>
        </w:rPr>
      </w:pPr>
      <w:r w:rsidRPr="005D2C9B">
        <w:rPr>
          <w:rStyle w:val="Refdenotaderodap"/>
          <w:rFonts w:ascii="Times New Roman" w:hAnsi="Times New Roman"/>
        </w:rPr>
        <w:footnoteRef/>
      </w:r>
      <w:r w:rsidRPr="005D2C9B">
        <w:rPr>
          <w:rFonts w:ascii="Times New Roman" w:hAnsi="Times New Roman"/>
        </w:rPr>
        <w:t xml:space="preserve"> “Governo troca conselheiro quando bem entende”,</w:t>
      </w:r>
      <w:r>
        <w:rPr>
          <w:rFonts w:ascii="Times New Roman" w:hAnsi="Times New Roman"/>
        </w:rPr>
        <w:t xml:space="preserve"> Op. cit., grifos meus.</w:t>
      </w:r>
    </w:p>
  </w:footnote>
  <w:footnote w:id="169">
    <w:p w:rsidR="00DD31B9" w:rsidRDefault="00DD31B9" w:rsidP="00CE3680">
      <w:pPr>
        <w:pStyle w:val="Textodenotaderodap"/>
      </w:pPr>
      <w:r w:rsidRPr="009E7C43">
        <w:rPr>
          <w:rStyle w:val="Refdenotaderodap"/>
          <w:rFonts w:ascii="Times New Roman" w:hAnsi="Times New Roman"/>
        </w:rPr>
        <w:footnoteRef/>
      </w:r>
      <w:r w:rsidRPr="009E7C43">
        <w:rPr>
          <w:rFonts w:ascii="Times New Roman" w:hAnsi="Times New Roman"/>
        </w:rPr>
        <w:t xml:space="preserve"> S</w:t>
      </w:r>
      <w:r>
        <w:rPr>
          <w:rFonts w:ascii="Times New Roman" w:hAnsi="Times New Roman"/>
        </w:rPr>
        <w:t>RI</w:t>
      </w:r>
      <w:r w:rsidRPr="009A2F26">
        <w:rPr>
          <w:rFonts w:ascii="Times New Roman" w:hAnsi="Times New Roman"/>
        </w:rPr>
        <w:t xml:space="preserve">. </w:t>
      </w:r>
      <w:r>
        <w:rPr>
          <w:rFonts w:ascii="Times New Roman" w:hAnsi="Times New Roman"/>
        </w:rPr>
        <w:t>SEDES</w:t>
      </w:r>
      <w:r w:rsidRPr="009A2F26">
        <w:rPr>
          <w:rFonts w:ascii="Times New Roman" w:hAnsi="Times New Roman"/>
        </w:rPr>
        <w:t xml:space="preserve">. </w:t>
      </w:r>
      <w:r w:rsidRPr="009A2F26">
        <w:rPr>
          <w:rFonts w:ascii="Times New Roman" w:hAnsi="Times New Roman"/>
          <w:i/>
        </w:rPr>
        <w:t>Mesa Redonda</w:t>
      </w:r>
      <w:r w:rsidRPr="009A2F26">
        <w:rPr>
          <w:rFonts w:ascii="Times New Roman" w:hAnsi="Times New Roman"/>
        </w:rPr>
        <w:t xml:space="preserve">: Diálogo Social </w:t>
      </w:r>
      <w:r>
        <w:rPr>
          <w:rFonts w:ascii="Times New Roman" w:hAnsi="Times New Roman"/>
        </w:rPr>
        <w:t>..., 2004a, Op. cit.,p. 129. Grifos meus.</w:t>
      </w:r>
    </w:p>
  </w:footnote>
  <w:footnote w:id="170">
    <w:p w:rsidR="00DD31B9" w:rsidRPr="00094D22" w:rsidRDefault="00DD31B9">
      <w:pPr>
        <w:pStyle w:val="Textodenotaderodap"/>
        <w:rPr>
          <w:rFonts w:ascii="Times New Roman" w:hAnsi="Times New Roman"/>
        </w:rPr>
      </w:pPr>
      <w:r w:rsidRPr="00CE4F47">
        <w:rPr>
          <w:rStyle w:val="Refdenotaderodap"/>
          <w:rFonts w:ascii="Times New Roman" w:hAnsi="Times New Roman"/>
        </w:rPr>
        <w:footnoteRef/>
      </w:r>
      <w:r>
        <w:rPr>
          <w:rFonts w:ascii="Times New Roman" w:hAnsi="Times New Roman"/>
        </w:rPr>
        <w:t xml:space="preserve">Proposta de Fleury na referida reunião: </w:t>
      </w:r>
      <w:r w:rsidRPr="00094D22">
        <w:rPr>
          <w:rFonts w:ascii="Times New Roman" w:hAnsi="Times New Roman"/>
        </w:rPr>
        <w:t xml:space="preserve">“(...) que o governo propusesse no Brasil, também, como eu já propus neste Conselho, que </w:t>
      </w:r>
      <w:r w:rsidRPr="00094D22">
        <w:rPr>
          <w:rFonts w:ascii="Times New Roman" w:hAnsi="Times New Roman"/>
          <w:b/>
        </w:rPr>
        <w:t>tributássemos o capital financeiro, que tem ganhado mais do que todos os demais setores da economia</w:t>
      </w:r>
      <w:r w:rsidRPr="00094D22">
        <w:rPr>
          <w:rFonts w:ascii="Times New Roman" w:hAnsi="Times New Roman"/>
        </w:rPr>
        <w:t>, para viabilizar uma previdência social universal, ao invés de reduzir os benefícios previdenciários. Acordos desse tipo é que temos de chegar” (idem, p. 128, grifos meus).</w:t>
      </w:r>
    </w:p>
  </w:footnote>
  <w:footnote w:id="171">
    <w:p w:rsidR="00DD31B9" w:rsidRPr="009E7C43" w:rsidRDefault="00DD31B9" w:rsidP="00CE3680">
      <w:pPr>
        <w:pStyle w:val="Textodenotaderodap"/>
        <w:rPr>
          <w:rFonts w:ascii="Times New Roman" w:hAnsi="Times New Roman"/>
        </w:rPr>
      </w:pPr>
      <w:r w:rsidRPr="009E7C43">
        <w:rPr>
          <w:rStyle w:val="Refdenotaderodap"/>
          <w:rFonts w:ascii="Times New Roman" w:hAnsi="Times New Roman"/>
        </w:rPr>
        <w:footnoteRef/>
      </w:r>
      <w:r w:rsidRPr="009E7C43">
        <w:rPr>
          <w:rFonts w:ascii="Times New Roman" w:hAnsi="Times New Roman"/>
        </w:rPr>
        <w:t xml:space="preserve"> Idem, p. 133-134</w:t>
      </w:r>
      <w:r>
        <w:rPr>
          <w:rFonts w:ascii="Times New Roman" w:hAnsi="Times New Roman"/>
        </w:rPr>
        <w:t>, grifos meus.</w:t>
      </w:r>
    </w:p>
  </w:footnote>
  <w:footnote w:id="172">
    <w:p w:rsidR="00DD31B9" w:rsidRPr="006001D3" w:rsidRDefault="00DD31B9">
      <w:pPr>
        <w:pStyle w:val="Textodenotaderodap"/>
        <w:rPr>
          <w:rFonts w:ascii="Times New Roman" w:hAnsi="Times New Roman"/>
        </w:rPr>
      </w:pPr>
      <w:r w:rsidRPr="006001D3">
        <w:rPr>
          <w:rStyle w:val="Refdenotaderodap"/>
          <w:rFonts w:ascii="Times New Roman" w:hAnsi="Times New Roman"/>
        </w:rPr>
        <w:footnoteRef/>
      </w:r>
      <w:r>
        <w:rPr>
          <w:rFonts w:ascii="Times New Roman" w:hAnsi="Times New Roman"/>
        </w:rPr>
        <w:t xml:space="preserve">O debate acerca da ampliação do CMN e dos </w:t>
      </w:r>
      <w:r>
        <w:rPr>
          <w:rFonts w:ascii="Times New Roman" w:hAnsi="Times New Roman"/>
          <w:i/>
        </w:rPr>
        <w:t xml:space="preserve">spreads </w:t>
      </w:r>
      <w:r>
        <w:rPr>
          <w:rFonts w:ascii="Times New Roman" w:hAnsi="Times New Roman"/>
        </w:rPr>
        <w:t>bancários entre os conselheiros será tratado no capítulo 3.</w:t>
      </w:r>
    </w:p>
  </w:footnote>
  <w:footnote w:id="173">
    <w:p w:rsidR="00DD31B9" w:rsidRPr="00D621CB" w:rsidRDefault="00DD31B9" w:rsidP="00CE3680">
      <w:pPr>
        <w:pStyle w:val="Textodenotaderodap"/>
        <w:rPr>
          <w:rFonts w:ascii="Times New Roman" w:hAnsi="Times New Roman"/>
        </w:rPr>
      </w:pPr>
      <w:r w:rsidRPr="00D621CB">
        <w:rPr>
          <w:rStyle w:val="Refdenotaderodap"/>
          <w:rFonts w:ascii="Times New Roman" w:hAnsi="Times New Roman"/>
        </w:rPr>
        <w:footnoteRef/>
      </w:r>
      <w:r w:rsidRPr="00D621CB">
        <w:rPr>
          <w:rFonts w:ascii="Times New Roman" w:hAnsi="Times New Roman"/>
        </w:rPr>
        <w:t xml:space="preserve"> Disponível em &lt;http://www.sindpd.org.br/artigos/entrevistasPrint.asp?id=3&gt;. Acesso em 30/08/2010.</w:t>
      </w:r>
    </w:p>
  </w:footnote>
  <w:footnote w:id="174">
    <w:p w:rsidR="00DD31B9" w:rsidRPr="00353CF0" w:rsidRDefault="00DD31B9" w:rsidP="00CE3680">
      <w:pPr>
        <w:autoSpaceDE w:val="0"/>
        <w:autoSpaceDN w:val="0"/>
        <w:adjustRightInd w:val="0"/>
        <w:spacing w:after="0" w:line="240" w:lineRule="auto"/>
        <w:rPr>
          <w:rFonts w:ascii="Times New Roman" w:hAnsi="Times New Roman"/>
        </w:rPr>
      </w:pPr>
      <w:r w:rsidRPr="00C0307C">
        <w:rPr>
          <w:rStyle w:val="Refdenotaderodap"/>
          <w:rFonts w:ascii="Times New Roman" w:hAnsi="Times New Roman"/>
          <w:sz w:val="20"/>
          <w:szCs w:val="20"/>
        </w:rPr>
        <w:footnoteRef/>
      </w:r>
      <w:r w:rsidRPr="00C0307C">
        <w:rPr>
          <w:rFonts w:ascii="Times New Roman" w:hAnsi="Times New Roman"/>
          <w:sz w:val="20"/>
          <w:szCs w:val="20"/>
        </w:rPr>
        <w:t xml:space="preserve"> Segundo Evilásio Salvador, a Proposta de Emenda Constitucional (PEC) 233/2008, oriundo do projeto de Reforma Tributária, também debatido no CDES, “não altera a regressividade do sistema tributário e acaba com as fontes exclusivas de financiamento das políticas sociais, alterando de forma substancial a vinculação das fontes de financiamento exclusivas das políticas da seguridade social (previdência, saúde e assistência social), educação e trabalho”. Ver em SALVADOR, Evilásio. Financiamento tributário da política social no pós-real. In: BEHRING, Elaine. BOSCHETTI, Ivanete, GRANEMANN, Sara (orgs.).   </w:t>
      </w:r>
      <w:r w:rsidRPr="00C0307C">
        <w:rPr>
          <w:rFonts w:ascii="Times New Roman" w:hAnsi="Times New Roman"/>
          <w:i/>
          <w:sz w:val="20"/>
          <w:szCs w:val="20"/>
        </w:rPr>
        <w:t>Financeirização, fundo público e política social.</w:t>
      </w:r>
      <w:r w:rsidRPr="00C0307C">
        <w:rPr>
          <w:rFonts w:ascii="Times New Roman" w:hAnsi="Times New Roman"/>
          <w:sz w:val="20"/>
          <w:szCs w:val="20"/>
        </w:rPr>
        <w:t xml:space="preserve"> São Paulo: Cortez, 2012, p. 129. O Parecer sobre o Projeto de Emenda Constitucional da Reforma Tributária, de 25 de fevereiro de 2008, presente no Relatório de Atividades do CDES de 2008, explicita a aprovação da PEC pelo CDES: “Nós, Conselheiros e Conselheiras do CDES, queremos expressar nossa convicção de que o projeto é uma grande evolução em relação ao sistema que prevalece hoje no País sendo, portanto, de interesse nacional, urgente e necessário para consolidação dos avanços significativos que o Brasil vem experimentando sob o comando de Vossa Excelência”. Dentre as vantagens para o grande capital na referida PEC, constava uma insistente demanda empresarial:“Que o projeto a ser apreciado pelo Congresso Nacional embute inúmeras sugestões e aperfeiçoamentos sugeridos pelos membros do CDES, especificamente no que diz respeito (...) </w:t>
      </w:r>
      <w:r w:rsidRPr="00C0307C">
        <w:rPr>
          <w:rFonts w:ascii="Times New Roman" w:hAnsi="Times New Roman"/>
          <w:b/>
          <w:sz w:val="20"/>
          <w:szCs w:val="20"/>
        </w:rPr>
        <w:t>às desonerações sobre a folha de pagamentos</w:t>
      </w:r>
      <w:r w:rsidRPr="00C0307C">
        <w:rPr>
          <w:rFonts w:ascii="Times New Roman" w:hAnsi="Times New Roman"/>
          <w:sz w:val="20"/>
          <w:szCs w:val="20"/>
        </w:rPr>
        <w:t xml:space="preserve"> que terão impactos positivos sobre os investimentos e sobre o emprego. (...)” Secretaria de Relações Institucionais. Secretaria do Conselho de Desenvolvimento Econômico e Social. </w:t>
      </w:r>
      <w:r w:rsidRPr="00C0307C">
        <w:rPr>
          <w:rFonts w:ascii="Times New Roman" w:hAnsi="Times New Roman"/>
          <w:i/>
          <w:sz w:val="20"/>
          <w:szCs w:val="20"/>
        </w:rPr>
        <w:t>Relatórios de Atividades 2008,</w:t>
      </w:r>
      <w:r w:rsidRPr="00C0307C">
        <w:rPr>
          <w:rFonts w:ascii="Times New Roman" w:hAnsi="Times New Roman"/>
          <w:sz w:val="20"/>
          <w:szCs w:val="20"/>
        </w:rPr>
        <w:t xml:space="preserve"> Brasilia, Presidência da República, CDES, 2009, p. 75-76, grifos meus</w:t>
      </w:r>
      <w:r w:rsidRPr="00C96D7D">
        <w:rPr>
          <w:rFonts w:ascii="Times New Roman" w:hAnsi="Times New Roman"/>
          <w:sz w:val="20"/>
          <w:szCs w:val="20"/>
        </w:rPr>
        <w:t>.</w:t>
      </w:r>
    </w:p>
  </w:footnote>
  <w:footnote w:id="175">
    <w:p w:rsidR="00DD31B9" w:rsidRPr="009E7C43" w:rsidRDefault="00DD31B9" w:rsidP="00CE3680">
      <w:pPr>
        <w:pStyle w:val="Textodenotaderodap"/>
        <w:rPr>
          <w:rFonts w:ascii="Times New Roman" w:hAnsi="Times New Roman"/>
        </w:rPr>
      </w:pPr>
      <w:r w:rsidRPr="009E7C43">
        <w:rPr>
          <w:rStyle w:val="Refdenotaderodap"/>
          <w:rFonts w:ascii="Times New Roman" w:hAnsi="Times New Roman"/>
        </w:rPr>
        <w:footnoteRef/>
      </w:r>
      <w:r w:rsidRPr="009E7C43">
        <w:rPr>
          <w:rFonts w:ascii="Times New Roman" w:hAnsi="Times New Roman"/>
        </w:rPr>
        <w:t xml:space="preserve"> Secretaria de Relações Institucionais. Secretaria do Conselho de Desenvolvimento Econômico e Social.</w:t>
      </w:r>
      <w:r w:rsidRPr="009E7C43">
        <w:rPr>
          <w:rFonts w:ascii="Times New Roman" w:hAnsi="Times New Roman"/>
          <w:i/>
        </w:rPr>
        <w:t xml:space="preserve"> A Governança do CDES e a contribuição do CDES para a Governança do processo de desenvolvimento do Brasil</w:t>
      </w:r>
      <w:r w:rsidRPr="009E7C43">
        <w:rPr>
          <w:rFonts w:ascii="Times New Roman" w:hAnsi="Times New Roman"/>
        </w:rPr>
        <w:t>. Termo de Referência Aprovado na 25ª Reunião do Pleno do CDES, realizada em Brasília, dia 01 de abril de 2008, p. 03.</w:t>
      </w:r>
    </w:p>
  </w:footnote>
  <w:footnote w:id="176">
    <w:p w:rsidR="00DD31B9" w:rsidRPr="00367331" w:rsidRDefault="00DD31B9" w:rsidP="00CE3680">
      <w:pPr>
        <w:pStyle w:val="Textodenotaderodap"/>
        <w:rPr>
          <w:rFonts w:ascii="Times New Roman" w:hAnsi="Times New Roman"/>
        </w:rPr>
      </w:pPr>
      <w:r w:rsidRPr="00367331">
        <w:rPr>
          <w:rStyle w:val="Refdenotaderodap"/>
          <w:rFonts w:ascii="Times New Roman" w:hAnsi="Times New Roman"/>
        </w:rPr>
        <w:footnoteRef/>
      </w:r>
      <w:r>
        <w:rPr>
          <w:rFonts w:ascii="Times New Roman" w:hAnsi="Times New Roman"/>
        </w:rPr>
        <w:t xml:space="preserve">SRI. SEDES. </w:t>
      </w:r>
      <w:r w:rsidRPr="009E7C43">
        <w:rPr>
          <w:rFonts w:ascii="Times New Roman" w:hAnsi="Times New Roman"/>
          <w:i/>
        </w:rPr>
        <w:t>A Governança do CDES e a contribuição do CDES</w:t>
      </w:r>
      <w:r>
        <w:rPr>
          <w:rFonts w:ascii="Times New Roman" w:hAnsi="Times New Roman"/>
          <w:i/>
        </w:rPr>
        <w:t xml:space="preserve">... </w:t>
      </w:r>
      <w:r>
        <w:rPr>
          <w:rFonts w:ascii="Times New Roman" w:hAnsi="Times New Roman"/>
        </w:rPr>
        <w:t xml:space="preserve">Op. cit., </w:t>
      </w:r>
      <w:r w:rsidRPr="00367331">
        <w:rPr>
          <w:rFonts w:ascii="Times New Roman" w:hAnsi="Times New Roman"/>
        </w:rPr>
        <w:t>p. 03</w:t>
      </w:r>
      <w:r>
        <w:rPr>
          <w:rFonts w:ascii="Times New Roman" w:hAnsi="Times New Roman"/>
          <w:i/>
        </w:rPr>
        <w:t>.</w:t>
      </w:r>
    </w:p>
  </w:footnote>
  <w:footnote w:id="177">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NEVES, Lúcia Wanderley. </w:t>
      </w:r>
      <w:r w:rsidRPr="00582426">
        <w:rPr>
          <w:rFonts w:ascii="Times New Roman" w:hAnsi="Times New Roman"/>
          <w:i/>
        </w:rPr>
        <w:t>A nova pedagogia da hegemonia</w:t>
      </w:r>
      <w:r w:rsidRPr="00582426">
        <w:rPr>
          <w:rFonts w:ascii="Times New Roman" w:hAnsi="Times New Roman"/>
        </w:rPr>
        <w:t>: estratégias do capital para educar o consenso. SP: Xamã, 2005.</w:t>
      </w:r>
    </w:p>
  </w:footnote>
  <w:footnote w:id="178">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Para a confecção dos quadros e gráficos deste trabalho foram utilizados o site do Conselho e alguns endereços eletrônicos da internet.</w:t>
      </w:r>
    </w:p>
  </w:footnote>
  <w:footnote w:id="179">
    <w:p w:rsidR="00DD31B9" w:rsidRPr="004C50D8" w:rsidRDefault="00DD31B9" w:rsidP="005775E4">
      <w:pPr>
        <w:spacing w:after="0"/>
        <w:rPr>
          <w:rFonts w:ascii="Times New Roman" w:hAnsi="Times New Roman"/>
          <w:sz w:val="20"/>
          <w:szCs w:val="20"/>
        </w:rPr>
      </w:pPr>
      <w:r w:rsidRPr="004C50D8">
        <w:rPr>
          <w:rStyle w:val="Refdenotaderodap"/>
          <w:rFonts w:ascii="Times New Roman" w:hAnsi="Times New Roman"/>
          <w:sz w:val="20"/>
          <w:szCs w:val="20"/>
        </w:rPr>
        <w:footnoteRef/>
      </w:r>
      <w:r w:rsidRPr="004C50D8">
        <w:rPr>
          <w:rFonts w:ascii="Times New Roman" w:hAnsi="Times New Roman"/>
          <w:sz w:val="20"/>
          <w:szCs w:val="20"/>
        </w:rPr>
        <w:t xml:space="preserve"> GALVÃO, Andréia. </w:t>
      </w:r>
      <w:r w:rsidRPr="00D260EA">
        <w:rPr>
          <w:rFonts w:ascii="Times New Roman" w:hAnsi="Times New Roman"/>
          <w:sz w:val="20"/>
          <w:szCs w:val="20"/>
        </w:rPr>
        <w:t>A contribuição do debate sobre a revitalização sindical para a análise do sindicalismo brasileiro</w:t>
      </w:r>
      <w:r w:rsidRPr="004C50D8">
        <w:rPr>
          <w:rFonts w:ascii="Times New Roman" w:hAnsi="Times New Roman"/>
          <w:sz w:val="20"/>
          <w:szCs w:val="20"/>
        </w:rPr>
        <w:t>.</w:t>
      </w:r>
      <w:r w:rsidRPr="00D260EA">
        <w:rPr>
          <w:rFonts w:ascii="Times New Roman" w:hAnsi="Times New Roman"/>
          <w:i/>
          <w:sz w:val="20"/>
          <w:szCs w:val="20"/>
        </w:rPr>
        <w:t xml:space="preserve"> Revista Crítica Marxista</w:t>
      </w:r>
      <w:r w:rsidRPr="004C50D8">
        <w:rPr>
          <w:rFonts w:ascii="Times New Roman" w:hAnsi="Times New Roman"/>
          <w:sz w:val="20"/>
          <w:szCs w:val="20"/>
        </w:rPr>
        <w:t>, São Paulo, Fundação Editora Unicamp, nº 38, 2014, p. 110.</w:t>
      </w:r>
    </w:p>
  </w:footnote>
  <w:footnote w:id="180">
    <w:p w:rsidR="00DD31B9" w:rsidRDefault="00DD31B9">
      <w:pPr>
        <w:pStyle w:val="Textodenotaderodap"/>
      </w:pPr>
      <w:r>
        <w:rPr>
          <w:rStyle w:val="Refdenotaderodap"/>
        </w:rPr>
        <w:footnoteRef/>
      </w:r>
      <w:r>
        <w:rPr>
          <w:rFonts w:ascii="Times New Roman" w:hAnsi="Times New Roman"/>
        </w:rPr>
        <w:t>GALVÃO, Andréia.</w:t>
      </w:r>
      <w:r w:rsidRPr="00275D8C">
        <w:rPr>
          <w:rFonts w:ascii="Times New Roman" w:hAnsi="Times New Roman"/>
        </w:rPr>
        <w:t xml:space="preserve">A reconfiguração do movimento sindical nos governos Lula. In: GALVÃO, Andréia. e BOITO Jr. Armando (orgs.). </w:t>
      </w:r>
      <w:r w:rsidRPr="00275D8C">
        <w:rPr>
          <w:rFonts w:ascii="Times New Roman" w:hAnsi="Times New Roman"/>
          <w:i/>
        </w:rPr>
        <w:t>Política e Classes Sociais no Brasil dos anos 2000</w:t>
      </w:r>
      <w:r w:rsidRPr="00275D8C">
        <w:rPr>
          <w:rFonts w:ascii="Times New Roman" w:hAnsi="Times New Roman"/>
        </w:rPr>
        <w:t>. São Paulo: Alameda, 2012</w:t>
      </w:r>
      <w:r>
        <w:rPr>
          <w:rFonts w:ascii="Times New Roman" w:hAnsi="Times New Roman"/>
        </w:rPr>
        <w:t>, p. 195.</w:t>
      </w:r>
    </w:p>
  </w:footnote>
  <w:footnote w:id="181">
    <w:p w:rsidR="00DD31B9" w:rsidRPr="005775E4" w:rsidRDefault="00DD31B9">
      <w:pPr>
        <w:pStyle w:val="Textodenotaderodap"/>
        <w:rPr>
          <w:rFonts w:ascii="Times New Roman" w:hAnsi="Times New Roman"/>
        </w:rPr>
      </w:pPr>
      <w:r w:rsidRPr="005775E4">
        <w:rPr>
          <w:rStyle w:val="Refdenotaderodap"/>
          <w:rFonts w:ascii="Times New Roman" w:hAnsi="Times New Roman"/>
        </w:rPr>
        <w:footnoteRef/>
      </w:r>
      <w:r>
        <w:rPr>
          <w:rFonts w:ascii="Times New Roman" w:hAnsi="Times New Roman"/>
        </w:rPr>
        <w:t>Disponível em &lt;</w:t>
      </w:r>
      <w:r w:rsidRPr="005775E4">
        <w:rPr>
          <w:rFonts w:ascii="Times New Roman" w:hAnsi="Times New Roman"/>
        </w:rPr>
        <w:t>http://www.ncst.org.br/subpage.php?id=18483</w:t>
      </w:r>
      <w:r>
        <w:rPr>
          <w:rFonts w:ascii="Times New Roman" w:hAnsi="Times New Roman"/>
        </w:rPr>
        <w:t>&gt;. Acesso em 04/03/2015.</w:t>
      </w:r>
    </w:p>
  </w:footnote>
  <w:footnote w:id="182">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COELHO, Eurelino. </w:t>
      </w:r>
      <w:r w:rsidRPr="00582426">
        <w:rPr>
          <w:rFonts w:ascii="Times New Roman" w:hAnsi="Times New Roman"/>
          <w:i/>
        </w:rPr>
        <w:t>Uma esquerda para o capital</w:t>
      </w:r>
      <w:r w:rsidRPr="00582426">
        <w:rPr>
          <w:rFonts w:ascii="Times New Roman" w:hAnsi="Times New Roman"/>
        </w:rPr>
        <w:t>... Op. cit., p. 461.</w:t>
      </w:r>
    </w:p>
  </w:footnote>
  <w:footnote w:id="183">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Francisco de Oliveira, em áspera crítica e fina análise, assevera que “A imprensa contou entre quinze e dezoito aviões executivos, conjunto que incluía pequenos jatinhos, em recente festa de aniversário de dirigente financeiro da campanha do PT. Não se sabia que trabalhadores possuíam aviões, e tantos...”. OLIVEIRA, Francisco de. </w:t>
      </w:r>
      <w:r w:rsidRPr="00582426">
        <w:rPr>
          <w:rFonts w:ascii="Times New Roman" w:hAnsi="Times New Roman"/>
          <w:i/>
        </w:rPr>
        <w:t>Crítica à razão dualista</w:t>
      </w:r>
      <w:r w:rsidRPr="00582426">
        <w:rPr>
          <w:rFonts w:ascii="Times New Roman" w:hAnsi="Times New Roman"/>
        </w:rPr>
        <w:t xml:space="preserve"> – o ornitorrinco. São Paulo: Boitempo, 2003, p. 146.</w:t>
      </w:r>
    </w:p>
  </w:footnote>
  <w:footnote w:id="184">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A análise do setor financeiro bancário e não bancário se encontra no item 2.3.</w:t>
      </w:r>
      <w:r>
        <w:rPr>
          <w:rFonts w:ascii="Times New Roman" w:hAnsi="Times New Roman"/>
        </w:rPr>
        <w:t>4</w:t>
      </w:r>
      <w:r w:rsidRPr="00582426">
        <w:rPr>
          <w:rFonts w:ascii="Times New Roman" w:hAnsi="Times New Roman"/>
        </w:rPr>
        <w:t>.</w:t>
      </w:r>
    </w:p>
  </w:footnote>
  <w:footnote w:id="185">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Para confecção deste quadro foram consultas o site do CDES </w:t>
      </w:r>
      <w:r w:rsidRPr="000C7CF7">
        <w:rPr>
          <w:rFonts w:ascii="Times New Roman" w:hAnsi="Times New Roman"/>
        </w:rPr>
        <w:t>(</w:t>
      </w:r>
      <w:hyperlink r:id="rId7" w:history="1">
        <w:r w:rsidRPr="000C7CF7">
          <w:rPr>
            <w:rStyle w:val="Hyperlink"/>
            <w:rFonts w:ascii="Times New Roman" w:hAnsi="Times New Roman"/>
            <w:color w:val="auto"/>
            <w:u w:val="none"/>
          </w:rPr>
          <w:t>www.cdes.gov.br</w:t>
        </w:r>
      </w:hyperlink>
      <w:r w:rsidRPr="00582426">
        <w:rPr>
          <w:rFonts w:ascii="Times New Roman" w:hAnsi="Times New Roman"/>
        </w:rPr>
        <w:t xml:space="preserve">), sites da internet e JARDIM, Maria A. Chaves. </w:t>
      </w:r>
      <w:r w:rsidRPr="00582426">
        <w:rPr>
          <w:rFonts w:ascii="Times New Roman" w:hAnsi="Times New Roman"/>
          <w:i/>
        </w:rPr>
        <w:t>Entre a solidariedade e o risco</w:t>
      </w:r>
      <w:r w:rsidRPr="00582426">
        <w:rPr>
          <w:rFonts w:ascii="Times New Roman" w:hAnsi="Times New Roman"/>
        </w:rPr>
        <w:t>: sindicatos e fundos de pensão em tempos de governo Lula. São Paulo: Annablume; Fapesp, 2009.</w:t>
      </w:r>
    </w:p>
  </w:footnote>
  <w:footnote w:id="186">
    <w:p w:rsidR="00DD31B9" w:rsidRPr="008731F9" w:rsidRDefault="00DD31B9" w:rsidP="00582426">
      <w:pPr>
        <w:spacing w:after="0" w:line="240" w:lineRule="auto"/>
        <w:rPr>
          <w:rFonts w:ascii="Times New Roman" w:hAnsi="Times New Roman"/>
          <w:sz w:val="20"/>
          <w:szCs w:val="20"/>
        </w:rPr>
      </w:pPr>
      <w:r w:rsidRPr="008731F9">
        <w:rPr>
          <w:rStyle w:val="Refdenotaderodap"/>
          <w:rFonts w:ascii="Times New Roman" w:hAnsi="Times New Roman"/>
          <w:sz w:val="20"/>
          <w:szCs w:val="20"/>
        </w:rPr>
        <w:footnoteRef/>
      </w:r>
      <w:r w:rsidRPr="008731F9">
        <w:rPr>
          <w:rFonts w:ascii="Times New Roman" w:hAnsi="Times New Roman"/>
          <w:sz w:val="20"/>
          <w:szCs w:val="20"/>
        </w:rPr>
        <w:t xml:space="preserve"> A LC108/2001 assegurou que os participantes destes fundos ocupassem no mínimo 1/3 das vagas nos seus Conselhos Deliberativos e Fiscais, ficando para o patrocinador dos fundos os 2/3 restantes, sendo que, no caso o patrocinador ser entidades públicas, a lei passou a exigir paridade entre representantes do patrocinador e dos participantes assistidos. A LC 109/2001 autorizou a criação de fundos de pensão por intermédio do instituidor profissional, classista ou setorial, como sindicatos, associações profissionais, cooperativas e outros, na modalidade de “Contribuição Definida” onde, seguindo a lógica da capitalização, os riscos dos investimentos recaem sobre os participantes (Cf.JARDIM, Maria A. Chaves. </w:t>
      </w:r>
      <w:r w:rsidRPr="008731F9">
        <w:rPr>
          <w:rFonts w:ascii="Times New Roman" w:hAnsi="Times New Roman"/>
          <w:i/>
          <w:sz w:val="20"/>
          <w:szCs w:val="20"/>
        </w:rPr>
        <w:t>Entre a solidariedade e o risco</w:t>
      </w:r>
      <w:r>
        <w:rPr>
          <w:rFonts w:ascii="Times New Roman" w:hAnsi="Times New Roman"/>
          <w:sz w:val="20"/>
          <w:szCs w:val="20"/>
        </w:rPr>
        <w:t>, p. 45-47</w:t>
      </w:r>
      <w:r w:rsidRPr="008731F9">
        <w:rPr>
          <w:rFonts w:ascii="Times New Roman" w:hAnsi="Times New Roman"/>
          <w:sz w:val="20"/>
          <w:szCs w:val="20"/>
        </w:rPr>
        <w:t>).</w:t>
      </w:r>
    </w:p>
  </w:footnote>
  <w:footnote w:id="187">
    <w:p w:rsidR="00DD31B9" w:rsidRPr="00877B9D" w:rsidRDefault="00DD31B9">
      <w:pPr>
        <w:pStyle w:val="Textodenotaderodap"/>
        <w:rPr>
          <w:rFonts w:ascii="Times New Roman" w:hAnsi="Times New Roman"/>
        </w:rPr>
      </w:pPr>
      <w:r>
        <w:rPr>
          <w:rStyle w:val="Refdenotaderodap"/>
        </w:rPr>
        <w:footnoteRef/>
      </w:r>
      <w:r>
        <w:rPr>
          <w:rFonts w:ascii="Times New Roman" w:hAnsi="Times New Roman"/>
        </w:rPr>
        <w:t xml:space="preserve">LÊNIN, V. I. </w:t>
      </w:r>
      <w:r w:rsidRPr="00877B9D">
        <w:rPr>
          <w:rFonts w:ascii="Times New Roman" w:hAnsi="Times New Roman"/>
          <w:i/>
        </w:rPr>
        <w:t>O imperialismo, fase superior do capitalismo</w:t>
      </w:r>
      <w:r>
        <w:rPr>
          <w:rFonts w:ascii="Times New Roman" w:hAnsi="Times New Roman"/>
        </w:rPr>
        <w:t>. In: Obras Escolhidas em Três Tomos. São Paulo, Editora Alfa-Ômega, vol. 1, 3ª ed, 1986, p. 585.</w:t>
      </w:r>
    </w:p>
  </w:footnote>
  <w:footnote w:id="188">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O Movimento dos Trabalhadores Rurais Sem Terra (MST) esteve representado no CDES pela figura de Roberto Baggio apenas entre 2003 e 2005, não tendo nenhuma outra liderança nomeada para integrar a plenária do Conselho.</w:t>
      </w:r>
    </w:p>
  </w:footnote>
  <w:footnote w:id="189">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São elas: Dráuzio Varella, Eros Grau, José Joaquim Calmon de Passos, Luiz Gonzaga Schroeder Lessa (general), Maria Lucélia dos Santos e Paulo Roberto de Freitas.</w:t>
      </w:r>
    </w:p>
  </w:footnote>
  <w:footnote w:id="190">
    <w:p w:rsidR="00DD31B9" w:rsidRDefault="00DD31B9" w:rsidP="00582426">
      <w:pPr>
        <w:pStyle w:val="Textodenotaderodap"/>
        <w:rPr>
          <w:rFonts w:ascii="Times New Roman" w:hAnsi="Times New Roman"/>
        </w:rPr>
      </w:pPr>
      <w:r w:rsidRPr="000C7CF7">
        <w:rPr>
          <w:rStyle w:val="Refdenotaderodap"/>
          <w:rFonts w:ascii="Times New Roman" w:hAnsi="Times New Roman"/>
        </w:rPr>
        <w:footnoteRef/>
      </w:r>
      <w:r w:rsidRPr="000C7CF7">
        <w:rPr>
          <w:rFonts w:ascii="Times New Roman" w:hAnsi="Times New Roman"/>
        </w:rPr>
        <w:t xml:space="preserve"> Os conselheiros </w:t>
      </w:r>
      <w:r w:rsidRPr="000C7CF7">
        <w:rPr>
          <w:rFonts w:ascii="Times New Roman" w:hAnsi="Times New Roman"/>
          <w:b/>
        </w:rPr>
        <w:t>Cândido Mendes</w:t>
      </w:r>
      <w:r w:rsidRPr="000C7CF7">
        <w:rPr>
          <w:rFonts w:ascii="Times New Roman" w:hAnsi="Times New Roman"/>
        </w:rPr>
        <w:t xml:space="preserve"> e </w:t>
      </w:r>
      <w:r w:rsidRPr="000C7CF7">
        <w:rPr>
          <w:rFonts w:ascii="Times New Roman" w:hAnsi="Times New Roman"/>
          <w:b/>
        </w:rPr>
        <w:t>Luiz Gonzaga de M. Belluzzo</w:t>
      </w:r>
      <w:r w:rsidRPr="000C7CF7">
        <w:rPr>
          <w:rFonts w:ascii="Times New Roman" w:hAnsi="Times New Roman"/>
        </w:rPr>
        <w:t xml:space="preserve"> guardam, igualmente, atividades empresariais no r</w:t>
      </w:r>
      <w:r>
        <w:rPr>
          <w:rFonts w:ascii="Times New Roman" w:hAnsi="Times New Roman"/>
        </w:rPr>
        <w:t>amo educacional. O primeiro é so</w:t>
      </w:r>
      <w:r w:rsidRPr="000C7CF7">
        <w:rPr>
          <w:rFonts w:ascii="Times New Roman" w:hAnsi="Times New Roman"/>
        </w:rPr>
        <w:t xml:space="preserve">cioproprietário e reitor da Universidade Cândido Mendes e o segundo é um dos fundadores da Facamp (Faculdades de Campinas). Já o conselheiro </w:t>
      </w:r>
      <w:r w:rsidRPr="000C7CF7">
        <w:rPr>
          <w:rFonts w:ascii="Times New Roman" w:hAnsi="Times New Roman"/>
          <w:b/>
        </w:rPr>
        <w:t>José Vicente</w:t>
      </w:r>
      <w:r w:rsidRPr="000C7CF7">
        <w:rPr>
          <w:rFonts w:ascii="Times New Roman" w:hAnsi="Times New Roman"/>
        </w:rPr>
        <w:t>, reitor da Universidade Zumbi de Palmares, mantém vínculos estreitos com entidades associativas empresariais de vários tipos: membro do Conselho de Auto-regulação Bancária da Febraban, membro do Conselho Superio</w:t>
      </w:r>
      <w:r>
        <w:rPr>
          <w:rFonts w:ascii="Times New Roman" w:hAnsi="Times New Roman"/>
        </w:rPr>
        <w:t>r</w:t>
      </w:r>
      <w:r w:rsidRPr="000C7CF7">
        <w:rPr>
          <w:rFonts w:ascii="Times New Roman" w:hAnsi="Times New Roman"/>
        </w:rPr>
        <w:t xml:space="preserve"> de Responsabilidade Social da </w:t>
      </w:r>
      <w:r>
        <w:rPr>
          <w:rFonts w:ascii="Times New Roman" w:hAnsi="Times New Roman"/>
        </w:rPr>
        <w:t>FIESP</w:t>
      </w:r>
      <w:r w:rsidRPr="000C7CF7">
        <w:rPr>
          <w:rFonts w:ascii="Times New Roman" w:hAnsi="Times New Roman"/>
        </w:rPr>
        <w:t xml:space="preserve">, membro do Conselho Consultivo do Centro de Integração Empresa Escola, membro titular do Movimento Nossa São Paulo, membro titular do Movimento Todos Pela Educação, membro do Centro de Integração Empresa Escola (CIEE). Informações colhidas em </w:t>
      </w:r>
      <w:r w:rsidRPr="0083334A">
        <w:rPr>
          <w:rFonts w:ascii="Times New Roman" w:hAnsi="Times New Roman"/>
        </w:rPr>
        <w:t>&lt;</w:t>
      </w:r>
      <w:hyperlink r:id="rId8" w:history="1">
        <w:r w:rsidRPr="0083334A">
          <w:rPr>
            <w:rStyle w:val="Hyperlink"/>
            <w:rFonts w:ascii="Times New Roman" w:hAnsi="Times New Roman"/>
            <w:color w:val="auto"/>
            <w:u w:val="none"/>
          </w:rPr>
          <w:t>http://www.zumbidospalmares</w:t>
        </w:r>
      </w:hyperlink>
      <w:r w:rsidRPr="000C7CF7">
        <w:rPr>
          <w:rFonts w:ascii="Times New Roman" w:hAnsi="Times New Roman"/>
        </w:rPr>
        <w:t>.</w:t>
      </w:r>
    </w:p>
    <w:p w:rsidR="00DD31B9" w:rsidRPr="000C7CF7" w:rsidRDefault="00DD31B9" w:rsidP="00582426">
      <w:pPr>
        <w:pStyle w:val="Textodenotaderodap"/>
        <w:rPr>
          <w:rFonts w:ascii="Times New Roman" w:hAnsi="Times New Roman"/>
        </w:rPr>
      </w:pPr>
      <w:r w:rsidRPr="000C7CF7">
        <w:rPr>
          <w:rFonts w:ascii="Times New Roman" w:hAnsi="Times New Roman"/>
        </w:rPr>
        <w:t xml:space="preserve">edu.br/coordenadores&gt;.  Os conselheiros </w:t>
      </w:r>
      <w:r w:rsidRPr="000C7CF7">
        <w:rPr>
          <w:rFonts w:ascii="Times New Roman" w:hAnsi="Times New Roman"/>
          <w:b/>
        </w:rPr>
        <w:t xml:space="preserve">Marcelo Neri </w:t>
      </w:r>
      <w:r w:rsidRPr="000C7CF7">
        <w:rPr>
          <w:rFonts w:ascii="Times New Roman" w:hAnsi="Times New Roman"/>
        </w:rPr>
        <w:t xml:space="preserve">e </w:t>
      </w:r>
      <w:r w:rsidRPr="000C7CF7">
        <w:rPr>
          <w:rFonts w:ascii="Times New Roman" w:hAnsi="Times New Roman"/>
          <w:b/>
        </w:rPr>
        <w:t xml:space="preserve">Ricardo Paes de Barros </w:t>
      </w:r>
      <w:r w:rsidRPr="000C7CF7">
        <w:rPr>
          <w:rFonts w:ascii="Times New Roman" w:hAnsi="Times New Roman"/>
        </w:rPr>
        <w:t xml:space="preserve">filiam-se ao grupo neoliberal de economistas, na sua versão social-liberal, que alçaram cargos de destaque nos governos Lula e Dilma. Estão visceralmente ligados à aparelhos privados de hegemonia do empresariado (IETS, IEPE-Casa das Garças) largamente financiados por grandes monopólios, inclusive bancários. Para um estudo aprofundado destes e de outros intelectuais orgânicos do capital ver CASTELO, Rodrigo. </w:t>
      </w:r>
      <w:r w:rsidRPr="000C7CF7">
        <w:rPr>
          <w:rFonts w:ascii="Times New Roman" w:hAnsi="Times New Roman"/>
          <w:i/>
        </w:rPr>
        <w:t>O social-liberalismo</w:t>
      </w:r>
      <w:r w:rsidRPr="000C7CF7">
        <w:rPr>
          <w:rFonts w:ascii="Times New Roman" w:hAnsi="Times New Roman"/>
        </w:rPr>
        <w:t xml:space="preserve">: auge e crise da supremacia burguesa na era neoliberal. SP: Expressão Popular, 2013.  </w:t>
      </w:r>
    </w:p>
  </w:footnote>
  <w:footnote w:id="191">
    <w:p w:rsidR="00DD31B9" w:rsidRPr="000C7CF7" w:rsidRDefault="00DD31B9" w:rsidP="00582426">
      <w:pPr>
        <w:pStyle w:val="Textodenotaderodap"/>
        <w:rPr>
          <w:rFonts w:ascii="Times New Roman" w:hAnsi="Times New Roman"/>
        </w:rPr>
      </w:pPr>
      <w:r w:rsidRPr="000C7CF7">
        <w:rPr>
          <w:rStyle w:val="Refdenotaderodap"/>
          <w:rFonts w:ascii="Times New Roman" w:hAnsi="Times New Roman"/>
        </w:rPr>
        <w:footnoteRef/>
      </w:r>
      <w:r w:rsidRPr="000C7CF7">
        <w:rPr>
          <w:rFonts w:ascii="Times New Roman" w:hAnsi="Times New Roman"/>
        </w:rPr>
        <w:t xml:space="preserve"> Apesar de figurar dentre os intelectuais acadêmicos, o conselheiro </w:t>
      </w:r>
      <w:r w:rsidRPr="000C7CF7">
        <w:rPr>
          <w:rFonts w:ascii="Times New Roman" w:hAnsi="Times New Roman"/>
          <w:b/>
        </w:rPr>
        <w:t>Antonio Delfim Neto</w:t>
      </w:r>
      <w:r w:rsidRPr="000C7CF7">
        <w:rPr>
          <w:rFonts w:ascii="Times New Roman" w:hAnsi="Times New Roman"/>
        </w:rPr>
        <w:t xml:space="preserve"> de fato não deteve sua trajetória às atividades de ensino e pesquisa no âmbito universitário, muito pelo contrário. Liberal-conservador convicto, o conselheiro alçou a altos postos da administração pública durante a ditadura empresarial-militar inaugurada em 1964: foi</w:t>
      </w:r>
      <w:r w:rsidRPr="000C7CF7">
        <w:rPr>
          <w:rFonts w:ascii="Times New Roman" w:hAnsi="Times New Roman"/>
          <w:shd w:val="clear" w:color="auto" w:fill="FFFFFF"/>
        </w:rPr>
        <w:t xml:space="preserve">Ministro da Fazenda entre 1967 e 1974, Embaixador do Brasil na França entre 1975 e1977, Ministro da Agricultura entre março e agosto de 1979, Ministro Chefe da Secretaria de Planejamento da Presidência da República entre 1979 e 1985. Antes disso, havia sido Secretário da Fazenda do Estado de São Paulo entre 1966 e 1967 no primeiro governo de Laudo Natel. Exerceu também cargos no Fundo Monetário Nacional e no Banco Mundial, como representante do governo federal. Participou da direção do Banco Interamericano de Desenvolvimento e do Banco Internacional de Reconstrução e Desenvolvimento. Após a redemocratização, foi eleito cinco vezes consecutivas deputado federal, sempre pelo eleitorado direitista e conservador do Estado de São Paulo e dentro do quadro partidário herdado da ditadura (PDS/PPR/PPB e PP). Além de atuar em agências estratégicas da sociedade política, credenciou-sedurante sua trajetória como verdadeiro intelectual orgânico da burguesia, participando como assessor e/ou membro dos conselhos das maistradicionais entidades associativas patronais no Brasil: CNI, </w:t>
      </w:r>
      <w:r>
        <w:rPr>
          <w:rFonts w:ascii="Times New Roman" w:hAnsi="Times New Roman"/>
          <w:shd w:val="clear" w:color="auto" w:fill="FFFFFF"/>
        </w:rPr>
        <w:t>FIESP</w:t>
      </w:r>
      <w:r w:rsidRPr="000C7CF7">
        <w:rPr>
          <w:rFonts w:ascii="Times New Roman" w:hAnsi="Times New Roman"/>
          <w:shd w:val="clear" w:color="auto" w:fill="FFFFFF"/>
        </w:rPr>
        <w:t xml:space="preserve">, Fecomércio, etc. Durante o primeiro governo Lula da Silva, Delfim Netto e a equipe econômica comandada por Palocci mantiveram articulações constantes, inclusive programática, como se verá no capítulo 4. No segundo governo, as relações entre Delfim e a alta cúpula governamental petista se aprofundaram, passando a ser considerado uma espécie de “conselheiro especial” de Lula da Silva, ingressando, neste período, no CDES (2007-2009). </w:t>
      </w:r>
    </w:p>
  </w:footnote>
  <w:footnote w:id="192">
    <w:p w:rsidR="00DD31B9" w:rsidRPr="00582426" w:rsidRDefault="00DD31B9" w:rsidP="008E4AE2">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Devemos alertar que o quantitativo de conselheiros obedece rigorosamente </w:t>
      </w:r>
      <w:r w:rsidRPr="00582426">
        <w:rPr>
          <w:rFonts w:ascii="Times New Roman" w:hAnsi="Times New Roman"/>
          <w:i/>
        </w:rPr>
        <w:t>ao que informava o portal eletrônico do CDES</w:t>
      </w:r>
      <w:r w:rsidRPr="00582426">
        <w:rPr>
          <w:rFonts w:ascii="Times New Roman" w:hAnsi="Times New Roman"/>
        </w:rPr>
        <w:t xml:space="preserve"> (http://www.cdes.gov.br/galeria_conselho/) quanto à composição da plenária, ano a ano, seguindo também a divulgação sobre o período de permanência de cada conselheiro na plenária, excluindo do cômputo o ano de sua saída. Assim, por exemplo, na renovaçãoplenária de 25 de agosto de 2009, os conselheiros não reconduzidos não foram considerados atuantes neste ano, para fins de fluxo quantitativo anual da plenária.</w:t>
      </w:r>
      <w:r>
        <w:rPr>
          <w:rFonts w:ascii="Times New Roman" w:hAnsi="Times New Roman"/>
        </w:rPr>
        <w:t xml:space="preserve"> Tal procedimento nos faz evitar dupla contagem em relação aos conselheiros entrantes.</w:t>
      </w:r>
    </w:p>
  </w:footnote>
  <w:footnote w:id="193">
    <w:p w:rsidR="00DD31B9" w:rsidRPr="000950BA" w:rsidRDefault="00DD31B9" w:rsidP="008E4AE2">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A média absoluta total foi calculada a partir da soma do número de empresários que compunham o CDES em cada ano, entre 2003 e 2010, dividido pelo número de anos deste período (8  anos). A média relativa total foi calculada pela média aritmética das médias relativas anuais. Estas foram calculadas pela divisão entre o número de conselheiros-empresários e o número total de conselheiros, em cada ano. O mesmo procedimento foi feito para os demais segmentos sociais. Outra maneira de se retirar a média relativa total é a partir da divisão entre a média absoluta total do segmento empresarial e a soma das médias de todos os demais segmentos (sindical laboral, entidades da sociedade civil e</w:t>
      </w:r>
      <w:r>
        <w:rPr>
          <w:rFonts w:ascii="Times New Roman" w:hAnsi="Times New Roman"/>
        </w:rPr>
        <w:t xml:space="preserve"> acadêmicos e personalidades). </w:t>
      </w:r>
    </w:p>
  </w:footnote>
  <w:footnote w:id="194">
    <w:p w:rsidR="00DD31B9" w:rsidRPr="00582426" w:rsidRDefault="00DD31B9" w:rsidP="008E4AE2">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GRAMSCI, Antonio. </w:t>
      </w:r>
      <w:r w:rsidRPr="00582426">
        <w:rPr>
          <w:rFonts w:ascii="Times New Roman" w:hAnsi="Times New Roman"/>
          <w:i/>
        </w:rPr>
        <w:t>Cadernos do Cárcere</w:t>
      </w:r>
      <w:r w:rsidRPr="00582426">
        <w:rPr>
          <w:rFonts w:ascii="Times New Roman" w:hAnsi="Times New Roman"/>
        </w:rPr>
        <w:t>. v.2. Os intelectuais. O princípio educativo. O jornalismo. Op. cit., p. 15.</w:t>
      </w:r>
    </w:p>
  </w:footnote>
  <w:footnote w:id="195">
    <w:p w:rsidR="00DD31B9" w:rsidRPr="00582426" w:rsidRDefault="00DD31B9" w:rsidP="008E4AE2">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Idem.</w:t>
      </w:r>
    </w:p>
  </w:footnote>
  <w:footnote w:id="196">
    <w:p w:rsidR="00DD31B9" w:rsidRPr="00582426" w:rsidRDefault="00DD31B9" w:rsidP="008E4AE2">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Idem.</w:t>
      </w:r>
    </w:p>
  </w:footnote>
  <w:footnote w:id="197">
    <w:p w:rsidR="00DD31B9" w:rsidRPr="00582426" w:rsidRDefault="00DD31B9" w:rsidP="008E4AE2">
      <w:pPr>
        <w:spacing w:after="0" w:line="240" w:lineRule="auto"/>
        <w:rPr>
          <w:rFonts w:ascii="Times New Roman" w:hAnsi="Times New Roman"/>
          <w:sz w:val="20"/>
          <w:szCs w:val="20"/>
        </w:rPr>
      </w:pPr>
      <w:r w:rsidRPr="00582426">
        <w:rPr>
          <w:rStyle w:val="Refdenotaderodap"/>
          <w:rFonts w:ascii="Times New Roman" w:hAnsi="Times New Roman"/>
          <w:sz w:val="20"/>
          <w:szCs w:val="20"/>
        </w:rPr>
        <w:footnoteRef/>
      </w:r>
      <w:r w:rsidRPr="00582426">
        <w:rPr>
          <w:rFonts w:ascii="Times New Roman" w:hAnsi="Times New Roman"/>
          <w:sz w:val="20"/>
          <w:szCs w:val="20"/>
        </w:rPr>
        <w:t xml:space="preserve"> MARX, Karl. </w:t>
      </w:r>
      <w:r w:rsidRPr="00582426">
        <w:rPr>
          <w:rFonts w:ascii="Times New Roman" w:hAnsi="Times New Roman"/>
          <w:i/>
          <w:sz w:val="20"/>
          <w:szCs w:val="20"/>
        </w:rPr>
        <w:t>Miséria da filosofia</w:t>
      </w:r>
      <w:r w:rsidRPr="00582426">
        <w:rPr>
          <w:rFonts w:ascii="Times New Roman" w:hAnsi="Times New Roman"/>
          <w:sz w:val="20"/>
          <w:szCs w:val="20"/>
        </w:rPr>
        <w:t>: resposta à Filosofia da miséria, do Sr. Proudhon. SP: Expressão Popular, 2009, p. 139.</w:t>
      </w:r>
    </w:p>
  </w:footnote>
  <w:footnote w:id="198">
    <w:p w:rsidR="00DD31B9" w:rsidRPr="00CA7F44" w:rsidRDefault="00DD31B9" w:rsidP="00CA7F44">
      <w:pPr>
        <w:spacing w:after="0" w:line="240" w:lineRule="auto"/>
        <w:rPr>
          <w:rFonts w:ascii="Times New Roman" w:hAnsi="Times New Roman"/>
          <w:sz w:val="20"/>
          <w:szCs w:val="20"/>
        </w:rPr>
      </w:pPr>
      <w:r w:rsidRPr="00CA7F44">
        <w:rPr>
          <w:rStyle w:val="Refdenotaderodap"/>
          <w:rFonts w:ascii="Times New Roman" w:hAnsi="Times New Roman"/>
          <w:sz w:val="20"/>
          <w:szCs w:val="20"/>
        </w:rPr>
        <w:footnoteRef/>
      </w:r>
      <w:r w:rsidRPr="00CA7F44">
        <w:rPr>
          <w:rFonts w:ascii="Times New Roman" w:hAnsi="Times New Roman"/>
          <w:sz w:val="20"/>
          <w:szCs w:val="20"/>
        </w:rPr>
        <w:t xml:space="preserve"> MARX, Karl. </w:t>
      </w:r>
      <w:r w:rsidRPr="00CA7F44">
        <w:rPr>
          <w:rFonts w:ascii="Times New Roman" w:hAnsi="Times New Roman"/>
          <w:i/>
          <w:sz w:val="20"/>
          <w:szCs w:val="20"/>
        </w:rPr>
        <w:t>O Capital</w:t>
      </w:r>
      <w:r w:rsidRPr="00CA7F44">
        <w:rPr>
          <w:rFonts w:ascii="Times New Roman" w:hAnsi="Times New Roman"/>
          <w:sz w:val="20"/>
          <w:szCs w:val="20"/>
        </w:rPr>
        <w:t>: crítica da economia política. Livro II.</w:t>
      </w:r>
      <w:r>
        <w:rPr>
          <w:rFonts w:ascii="Times New Roman" w:hAnsi="Times New Roman"/>
          <w:sz w:val="20"/>
          <w:szCs w:val="20"/>
        </w:rPr>
        <w:t xml:space="preserve"> O processo de circulação do capital.</w:t>
      </w:r>
      <w:r w:rsidRPr="00CA7F44">
        <w:rPr>
          <w:rFonts w:ascii="Times New Roman" w:hAnsi="Times New Roman"/>
          <w:sz w:val="20"/>
          <w:szCs w:val="20"/>
        </w:rPr>
        <w:t xml:space="preserve"> 10ª ed. RJ: Civilização Brasileira, 2005. p. 66.</w:t>
      </w:r>
    </w:p>
  </w:footnote>
  <w:footnote w:id="199">
    <w:p w:rsidR="00DD31B9" w:rsidRPr="00582426" w:rsidRDefault="00DD31B9" w:rsidP="008E4AE2">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Idem, p. 67.</w:t>
      </w:r>
    </w:p>
  </w:footnote>
  <w:footnote w:id="200">
    <w:p w:rsidR="00DD31B9" w:rsidRPr="00582426" w:rsidRDefault="00DD31B9" w:rsidP="008E4AE2">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Idem, p. 54.</w:t>
      </w:r>
    </w:p>
  </w:footnote>
  <w:footnote w:id="201">
    <w:p w:rsidR="00DD31B9" w:rsidRPr="00582426" w:rsidRDefault="00DD31B9" w:rsidP="008E4AE2">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Idem, p. 60.</w:t>
      </w:r>
    </w:p>
  </w:footnote>
  <w:footnote w:id="202">
    <w:p w:rsidR="00DD31B9" w:rsidRPr="00582426" w:rsidRDefault="00DD31B9" w:rsidP="008E4AE2">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Idem, p. 65.</w:t>
      </w:r>
    </w:p>
  </w:footnote>
  <w:footnote w:id="203">
    <w:p w:rsidR="00DD31B9" w:rsidRPr="00582426" w:rsidRDefault="00DD31B9" w:rsidP="008E4AE2">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Idem, p. 65-</w:t>
      </w:r>
      <w:r>
        <w:rPr>
          <w:rFonts w:ascii="Times New Roman" w:hAnsi="Times New Roman"/>
        </w:rPr>
        <w:t>66, grifos meus.</w:t>
      </w:r>
    </w:p>
  </w:footnote>
  <w:footnote w:id="204">
    <w:p w:rsidR="00DD31B9" w:rsidRPr="00307AF3" w:rsidRDefault="00DD31B9" w:rsidP="008E4AE2">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FONTES, Virgínia. </w:t>
      </w:r>
      <w:r w:rsidRPr="00582426">
        <w:rPr>
          <w:rFonts w:ascii="Times New Roman" w:hAnsi="Times New Roman"/>
          <w:i/>
        </w:rPr>
        <w:t>O Brasil e o capital-imperialismo</w:t>
      </w:r>
      <w:r w:rsidRPr="00582426">
        <w:rPr>
          <w:rFonts w:ascii="Times New Roman" w:hAnsi="Times New Roman"/>
        </w:rPr>
        <w:t xml:space="preserve">... </w:t>
      </w:r>
      <w:r w:rsidRPr="00307AF3">
        <w:rPr>
          <w:rFonts w:ascii="Times New Roman" w:hAnsi="Times New Roman"/>
        </w:rPr>
        <w:t>Op. cit. p. 306, grifos meu</w:t>
      </w:r>
      <w:r>
        <w:rPr>
          <w:rFonts w:ascii="Times New Roman" w:hAnsi="Times New Roman"/>
        </w:rPr>
        <w:t>s.</w:t>
      </w:r>
    </w:p>
  </w:footnote>
  <w:footnote w:id="205">
    <w:p w:rsidR="00DD31B9" w:rsidRPr="00307AF3" w:rsidRDefault="00DD31B9" w:rsidP="008E4AE2">
      <w:pPr>
        <w:pStyle w:val="Textodenotaderodap"/>
        <w:rPr>
          <w:rFonts w:ascii="Times New Roman" w:hAnsi="Times New Roman"/>
        </w:rPr>
      </w:pPr>
      <w:r w:rsidRPr="00582426">
        <w:rPr>
          <w:rStyle w:val="Refdenotaderodap"/>
          <w:rFonts w:ascii="Times New Roman" w:hAnsi="Times New Roman"/>
        </w:rPr>
        <w:footnoteRef/>
      </w:r>
      <w:r w:rsidRPr="00307AF3">
        <w:rPr>
          <w:rFonts w:ascii="Times New Roman" w:hAnsi="Times New Roman"/>
        </w:rPr>
        <w:t xml:space="preserve"> Idem, p. 197-198.</w:t>
      </w:r>
    </w:p>
  </w:footnote>
  <w:footnote w:id="206">
    <w:p w:rsidR="00DD31B9" w:rsidRPr="0066298A" w:rsidRDefault="00DD31B9" w:rsidP="008E4AE2">
      <w:pPr>
        <w:spacing w:after="0" w:line="240" w:lineRule="auto"/>
        <w:rPr>
          <w:rFonts w:ascii="Times New Roman" w:hAnsi="Times New Roman"/>
          <w:sz w:val="20"/>
          <w:szCs w:val="20"/>
        </w:rPr>
      </w:pPr>
      <w:r w:rsidRPr="0066298A">
        <w:rPr>
          <w:rStyle w:val="Refdenotaderodap"/>
          <w:rFonts w:ascii="Times New Roman" w:hAnsi="Times New Roman"/>
          <w:sz w:val="20"/>
          <w:szCs w:val="20"/>
        </w:rPr>
        <w:footnoteRef/>
      </w:r>
      <w:r w:rsidRPr="0066298A">
        <w:rPr>
          <w:rFonts w:ascii="Times New Roman" w:hAnsi="Times New Roman"/>
          <w:sz w:val="20"/>
          <w:szCs w:val="20"/>
        </w:rPr>
        <w:t xml:space="preserve"> BIANCHI, Álvaro. </w:t>
      </w:r>
      <w:r w:rsidRPr="0066298A">
        <w:rPr>
          <w:rFonts w:ascii="Times New Roman" w:hAnsi="Times New Roman"/>
          <w:i/>
          <w:sz w:val="20"/>
          <w:szCs w:val="20"/>
        </w:rPr>
        <w:t>Um Ministério dos Industriais</w:t>
      </w:r>
      <w:r w:rsidRPr="0066298A">
        <w:rPr>
          <w:rFonts w:ascii="Times New Roman" w:hAnsi="Times New Roman"/>
          <w:sz w:val="20"/>
          <w:szCs w:val="20"/>
        </w:rPr>
        <w:t>: a Federação das Indústrias do Estado de São Paulo na crise das décadas de 1980 e 1990. Cam</w:t>
      </w:r>
      <w:r>
        <w:rPr>
          <w:rFonts w:ascii="Times New Roman" w:hAnsi="Times New Roman"/>
          <w:sz w:val="20"/>
          <w:szCs w:val="20"/>
        </w:rPr>
        <w:t>pinas, SP: Ed. da Unicamp, 2010, p. 33.</w:t>
      </w:r>
    </w:p>
  </w:footnote>
  <w:footnote w:id="207">
    <w:p w:rsidR="00DD31B9" w:rsidRPr="00582426" w:rsidRDefault="00DD31B9" w:rsidP="00703D40">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ABREU, Alzira Alves de (et al.). </w:t>
      </w:r>
      <w:r w:rsidRPr="00582426">
        <w:rPr>
          <w:rFonts w:ascii="Times New Roman" w:hAnsi="Times New Roman"/>
          <w:i/>
        </w:rPr>
        <w:t>Dicionário Histórico-Biográfico Brasileiro pós-1930.</w:t>
      </w:r>
      <w:r w:rsidRPr="00582426">
        <w:rPr>
          <w:rFonts w:ascii="Times New Roman" w:hAnsi="Times New Roman"/>
        </w:rPr>
        <w:t xml:space="preserve"> Ed. Rev. e atual. Rio de Janeiro: FGV, CPDOC, 2001. </w:t>
      </w:r>
    </w:p>
  </w:footnote>
  <w:footnote w:id="208">
    <w:p w:rsidR="00DD31B9" w:rsidRPr="00841D58" w:rsidRDefault="00DD31B9">
      <w:pPr>
        <w:pStyle w:val="Textodenotaderodap"/>
        <w:rPr>
          <w:rFonts w:ascii="Times New Roman" w:hAnsi="Times New Roman"/>
        </w:rPr>
      </w:pPr>
      <w:r w:rsidRPr="00841D58">
        <w:rPr>
          <w:rStyle w:val="Refdenotaderodap"/>
          <w:rFonts w:ascii="Times New Roman" w:hAnsi="Times New Roman"/>
        </w:rPr>
        <w:footnoteRef/>
      </w:r>
      <w:r>
        <w:rPr>
          <w:rFonts w:ascii="Times New Roman" w:hAnsi="Times New Roman"/>
        </w:rPr>
        <w:t>Todas as informações relevantes colhidas de cada empresário que passou pelo CDES entre 2003-2010 (foram 88 empresários no total) se encontram numa planilha na seção de Anexos (Anexo B: Presença do empresariado (e seus prepostos) no CDES).</w:t>
      </w:r>
    </w:p>
  </w:footnote>
  <w:footnote w:id="209">
    <w:p w:rsidR="00DD31B9" w:rsidRPr="00E01193" w:rsidRDefault="00DD31B9">
      <w:pPr>
        <w:pStyle w:val="Textodenotaderodap"/>
        <w:rPr>
          <w:rFonts w:ascii="Times New Roman" w:hAnsi="Times New Roman"/>
        </w:rPr>
      </w:pPr>
      <w:r w:rsidRPr="00E01193">
        <w:rPr>
          <w:rStyle w:val="Refdenotaderodap"/>
          <w:rFonts w:ascii="Times New Roman" w:hAnsi="Times New Roman"/>
        </w:rPr>
        <w:footnoteRef/>
      </w:r>
      <w:r w:rsidRPr="00E01193">
        <w:rPr>
          <w:rFonts w:ascii="Times New Roman" w:hAnsi="Times New Roman"/>
        </w:rPr>
        <w:t xml:space="preserve"> Em razão das dificuldades trazidaspelo uso da terminologia derivada de maneira direta da economia vulgar e que está na base da organização e estruturação dos dados regularmente compilados pelas agências censitárias</w:t>
      </w:r>
      <w:r>
        <w:rPr>
          <w:rFonts w:ascii="Times New Roman" w:hAnsi="Times New Roman"/>
        </w:rPr>
        <w:t xml:space="preserve"> e utilizados na confecção de alguns quadros neste capítulo, consideraremos </w:t>
      </w:r>
      <w:r w:rsidRPr="00D958AC">
        <w:rPr>
          <w:rFonts w:ascii="Times New Roman" w:hAnsi="Times New Roman"/>
          <w:i/>
        </w:rPr>
        <w:t>capital produtor de valor</w:t>
      </w:r>
      <w:r>
        <w:rPr>
          <w:rFonts w:ascii="Times New Roman" w:hAnsi="Times New Roman"/>
        </w:rPr>
        <w:t xml:space="preserve"> àqueles que estão ligados às atividades da indústria de transformação, da empresa agrícola, da indústria extrativista, da indústria de energia e da construção civil e infraestrutura.   </w:t>
      </w:r>
    </w:p>
  </w:footnote>
  <w:footnote w:id="210">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As atividades principais das empresas e grupos econômicos foram pesquisadas no site Econoinfo (www.econoinfo.com.br), nas revistas Valor Grandes Grupos e Balanço Anual da Gazeta Mercantil, no site do CNAE/IBGE (www.cnae.ibge.gov.br)e nos sites das próprias empresas e grupos.</w:t>
      </w:r>
    </w:p>
  </w:footnote>
  <w:footnote w:id="211">
    <w:p w:rsidR="00DD31B9" w:rsidRPr="00582426" w:rsidRDefault="00DD31B9" w:rsidP="00582426">
      <w:pPr>
        <w:spacing w:after="0" w:line="240" w:lineRule="auto"/>
        <w:rPr>
          <w:rFonts w:ascii="Times New Roman" w:hAnsi="Times New Roman"/>
          <w:sz w:val="20"/>
          <w:szCs w:val="20"/>
        </w:rPr>
      </w:pPr>
      <w:r w:rsidRPr="00582426">
        <w:rPr>
          <w:rStyle w:val="Refdenotaderodap"/>
          <w:rFonts w:ascii="Times New Roman" w:hAnsi="Times New Roman"/>
          <w:sz w:val="20"/>
          <w:szCs w:val="20"/>
        </w:rPr>
        <w:footnoteRef/>
      </w:r>
      <w:r>
        <w:rPr>
          <w:rFonts w:ascii="Times New Roman" w:hAnsi="Times New Roman"/>
          <w:sz w:val="20"/>
          <w:szCs w:val="20"/>
        </w:rPr>
        <w:t>Quatrog</w:t>
      </w:r>
      <w:r w:rsidRPr="00582426">
        <w:rPr>
          <w:rFonts w:ascii="Times New Roman" w:hAnsi="Times New Roman"/>
          <w:sz w:val="20"/>
          <w:szCs w:val="20"/>
        </w:rPr>
        <w:t xml:space="preserve">rupos são agroindustriais: Grupo Sucocítrico Cutrale, Grupo Itamarati, Grupo Agrovale e Grupo Maubisa. Na nota II, do Cap. I “O ciclo do capital-dinheiro” do Livro II de </w:t>
      </w:r>
      <w:r w:rsidRPr="00582426">
        <w:rPr>
          <w:rFonts w:ascii="Times New Roman" w:hAnsi="Times New Roman"/>
          <w:i/>
          <w:sz w:val="20"/>
          <w:szCs w:val="20"/>
        </w:rPr>
        <w:t>O Capital</w:t>
      </w:r>
      <w:r w:rsidRPr="00582426">
        <w:rPr>
          <w:rFonts w:ascii="Times New Roman" w:hAnsi="Times New Roman"/>
          <w:sz w:val="20"/>
          <w:szCs w:val="20"/>
        </w:rPr>
        <w:t xml:space="preserve">, Marx afirma que “A expressão </w:t>
      </w:r>
      <w:r w:rsidRPr="00582426">
        <w:rPr>
          <w:rFonts w:ascii="Times New Roman" w:hAnsi="Times New Roman"/>
          <w:i/>
          <w:sz w:val="20"/>
          <w:szCs w:val="20"/>
        </w:rPr>
        <w:t>capitalista industrial</w:t>
      </w:r>
      <w:r w:rsidRPr="00582426">
        <w:rPr>
          <w:rFonts w:ascii="Times New Roman" w:hAnsi="Times New Roman"/>
          <w:sz w:val="20"/>
          <w:szCs w:val="20"/>
        </w:rPr>
        <w:t xml:space="preserve"> abrange também o capitalista que explora empresa agrícola”. MARX, Karl. </w:t>
      </w:r>
      <w:r w:rsidRPr="00582426">
        <w:rPr>
          <w:rFonts w:ascii="Times New Roman" w:hAnsi="Times New Roman"/>
          <w:i/>
          <w:sz w:val="20"/>
          <w:szCs w:val="20"/>
        </w:rPr>
        <w:t>O Capital</w:t>
      </w:r>
      <w:r>
        <w:rPr>
          <w:rFonts w:ascii="Times New Roman" w:hAnsi="Times New Roman"/>
          <w:sz w:val="20"/>
          <w:szCs w:val="20"/>
        </w:rPr>
        <w:t>: crítica da economia política. L</w:t>
      </w:r>
      <w:r w:rsidRPr="00582426">
        <w:rPr>
          <w:rFonts w:ascii="Times New Roman" w:hAnsi="Times New Roman"/>
          <w:sz w:val="20"/>
          <w:szCs w:val="20"/>
        </w:rPr>
        <w:t>ivro II.</w:t>
      </w:r>
      <w:r>
        <w:rPr>
          <w:rFonts w:ascii="Times New Roman" w:hAnsi="Times New Roman"/>
          <w:sz w:val="20"/>
          <w:szCs w:val="20"/>
        </w:rPr>
        <w:t>O processo de circulação do capital.</w:t>
      </w:r>
      <w:r w:rsidRPr="00582426">
        <w:rPr>
          <w:rFonts w:ascii="Times New Roman" w:hAnsi="Times New Roman"/>
          <w:sz w:val="20"/>
          <w:szCs w:val="20"/>
        </w:rPr>
        <w:t xml:space="preserve"> 10ª ed. RJ: Civilização Brasileira, 2005. </w:t>
      </w:r>
    </w:p>
  </w:footnote>
  <w:footnote w:id="212">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Ressalta-se que o Grupo Sadia estava representado na figura de Luiz Fernando Furlan, Ministro de Desenvolvimento, Indústria e Comércio.</w:t>
      </w:r>
    </w:p>
  </w:footnote>
  <w:footnote w:id="213">
    <w:p w:rsidR="00DD31B9" w:rsidRPr="000C7CF7" w:rsidRDefault="00DD31B9">
      <w:pPr>
        <w:pStyle w:val="Textodenotaderodap"/>
        <w:rPr>
          <w:rFonts w:ascii="Times New Roman" w:hAnsi="Times New Roman"/>
        </w:rPr>
      </w:pPr>
      <w:r w:rsidRPr="000C7CF7">
        <w:rPr>
          <w:rStyle w:val="Refdenotaderodap"/>
          <w:rFonts w:ascii="Times New Roman" w:hAnsi="Times New Roman"/>
        </w:rPr>
        <w:footnoteRef/>
      </w:r>
      <w:r w:rsidRPr="000C7CF7">
        <w:rPr>
          <w:rFonts w:ascii="Times New Roman" w:hAnsi="Times New Roman"/>
        </w:rPr>
        <w:t xml:space="preserve"> Designamos “setor financeiro não bancário” às atividades levadas a cabo também por bancos, mas que se autonomizam e se especializam, sendo objeto de atividades de algumas empresas tais como, no CDES, BMF&amp;Bovespa, MDS Corretora e Administradora de Seguros, Centauro Vida e Previdência S.A, Cooperativa de Crédito Rural. </w:t>
      </w:r>
    </w:p>
  </w:footnote>
  <w:footnote w:id="214">
    <w:p w:rsidR="00DD31B9" w:rsidRPr="00703C72" w:rsidRDefault="00DD31B9" w:rsidP="00582426">
      <w:pPr>
        <w:autoSpaceDE w:val="0"/>
        <w:autoSpaceDN w:val="0"/>
        <w:adjustRightInd w:val="0"/>
        <w:spacing w:after="0" w:line="240" w:lineRule="auto"/>
        <w:rPr>
          <w:rFonts w:ascii="Times New Roman" w:hAnsi="Times New Roman"/>
          <w:sz w:val="20"/>
          <w:szCs w:val="20"/>
        </w:rPr>
      </w:pPr>
      <w:r w:rsidRPr="00703C72">
        <w:rPr>
          <w:rStyle w:val="Refdenotaderodap"/>
          <w:rFonts w:ascii="Times New Roman" w:hAnsi="Times New Roman"/>
          <w:sz w:val="20"/>
          <w:szCs w:val="20"/>
        </w:rPr>
        <w:footnoteRef/>
      </w:r>
      <w:r w:rsidRPr="00703C72">
        <w:rPr>
          <w:rFonts w:ascii="Times New Roman" w:hAnsi="Times New Roman"/>
          <w:sz w:val="20"/>
          <w:szCs w:val="20"/>
        </w:rPr>
        <w:t xml:space="preserve"> GONÇALVES, Reinaldo. </w:t>
      </w:r>
      <w:r w:rsidRPr="00703C72">
        <w:rPr>
          <w:rFonts w:ascii="Times New Roman" w:hAnsi="Times New Roman"/>
          <w:i/>
          <w:sz w:val="20"/>
          <w:szCs w:val="20"/>
        </w:rPr>
        <w:t>Grupos econômicos</w:t>
      </w:r>
      <w:r w:rsidRPr="00703C72">
        <w:rPr>
          <w:rFonts w:ascii="Times New Roman" w:hAnsi="Times New Roman"/>
          <w:sz w:val="20"/>
          <w:szCs w:val="20"/>
        </w:rPr>
        <w:t xml:space="preserve">: uma análise conceitual e teórica. RJ, Revista Brasileira de Economia, </w:t>
      </w:r>
      <w:r>
        <w:rPr>
          <w:rFonts w:ascii="Times New Roman" w:hAnsi="Times New Roman"/>
          <w:sz w:val="20"/>
          <w:szCs w:val="20"/>
        </w:rPr>
        <w:t>out/dez. 1991, p. 495.</w:t>
      </w:r>
    </w:p>
  </w:footnote>
  <w:footnote w:id="215">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Foram os “agraciados”: Amarílio Proença de Macêdo, Ivo Rosset, Jorge Gerdau, José Carlos Bumlai, Joseph Couri, Márcio Lopes de Freitas, Maurílio Biagi Filho, Paulo Simão, Paulo Skaf, Paulo Vellinho, Rodrigo Loures e Rogelio Golfab. A partir de 2004, permaneceram Oded Grajew e Paulo Godoy.</w:t>
      </w:r>
    </w:p>
  </w:footnote>
  <w:footnote w:id="216">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Sindicalistas: Antonio Neto (CGTB). Jorge Rodrigues (FS), Juçara Dutra Vieira (CNTE/CUT), Laerte Teixeira da Costa (UGT) e Manoel José dos Santos (Contag/CUT). Demais Entidades da Sociedade Civil: José Antonio Moroni (INESC/ABONG), Sérgio Addad (ABONG), Zilda Arns (Pastoral da Criança) e Clemente Ganz Lúcio (Dieese).</w:t>
      </w:r>
    </w:p>
  </w:footnote>
  <w:footnote w:id="217">
    <w:p w:rsidR="00DD31B9" w:rsidRPr="00582426" w:rsidRDefault="00DD31B9" w:rsidP="00582426">
      <w:pPr>
        <w:pStyle w:val="Textodenotadefim"/>
      </w:pPr>
      <w:r w:rsidRPr="00582426">
        <w:rPr>
          <w:rStyle w:val="Refdenotaderodap"/>
        </w:rPr>
        <w:footnoteRef/>
      </w:r>
      <w:r w:rsidRPr="00582426">
        <w:t xml:space="preserve"> Classificamos as associações empresariais em três tipos: associações corporativas – confederações, federações, centros e sindicatos da indústria, comércio, agricultura, </w:t>
      </w:r>
      <w:r>
        <w:t>bancos</w:t>
      </w:r>
      <w:r w:rsidRPr="00582426">
        <w:t>; associações setoriais – entidades representativas d</w:t>
      </w:r>
      <w:r>
        <w:t>e setores das</w:t>
      </w:r>
      <w:r w:rsidRPr="00582426">
        <w:t xml:space="preserve"> frações</w:t>
      </w:r>
      <w:r>
        <w:t xml:space="preserve"> do capital</w:t>
      </w:r>
      <w:r w:rsidRPr="00582426">
        <w:t xml:space="preserve"> que se organizam por </w:t>
      </w:r>
      <w:r>
        <w:t>atividade setorial</w:t>
      </w:r>
      <w:r w:rsidRPr="00582426">
        <w:t xml:space="preserve"> sem vinculação (formal) com a estrutura corporativa e, finalmente, associações societais, caracterizando-se como aquelas que não se vinculam necessariamente à atividade econômica, mas se inserem em outras esferas da vida social (cultural, educação, meio-ambiente) cuja organização se destina às novas formas de articulação empresarial na sociedade civil, disseminando e sedimentando sociabilidades burguesas para dentro e para fora do setor empresarial.</w:t>
      </w:r>
      <w:r>
        <w:t xml:space="preserve"> O pertencimento dos conselheiros-empresários a esta classificação das associações se encontra no Anexo B.</w:t>
      </w:r>
    </w:p>
  </w:footnote>
  <w:footnote w:id="218">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Trata-se de uma entidade de empresários cristãos membros da Igreja Universal do Reino de Deus.</w:t>
      </w:r>
    </w:p>
  </w:footnote>
  <w:footnote w:id="219">
    <w:p w:rsidR="00DD31B9" w:rsidRPr="000C7CF7" w:rsidRDefault="00DD31B9" w:rsidP="00582426">
      <w:pPr>
        <w:pStyle w:val="Textodenotaderodap"/>
        <w:rPr>
          <w:rFonts w:ascii="Times New Roman" w:hAnsi="Times New Roman"/>
        </w:rPr>
      </w:pPr>
      <w:r w:rsidRPr="000C7CF7">
        <w:rPr>
          <w:rStyle w:val="Refdenotaderodap"/>
          <w:rFonts w:ascii="Times New Roman" w:hAnsi="Times New Roman"/>
        </w:rPr>
        <w:footnoteRef/>
      </w:r>
      <w:r w:rsidRPr="000C7CF7">
        <w:rPr>
          <w:rFonts w:ascii="Times New Roman" w:hAnsi="Times New Roman"/>
        </w:rPr>
        <w:t xml:space="preserve"> Como se percebe, a conselheira-empresária Viviane Senna transitava por várias frações burguesas do empresariado, em seus grupos e entidades de diversos tipos e funções. Por consolidar posições no entrecruzamento de capitais distintos (capital monetário e funcionante), trata-se de legítima representação do capital financeiro por excelência. Seus vínculos corporativos e a rede de entidades da sociedade civil de que participava serão expostos em detalhes na figura 2.2.</w:t>
      </w:r>
    </w:p>
  </w:footnote>
  <w:footnote w:id="220">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CAMPOS, Pedro Henrique Pedreira. </w:t>
      </w:r>
      <w:r w:rsidRPr="00582426">
        <w:rPr>
          <w:rFonts w:ascii="Times New Roman" w:hAnsi="Times New Roman"/>
          <w:i/>
        </w:rPr>
        <w:t>A ditadura dos empreiteiros</w:t>
      </w:r>
      <w:r w:rsidRPr="00582426">
        <w:rPr>
          <w:rFonts w:ascii="Times New Roman" w:hAnsi="Times New Roman"/>
        </w:rPr>
        <w:t>: as empresas nacionais de construção pesada, suas formas associativas e o Estado ditatorial brasileiro, 1964-1985. Tese de Doutorado, Niterói: Universidade Federal Fluminense, 2012, p. 27.</w:t>
      </w:r>
    </w:p>
  </w:footnote>
  <w:footnote w:id="221">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As divisões ausentes da Seção C foram: 12 – Fabricação de produtos de fumo; 16 – Fabricação de produtos de madeira; 22 – Fabricação de produtos de borracha e material plástico; 31 – Fabricação de móveis e 33 – Manutenção, reparação e instalação de máquinas e equipamentos. A ausência de alguns setores empresariais no CDES é bastante razoável se pensarmos que alguns deles preferem buscar canais com menor visibilidade na defesa de seus interesses. É o caso, por exemplo, dos fabricantes de produtos de fumo, arrolado acima. Agradeço ao Profº Marcelo Badaró acerca deste alerta.</w:t>
      </w:r>
    </w:p>
  </w:footnote>
  <w:footnote w:id="222">
    <w:p w:rsidR="00DD31B9" w:rsidRPr="009D2FCA" w:rsidRDefault="00DD31B9">
      <w:pPr>
        <w:pStyle w:val="Textodenotaderodap"/>
        <w:rPr>
          <w:rFonts w:ascii="Times New Roman" w:hAnsi="Times New Roman"/>
        </w:rPr>
      </w:pPr>
      <w:r w:rsidRPr="009D2FCA">
        <w:rPr>
          <w:rStyle w:val="Refdenotaderodap"/>
          <w:rFonts w:ascii="Times New Roman" w:hAnsi="Times New Roman"/>
        </w:rPr>
        <w:footnoteRef/>
      </w:r>
      <w:r>
        <w:rPr>
          <w:rFonts w:ascii="Times New Roman" w:hAnsi="Times New Roman"/>
        </w:rPr>
        <w:t>Refiro-me às 33ª, 34ª e 35ª Reuniões Plenárias realizadas, respectivamente, em abril, junho e agosto de 2010.</w:t>
      </w:r>
    </w:p>
  </w:footnote>
  <w:footnote w:id="223">
    <w:p w:rsidR="00DD31B9" w:rsidRPr="001A3AE2" w:rsidRDefault="00DD31B9" w:rsidP="001A3AE2">
      <w:pPr>
        <w:spacing w:after="0" w:line="240" w:lineRule="auto"/>
        <w:rPr>
          <w:rFonts w:ascii="Times New Roman" w:hAnsi="Times New Roman"/>
          <w:sz w:val="20"/>
          <w:szCs w:val="20"/>
        </w:rPr>
      </w:pPr>
      <w:r w:rsidRPr="001A3AE2">
        <w:rPr>
          <w:rStyle w:val="Refdenotaderodap"/>
          <w:rFonts w:ascii="Times New Roman" w:hAnsi="Times New Roman"/>
          <w:sz w:val="20"/>
          <w:szCs w:val="20"/>
        </w:rPr>
        <w:footnoteRef/>
      </w:r>
      <w:r w:rsidRPr="001A3AE2">
        <w:rPr>
          <w:rFonts w:ascii="Times New Roman" w:hAnsi="Times New Roman"/>
          <w:sz w:val="20"/>
          <w:szCs w:val="20"/>
        </w:rPr>
        <w:t xml:space="preserve"> Secretaria de Relações Institucionais. Conselho de Desenvolvimento Econômico e Social – CDES. Agenda para o Novo Ciclo de Desenvolvimento</w:t>
      </w:r>
      <w:r w:rsidRPr="001A3AE2">
        <w:rPr>
          <w:rFonts w:ascii="Times New Roman" w:hAnsi="Times New Roman"/>
          <w:i/>
          <w:sz w:val="20"/>
          <w:szCs w:val="20"/>
        </w:rPr>
        <w:t xml:space="preserve">. </w:t>
      </w:r>
      <w:r w:rsidRPr="001A3AE2">
        <w:rPr>
          <w:rFonts w:ascii="Times New Roman" w:hAnsi="Times New Roman"/>
          <w:sz w:val="20"/>
          <w:szCs w:val="20"/>
        </w:rPr>
        <w:t>Brasíli</w:t>
      </w:r>
      <w:r>
        <w:rPr>
          <w:rFonts w:ascii="Times New Roman" w:hAnsi="Times New Roman"/>
          <w:sz w:val="20"/>
          <w:szCs w:val="20"/>
        </w:rPr>
        <w:t>a</w:t>
      </w:r>
      <w:r w:rsidRPr="001A3AE2">
        <w:rPr>
          <w:rFonts w:ascii="Times New Roman" w:hAnsi="Times New Roman"/>
          <w:sz w:val="20"/>
          <w:szCs w:val="20"/>
        </w:rPr>
        <w:t xml:space="preserve">: março de 2010. In: In: CARDOSO JR., José Celso, SANTOS, José Celso e ALENCAR, Joana. </w:t>
      </w:r>
      <w:r w:rsidRPr="001A3AE2">
        <w:rPr>
          <w:rFonts w:ascii="Times New Roman" w:hAnsi="Times New Roman"/>
          <w:i/>
          <w:sz w:val="20"/>
          <w:szCs w:val="20"/>
        </w:rPr>
        <w:t xml:space="preserve">Diálogos para o desenvolvimento: </w:t>
      </w:r>
      <w:r w:rsidRPr="001A3AE2">
        <w:rPr>
          <w:rFonts w:ascii="Times New Roman" w:hAnsi="Times New Roman"/>
          <w:sz w:val="20"/>
          <w:szCs w:val="20"/>
        </w:rPr>
        <w:t xml:space="preserve">a experiência do Conselho de Desenvolvimento Econômico e Social sob o governo Lula. </w:t>
      </w:r>
      <w:r>
        <w:rPr>
          <w:rFonts w:ascii="Times New Roman" w:hAnsi="Times New Roman"/>
          <w:sz w:val="20"/>
          <w:szCs w:val="20"/>
        </w:rPr>
        <w:t>Brasília: IPEA, vol. 2, 2010, p. 402, grifos meus.</w:t>
      </w:r>
    </w:p>
  </w:footnote>
  <w:footnote w:id="224">
    <w:p w:rsidR="00DD31B9" w:rsidRPr="00822877" w:rsidRDefault="00DD31B9" w:rsidP="00BC6E51">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VERÍSSIMO, Michele Polline e XAVIER, Clésio Lourenço. </w:t>
      </w:r>
      <w:r w:rsidRPr="00822877">
        <w:rPr>
          <w:rFonts w:ascii="Times New Roman" w:hAnsi="Times New Roman"/>
          <w:i/>
        </w:rPr>
        <w:t xml:space="preserve">Tipo de commodities, taxa de câmbio e crescimento econômico: </w:t>
      </w:r>
      <w:r w:rsidRPr="00822877">
        <w:rPr>
          <w:rFonts w:ascii="Times New Roman" w:hAnsi="Times New Roman"/>
        </w:rPr>
        <w:t>evidências da maldição dos recursos naturais para o Brasil. Disponível em &lt;http://www.ie.ufu.br/node/394&gt;. Instituto de Economia da Universidade Federal de Uberlândia, 2012, p. 04.</w:t>
      </w:r>
    </w:p>
  </w:footnote>
  <w:footnote w:id="225">
    <w:p w:rsidR="00DD31B9" w:rsidRPr="00582426" w:rsidRDefault="00DD31B9" w:rsidP="00582426">
      <w:pPr>
        <w:autoSpaceDE w:val="0"/>
        <w:autoSpaceDN w:val="0"/>
        <w:adjustRightInd w:val="0"/>
        <w:spacing w:after="0" w:line="240" w:lineRule="auto"/>
        <w:rPr>
          <w:rFonts w:ascii="Times New Roman" w:hAnsi="Times New Roman"/>
          <w:sz w:val="20"/>
          <w:szCs w:val="20"/>
        </w:rPr>
      </w:pPr>
      <w:r w:rsidRPr="00582426">
        <w:rPr>
          <w:rStyle w:val="Refdenotaderodap"/>
          <w:rFonts w:ascii="Times New Roman" w:hAnsi="Times New Roman"/>
          <w:sz w:val="20"/>
          <w:szCs w:val="20"/>
        </w:rPr>
        <w:footnoteRef/>
      </w:r>
      <w:r w:rsidRPr="00582426">
        <w:rPr>
          <w:rFonts w:ascii="Times New Roman" w:hAnsi="Times New Roman"/>
          <w:sz w:val="20"/>
          <w:szCs w:val="20"/>
        </w:rPr>
        <w:t xml:space="preserve"> PINTO, Eduardo da Costa. </w:t>
      </w:r>
      <w:r w:rsidRPr="00582426">
        <w:rPr>
          <w:rFonts w:ascii="Times New Roman" w:hAnsi="Times New Roman"/>
          <w:i/>
          <w:sz w:val="20"/>
          <w:szCs w:val="20"/>
        </w:rPr>
        <w:t xml:space="preserve">Bloco no poder e governo Lula: </w:t>
      </w:r>
      <w:r w:rsidRPr="00582426">
        <w:rPr>
          <w:rFonts w:ascii="Times New Roman" w:hAnsi="Times New Roman"/>
          <w:sz w:val="20"/>
          <w:szCs w:val="20"/>
        </w:rPr>
        <w:t>grupos econômicos, política econômica e novo eixo sino-americano. Tese de Doutorado em Economia, RJ: UFRJ, 2010.</w:t>
      </w:r>
    </w:p>
  </w:footnote>
  <w:footnote w:id="226">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bCs/>
        </w:rPr>
        <w:t xml:space="preserve">KUPFER, David. </w:t>
      </w:r>
      <w:r w:rsidRPr="00582426">
        <w:rPr>
          <w:rFonts w:ascii="Times New Roman" w:hAnsi="Times New Roman"/>
          <w:bCs/>
          <w:i/>
        </w:rPr>
        <w:t>Mudança estrutural nas empresas e grupos líderes da economia brasileira na década de 90.</w:t>
      </w:r>
      <w:r w:rsidRPr="00582426">
        <w:rPr>
          <w:rFonts w:ascii="Times New Roman" w:hAnsi="Times New Roman"/>
          <w:bCs/>
        </w:rPr>
        <w:t xml:space="preserve"> Instituto de Economia da UFRJ, RJ: 2001</w:t>
      </w:r>
      <w:r>
        <w:rPr>
          <w:rFonts w:ascii="Times New Roman" w:hAnsi="Times New Roman"/>
          <w:bCs/>
        </w:rPr>
        <w:t>.</w:t>
      </w:r>
    </w:p>
  </w:footnote>
  <w:footnote w:id="227">
    <w:p w:rsidR="00DD31B9" w:rsidRPr="007D55FD" w:rsidRDefault="00DD31B9" w:rsidP="007D55FD">
      <w:pPr>
        <w:spacing w:after="0" w:line="240" w:lineRule="auto"/>
        <w:jc w:val="both"/>
        <w:rPr>
          <w:rFonts w:ascii="Times New Roman" w:hAnsi="Times New Roman"/>
          <w:sz w:val="20"/>
          <w:szCs w:val="20"/>
        </w:rPr>
      </w:pPr>
      <w:r w:rsidRPr="007D55FD">
        <w:rPr>
          <w:rStyle w:val="Refdenotaderodap"/>
          <w:rFonts w:ascii="Times New Roman" w:hAnsi="Times New Roman"/>
          <w:sz w:val="20"/>
          <w:szCs w:val="20"/>
        </w:rPr>
        <w:footnoteRef/>
      </w:r>
      <w:r w:rsidRPr="007D55FD">
        <w:rPr>
          <w:rFonts w:ascii="Times New Roman" w:hAnsi="Times New Roman"/>
          <w:sz w:val="20"/>
          <w:szCs w:val="20"/>
        </w:rPr>
        <w:t xml:space="preserve"> APEXBRASIL, Boletim da Indústria e do Comércio Exterior, V1, Nº4, jul-set 2010.</w:t>
      </w:r>
    </w:p>
  </w:footnote>
  <w:footnote w:id="228">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A Indústria da Construção Civil foi classificada como classe não industrial por Pinto (2010) e Kupfer (2001), o que diverge da nossa conceituação teórica exposta acima.</w:t>
      </w:r>
    </w:p>
  </w:footnote>
  <w:footnote w:id="229">
    <w:p w:rsidR="00DD31B9" w:rsidRPr="00582426" w:rsidRDefault="00DD31B9" w:rsidP="00582426">
      <w:pPr>
        <w:pStyle w:val="Textodenotaderodap"/>
        <w:rPr>
          <w:rFonts w:ascii="Times New Roman" w:hAnsi="Times New Roman"/>
        </w:rPr>
      </w:pPr>
      <w:r w:rsidRPr="00582426">
        <w:rPr>
          <w:rStyle w:val="Refdenotaderodap"/>
          <w:rFonts w:ascii="Times New Roman" w:hAnsi="Times New Roman"/>
        </w:rPr>
        <w:footnoteRef/>
      </w:r>
      <w:r w:rsidRPr="00582426">
        <w:rPr>
          <w:rFonts w:ascii="Times New Roman" w:hAnsi="Times New Roman"/>
        </w:rPr>
        <w:t xml:space="preserve"> José Luis Cutrale Jr. (Sucocítrico Cutrale) mesmo sendo classificado como fabricante de “produtos alimentícios e bebidas” no Quadro III, consta aqui, pela característica da inserção do produto no mercado mundial, como empresário da Indústria de Commodities alimentícias.</w:t>
      </w:r>
    </w:p>
  </w:footnote>
  <w:footnote w:id="230">
    <w:p w:rsidR="00DD31B9" w:rsidRPr="008A4FB9" w:rsidRDefault="00DD31B9" w:rsidP="00582426">
      <w:pPr>
        <w:rPr>
          <w:sz w:val="16"/>
          <w:szCs w:val="16"/>
        </w:rPr>
      </w:pPr>
      <w:r w:rsidRPr="008A4FB9">
        <w:rPr>
          <w:rStyle w:val="Refdenotaderodap"/>
          <w:rFonts w:ascii="Times New Roman" w:hAnsi="Times New Roman"/>
          <w:sz w:val="20"/>
          <w:szCs w:val="20"/>
        </w:rPr>
        <w:footnoteRef/>
      </w:r>
      <w:r w:rsidRPr="008A4FB9">
        <w:rPr>
          <w:rFonts w:ascii="Times New Roman" w:hAnsi="Times New Roman"/>
          <w:sz w:val="20"/>
          <w:szCs w:val="20"/>
        </w:rPr>
        <w:t xml:space="preserve"> São eles: Fabio Barbosa, Daniel Feffer, Horácio Piva, Jorge Gerdau, Milu Vilella,Ricardo Young e Viviane Senna</w:t>
      </w:r>
      <w:r w:rsidRPr="008A4FB9">
        <w:rPr>
          <w:rFonts w:ascii="Times New Roman" w:hAnsi="Times New Roman"/>
          <w:sz w:val="16"/>
          <w:szCs w:val="16"/>
        </w:rPr>
        <w:t>.</w:t>
      </w:r>
    </w:p>
  </w:footnote>
  <w:footnote w:id="231">
    <w:p w:rsidR="00DD31B9" w:rsidRPr="00822877" w:rsidRDefault="00DD31B9" w:rsidP="00582426">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IBGE, Diretoria de Pesquisas, Coordenação de Indústria, Pesquisa Industrial Inovação Tecnológica 2000. Informações retiradasde &lt;http://www.ibge.gov.br/home/estatistica/economia/industria/</w:t>
      </w:r>
    </w:p>
    <w:p w:rsidR="00DD31B9" w:rsidRPr="00822877" w:rsidRDefault="00DD31B9" w:rsidP="00582426">
      <w:pPr>
        <w:pStyle w:val="Textodenotaderodap"/>
        <w:rPr>
          <w:rFonts w:ascii="Times New Roman" w:hAnsi="Times New Roman"/>
        </w:rPr>
      </w:pPr>
      <w:r w:rsidRPr="00822877">
        <w:rPr>
          <w:rFonts w:ascii="Times New Roman" w:hAnsi="Times New Roman"/>
        </w:rPr>
        <w:t>pia/empresas/comentario2003.pdf&gt;. Acesso 27/10/2013.</w:t>
      </w:r>
    </w:p>
  </w:footnote>
  <w:footnote w:id="232">
    <w:p w:rsidR="00DD31B9" w:rsidRPr="00822877" w:rsidRDefault="00DD31B9" w:rsidP="00582426">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Servimo-nos da classificação PINTEC-IBGE do ano de 2000 apenas no que se refere ao enquadramento das divisões e agregações de acordo com a sua intensidade tecnológica. A nomenclatura e o próprio código mudaram significativamente na versão que ora utilizamos (2.1) e daí a necessidade de as atualizarmos.</w:t>
      </w:r>
    </w:p>
  </w:footnote>
  <w:footnote w:id="233">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HUNGARATO, Arildo. </w:t>
      </w:r>
      <w:r w:rsidRPr="00822877">
        <w:rPr>
          <w:rFonts w:ascii="Times New Roman" w:hAnsi="Times New Roman"/>
          <w:i/>
        </w:rPr>
        <w:t>Value-Relevance dos gastos em P&amp;D para os preços das ações das empresas da Bovespa</w:t>
      </w:r>
      <w:r w:rsidRPr="00822877">
        <w:rPr>
          <w:rFonts w:ascii="Times New Roman" w:hAnsi="Times New Roman"/>
        </w:rPr>
        <w:t>. Dissertação de Mestrado, Fucape, Vitória, 2008.</w:t>
      </w:r>
    </w:p>
  </w:footnote>
  <w:footnote w:id="234">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PAULA, Nice de. </w:t>
      </w:r>
      <w:r w:rsidRPr="00C95DB5">
        <w:rPr>
          <w:rFonts w:ascii="Times New Roman" w:hAnsi="Times New Roman"/>
        </w:rPr>
        <w:t>Eduardo Eugênio é reeleito pela sétima vez</w:t>
      </w:r>
      <w:r w:rsidRPr="00822877">
        <w:rPr>
          <w:rFonts w:ascii="Times New Roman" w:hAnsi="Times New Roman"/>
          <w:i/>
        </w:rPr>
        <w:t>.</w:t>
      </w:r>
      <w:r w:rsidRPr="00C95DB5">
        <w:rPr>
          <w:rFonts w:ascii="Times New Roman" w:hAnsi="Times New Roman"/>
          <w:i/>
        </w:rPr>
        <w:t xml:space="preserve"> O Globo</w:t>
      </w:r>
      <w:r w:rsidRPr="00822877">
        <w:rPr>
          <w:rFonts w:ascii="Times New Roman" w:hAnsi="Times New Roman"/>
        </w:rPr>
        <w:t>, 19/08/2013. Retirado de &lt;http://oglobo.globo.com/economia/eduardo-eugenio-reeleito-pela-setima-vez-para-presidencia-da-firjan-9615208&gt;. Acesso em 28/10/2013.</w:t>
      </w:r>
    </w:p>
  </w:footnote>
  <w:footnote w:id="235">
    <w:p w:rsidR="00DD31B9" w:rsidRPr="00822877" w:rsidRDefault="00DD31B9" w:rsidP="00822877">
      <w:pPr>
        <w:autoSpaceDE w:val="0"/>
        <w:autoSpaceDN w:val="0"/>
        <w:adjustRightInd w:val="0"/>
        <w:spacing w:after="0" w:line="240" w:lineRule="auto"/>
        <w:rPr>
          <w:rFonts w:ascii="Times New Roman" w:hAnsi="Times New Roman"/>
          <w:bCs/>
          <w:sz w:val="20"/>
          <w:szCs w:val="20"/>
        </w:rPr>
      </w:pPr>
      <w:r w:rsidRPr="00822877">
        <w:rPr>
          <w:rStyle w:val="Refdenotaderodap"/>
          <w:rFonts w:ascii="Times New Roman" w:hAnsi="Times New Roman"/>
          <w:sz w:val="20"/>
          <w:szCs w:val="20"/>
        </w:rPr>
        <w:footnoteRef/>
      </w:r>
      <w:r w:rsidRPr="00822877">
        <w:rPr>
          <w:rFonts w:ascii="Times New Roman" w:hAnsi="Times New Roman"/>
          <w:sz w:val="20"/>
          <w:szCs w:val="20"/>
        </w:rPr>
        <w:t xml:space="preserve"> Segundo Sonia Regina de Mendonça, a Organização das Cooperativas Brasileiras (OCB), numa operação simbólica e política de envergadura, logrou recriar o conceito de agricultura mediante sua imbricação à noção, bem mais ampliada, de </w:t>
      </w:r>
      <w:r w:rsidRPr="00822877">
        <w:rPr>
          <w:rFonts w:ascii="Times New Roman" w:hAnsi="Times New Roman"/>
          <w:i/>
          <w:sz w:val="20"/>
          <w:szCs w:val="20"/>
        </w:rPr>
        <w:t xml:space="preserve">agribusiness </w:t>
      </w:r>
      <w:r w:rsidRPr="00822877">
        <w:rPr>
          <w:rFonts w:ascii="Times New Roman" w:hAnsi="Times New Roman"/>
          <w:sz w:val="20"/>
          <w:szCs w:val="20"/>
        </w:rPr>
        <w:t xml:space="preserve">(ou agronegócio), que não mais se limitava à atividade agrícola </w:t>
      </w:r>
      <w:r w:rsidRPr="00822877">
        <w:rPr>
          <w:rFonts w:ascii="Times New Roman" w:hAnsi="Times New Roman"/>
          <w:i/>
          <w:sz w:val="20"/>
          <w:szCs w:val="20"/>
        </w:rPr>
        <w:t>tout court</w:t>
      </w:r>
      <w:r w:rsidRPr="00822877">
        <w:rPr>
          <w:rFonts w:ascii="Times New Roman" w:hAnsi="Times New Roman"/>
          <w:sz w:val="20"/>
          <w:szCs w:val="20"/>
        </w:rPr>
        <w:t>, mas a todo um processo de rápida tecnificação e “modernização” da agricultura que vinha desde os anos 70. Diz a pesquisadora que “se alguma ‘novidade’ havia, era o estabelecimento da associação, que integrava, num único sistema, todas as atividades definidas como correlatas ao ‘agrário’”. (Cf. MENDONÇA, Sonia Regina de.</w:t>
      </w:r>
      <w:r w:rsidRPr="00822877">
        <w:rPr>
          <w:rFonts w:ascii="Times New Roman" w:hAnsi="Times New Roman"/>
          <w:bCs/>
          <w:i/>
          <w:sz w:val="20"/>
          <w:szCs w:val="20"/>
        </w:rPr>
        <w:t>O patronato rural no Brasil recente (1964-1993).</w:t>
      </w:r>
      <w:r w:rsidRPr="00822877">
        <w:rPr>
          <w:rFonts w:ascii="Times New Roman" w:hAnsi="Times New Roman"/>
          <w:bCs/>
          <w:sz w:val="20"/>
          <w:szCs w:val="20"/>
        </w:rPr>
        <w:t xml:space="preserve"> RJ: Ed. UFRJ, 2010, p. </w:t>
      </w:r>
      <w:r w:rsidRPr="00822877">
        <w:rPr>
          <w:rFonts w:ascii="Times New Roman" w:hAnsi="Times New Roman"/>
          <w:sz w:val="20"/>
          <w:szCs w:val="20"/>
        </w:rPr>
        <w:t xml:space="preserve">218-219). Tratava-se, portanto, de um conceito que se esforçava em homogeneizar os sujeitos sociais do campo, constitutivo de uma vitória ideológica onde o objetivo era o de “diluir a questão da terra e construir o apagamento da questão fundiária”, bem como de evitar que, numa sociedade de classe, cada uma das classes e grupos sociais consiga expressar a unidade política, ideológica e simbólica do seu lugar social (Cf. BRUNO, Regina (et al.). </w:t>
      </w:r>
      <w:r w:rsidRPr="00822877">
        <w:rPr>
          <w:rFonts w:ascii="Times New Roman" w:hAnsi="Times New Roman"/>
          <w:i/>
          <w:sz w:val="20"/>
          <w:szCs w:val="20"/>
        </w:rPr>
        <w:t>Um Brasil ambivalente</w:t>
      </w:r>
      <w:r w:rsidRPr="00822877">
        <w:rPr>
          <w:rFonts w:ascii="Times New Roman" w:hAnsi="Times New Roman"/>
          <w:sz w:val="20"/>
          <w:szCs w:val="20"/>
        </w:rPr>
        <w:t xml:space="preserve">: agronegócio, ruralismo e relações de poder. RJ: mauad X; Seropédica, RJ: EDUAR, 2009, p. 126-127). </w:t>
      </w:r>
    </w:p>
  </w:footnote>
  <w:footnote w:id="236">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Segundo o jornalistas Bernardo de la Peña e Germano Oliveira “OOtávio chegou a ser indiciado por sonegação fiscal e falsidade ideológica. Ele foi acusado de intermediar uma das investigações derivadas do inquérito principal do caso PC” </w:t>
      </w:r>
      <w:r w:rsidRPr="00C95DB5">
        <w:rPr>
          <w:rFonts w:ascii="Times New Roman" w:hAnsi="Times New Roman"/>
        </w:rPr>
        <w:t>(Cf.  PEÑA, Bernardo de la e OLIVEIRA, Germano. Ex-sócio de PC farias na direção do Sebrae</w:t>
      </w:r>
      <w:r w:rsidRPr="00C95DB5">
        <w:rPr>
          <w:rFonts w:ascii="Times New Roman" w:hAnsi="Times New Roman"/>
          <w:i/>
        </w:rPr>
        <w:t xml:space="preserve">. </w:t>
      </w:r>
      <w:r w:rsidRPr="00C95DB5">
        <w:rPr>
          <w:rFonts w:ascii="Times New Roman" w:hAnsi="Times New Roman"/>
          <w:bCs/>
          <w:i/>
        </w:rPr>
        <w:t xml:space="preserve">O </w:t>
      </w:r>
      <w:r w:rsidRPr="00C95DB5">
        <w:rPr>
          <w:rFonts w:ascii="Times New Roman" w:hAnsi="Times New Roman"/>
          <w:i/>
        </w:rPr>
        <w:t>Globo</w:t>
      </w:r>
      <w:r w:rsidRPr="00C95DB5">
        <w:rPr>
          <w:rFonts w:ascii="Times New Roman" w:hAnsi="Times New Roman"/>
        </w:rPr>
        <w:t>, 04/04/2006, p. 8).</w:t>
      </w:r>
      <w:r w:rsidRPr="00822877">
        <w:rPr>
          <w:rFonts w:ascii="Times New Roman" w:hAnsi="Times New Roman"/>
        </w:rPr>
        <w:t xml:space="preserve"> Retirado de &lt;http://www2.senado.leg.br/bdsf/bitstream/handle/</w:t>
      </w:r>
    </w:p>
    <w:p w:rsidR="00DD31B9" w:rsidRPr="00822877" w:rsidRDefault="00DD31B9" w:rsidP="00822877">
      <w:pPr>
        <w:pStyle w:val="Textodenotaderodap"/>
        <w:rPr>
          <w:rFonts w:ascii="Times New Roman" w:hAnsi="Times New Roman"/>
        </w:rPr>
      </w:pPr>
      <w:r w:rsidRPr="00822877">
        <w:rPr>
          <w:rFonts w:ascii="Times New Roman" w:hAnsi="Times New Roman"/>
        </w:rPr>
        <w:t>id/399203/complemento_1.htm?sequence=2&gt;.  Acesso em 29/10/2013.</w:t>
      </w:r>
    </w:p>
  </w:footnote>
  <w:footnote w:id="237">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ZIBECHI, Raúl. </w:t>
      </w:r>
      <w:r w:rsidRPr="00822877">
        <w:rPr>
          <w:rFonts w:ascii="Times New Roman" w:hAnsi="Times New Roman"/>
          <w:i/>
        </w:rPr>
        <w:t>Brasil potência</w:t>
      </w:r>
      <w:r w:rsidRPr="00822877">
        <w:rPr>
          <w:rFonts w:ascii="Times New Roman" w:hAnsi="Times New Roman"/>
        </w:rPr>
        <w:t>: entre a integração regional e um novo imperialismo. RJ: Consequência, 2012,p. 172.</w:t>
      </w:r>
    </w:p>
  </w:footnote>
  <w:footnote w:id="238">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Retirado de &lt; http://www.brasilagro.com.br/conteudo/louis-dreyfus-compra40-da-santelisa-e-o-bndes-tera20.html#.VKiqGyvF9_A&gt;. Acesso em 04/01/2015.</w:t>
      </w:r>
    </w:p>
  </w:footnote>
  <w:footnote w:id="239">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Retirado de &lt;http://www.odebrechtagroindustrial.com/sobre-eth/quem-somos&gt;.  Acesso em 29/10/2013.</w:t>
      </w:r>
    </w:p>
  </w:footnote>
  <w:footnote w:id="240">
    <w:p w:rsidR="00DD31B9" w:rsidRPr="00581A89" w:rsidRDefault="00DD31B9">
      <w:pPr>
        <w:pStyle w:val="Textodenotaderodap"/>
        <w:rPr>
          <w:rFonts w:ascii="Times New Roman" w:hAnsi="Times New Roman"/>
        </w:rPr>
      </w:pPr>
      <w:r w:rsidRPr="00581A89">
        <w:rPr>
          <w:rStyle w:val="Refdenotaderodap"/>
          <w:rFonts w:ascii="Times New Roman" w:hAnsi="Times New Roman"/>
        </w:rPr>
        <w:footnoteRef/>
      </w:r>
      <w:r w:rsidRPr="00581A89">
        <w:rPr>
          <w:rFonts w:ascii="Times New Roman" w:hAnsi="Times New Roman"/>
        </w:rPr>
        <w:t xml:space="preserve"> ALMEIDA, Mansueto. </w:t>
      </w:r>
      <w:r w:rsidRPr="00581A89">
        <w:rPr>
          <w:rFonts w:ascii="Times New Roman" w:hAnsi="Times New Roman"/>
          <w:i/>
        </w:rPr>
        <w:t xml:space="preserve">Desafios da real política industrial brasileira do século XXI. </w:t>
      </w:r>
      <w:r w:rsidRPr="00581A89">
        <w:rPr>
          <w:rFonts w:ascii="Times New Roman" w:hAnsi="Times New Roman"/>
        </w:rPr>
        <w:t>Texto para discussão nº 1452, IPEA, Brasília: 2009</w:t>
      </w:r>
      <w:r>
        <w:rPr>
          <w:rFonts w:ascii="Times New Roman" w:hAnsi="Times New Roman"/>
        </w:rPr>
        <w:t>, p. 63.</w:t>
      </w:r>
    </w:p>
  </w:footnote>
  <w:footnote w:id="241">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Retirado de &lt;http://segurogarantia.net/noticia/bndes-aprova-credito-de-r-226-milhoes-para-duas-pchs-do-grupo-alusa/#.VIo1xivF9_A&gt;. Acesso em 11/12/2014.</w:t>
      </w:r>
    </w:p>
  </w:footnote>
  <w:footnote w:id="242">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As empresas, não representadas no CDES, mas que também receberam empréstimos do BNDES neste ano foram a Bertin S.A (R$ 2.499.929.732,00), a JBS S.A (R$ 1.109.267.813,00), a Marfrig Frigoríficos e Comércio de Alimentos Ltda (R$ 700.000.000,00), a Independência Participações S.A (R$ 449.999.979,00) e a Perdigão Agroindustrial (R$ 342.694.800,00), todas do ramo de frigorífico de carnes e processamento de alimentos. A Totvs S.A, empresa do setor de informática e de desenvolvimento de software, recebeu empréstimo no valor de R$ 404.500.000,00 , “no âmbito do programa para o desenvolvimento da indústria nacional de software e serviços de tecnologia da informação (Prosoft-Empresa)”, conforme detalha a descrição do projeto (Cf. ALMEIDA, Mansueto. </w:t>
      </w:r>
      <w:r w:rsidRPr="00822877">
        <w:rPr>
          <w:rFonts w:ascii="Times New Roman" w:hAnsi="Times New Roman"/>
          <w:i/>
        </w:rPr>
        <w:t xml:space="preserve">Desafios da real política industrial </w:t>
      </w:r>
      <w:r>
        <w:rPr>
          <w:rFonts w:ascii="Times New Roman" w:hAnsi="Times New Roman"/>
          <w:i/>
        </w:rPr>
        <w:t xml:space="preserve">brasileira do século XXI... </w:t>
      </w:r>
      <w:r>
        <w:rPr>
          <w:rFonts w:ascii="Times New Roman" w:hAnsi="Times New Roman"/>
        </w:rPr>
        <w:t>Op. cit</w:t>
      </w:r>
      <w:r w:rsidRPr="00822877">
        <w:rPr>
          <w:rFonts w:ascii="Times New Roman" w:hAnsi="Times New Roman"/>
        </w:rPr>
        <w:t>).</w:t>
      </w:r>
    </w:p>
  </w:footnote>
  <w:footnote w:id="243">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Conselho de Desenvolvimento Econômico e Social (Brasil) (CEDES). Relatório de Gestão – 2007 / Conselho de Desenvolvimento Econômico e Social. – Brasília: Presidência da República, Conselho de Desenvolvimento Econômico e Social, 2007, p. 29.</w:t>
      </w:r>
    </w:p>
  </w:footnote>
  <w:footnote w:id="244">
    <w:p w:rsidR="00DD31B9" w:rsidRPr="00822877" w:rsidRDefault="00DD31B9" w:rsidP="00822877">
      <w:pPr>
        <w:autoSpaceDE w:val="0"/>
        <w:autoSpaceDN w:val="0"/>
        <w:adjustRightInd w:val="0"/>
        <w:spacing w:after="0" w:line="240" w:lineRule="auto"/>
        <w:rPr>
          <w:rFonts w:ascii="Times New Roman" w:hAnsi="Times New Roman"/>
        </w:rPr>
      </w:pPr>
      <w:r w:rsidRPr="00822877">
        <w:rPr>
          <w:rStyle w:val="Refdenotaderodap"/>
          <w:rFonts w:ascii="Times New Roman" w:hAnsi="Times New Roman"/>
          <w:sz w:val="20"/>
          <w:szCs w:val="20"/>
        </w:rPr>
        <w:footnoteRef/>
      </w:r>
      <w:r w:rsidRPr="00822877">
        <w:rPr>
          <w:rFonts w:ascii="Times New Roman" w:hAnsi="Times New Roman"/>
          <w:sz w:val="20"/>
          <w:szCs w:val="20"/>
        </w:rPr>
        <w:t xml:space="preserve"> Idem, p. 29.</w:t>
      </w:r>
    </w:p>
  </w:footnote>
  <w:footnote w:id="245">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ALMEIDA, Mansueto. </w:t>
      </w:r>
      <w:r w:rsidRPr="00822877">
        <w:rPr>
          <w:rFonts w:ascii="Times New Roman" w:hAnsi="Times New Roman"/>
          <w:i/>
        </w:rPr>
        <w:t>Desafios da real política industrial brasileira do século XXI</w:t>
      </w:r>
      <w:r w:rsidRPr="00822877">
        <w:rPr>
          <w:rFonts w:ascii="Times New Roman" w:hAnsi="Times New Roman"/>
        </w:rPr>
        <w:t>. Op. cit., p. 63.</w:t>
      </w:r>
    </w:p>
  </w:footnote>
  <w:footnote w:id="246">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Conselho de Desenvolvimento Econômico e Social (Brasil) (CEDES). Relatório de Gestão – 2007</w:t>
      </w:r>
      <w:r>
        <w:rPr>
          <w:rFonts w:ascii="Times New Roman" w:hAnsi="Times New Roman"/>
        </w:rPr>
        <w:t>..</w:t>
      </w:r>
      <w:r w:rsidRPr="00822877">
        <w:rPr>
          <w:rFonts w:ascii="Times New Roman" w:hAnsi="Times New Roman"/>
        </w:rPr>
        <w:t>.</w:t>
      </w:r>
      <w:r>
        <w:rPr>
          <w:rFonts w:ascii="Times New Roman" w:hAnsi="Times New Roman"/>
        </w:rPr>
        <w:t xml:space="preserve">, Op.cit., p. 29. </w:t>
      </w:r>
      <w:r w:rsidRPr="00822877">
        <w:rPr>
          <w:rFonts w:ascii="Times New Roman" w:hAnsi="Times New Roman"/>
        </w:rPr>
        <w:t xml:space="preserve"> Na condição de empresário e liderança do agronegócio, o conselheiro Bumlai perseguia, junto ao governo, aumento de recursos para o seu setor.  Na 28ª reunião plenária do CDES, em plena crise econômica de 2008, assim se dirigiu diretamente ao presidente Lula da Silva: “O setor sucroalcooleiro, Senhor Presidente, em notável expansão, também está com problemas de crédito e merece especial atenção. O setor é grande gerador de exportação, além de ser hoje um novo e crescente pólo energético, pela instalação de unidade de biomassa, gerando energia em grande número de usinas. O BNDES poderia agir rapidamente, gerando linhas de capital de giro necessárias, devido à retração dos bancos privados que operavam com o segmento. É um setor relativamente homogêneo e concentrado, ao contrário do rural, permitindo o atendimento direto” (ATA da 28ª Reunião Plenária, 06/11/2008, p. 20).</w:t>
      </w:r>
    </w:p>
  </w:footnote>
  <w:footnote w:id="247">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PAGNAN , Rogério e ROCHA, Marília. Amigo de</w:t>
      </w:r>
      <w:r>
        <w:rPr>
          <w:rFonts w:ascii="Times New Roman" w:hAnsi="Times New Roman"/>
        </w:rPr>
        <w:t xml:space="preserve"> Lula é investigado por desvios</w:t>
      </w:r>
      <w:r w:rsidRPr="00822877">
        <w:rPr>
          <w:rFonts w:ascii="Times New Roman" w:hAnsi="Times New Roman"/>
        </w:rPr>
        <w:t xml:space="preserve">. </w:t>
      </w:r>
      <w:r w:rsidRPr="00C95DB5">
        <w:rPr>
          <w:rFonts w:ascii="Times New Roman" w:hAnsi="Times New Roman"/>
          <w:i/>
        </w:rPr>
        <w:t>Folha de São Paulo</w:t>
      </w:r>
      <w:r w:rsidRPr="00822877">
        <w:rPr>
          <w:rFonts w:ascii="Times New Roman" w:hAnsi="Times New Roman"/>
        </w:rPr>
        <w:t>, 25/05/2011. Disponível em &lt; http://www1.folha.uol.com.br/fsp/poder/po2505201111.htm&gt;. Acesso em 2/10/2013. Foram várias as matérias na grande imprensa que veicularam este caso. O advogado de Bumlai refutou todas as acusações.</w:t>
      </w:r>
    </w:p>
  </w:footnote>
  <w:footnote w:id="248">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ATTUCH, Leonardo. O conselheiro rural do presidente</w:t>
      </w:r>
      <w:r>
        <w:rPr>
          <w:rFonts w:ascii="Times New Roman" w:hAnsi="Times New Roman"/>
        </w:rPr>
        <w:t xml:space="preserve">. </w:t>
      </w:r>
      <w:r w:rsidRPr="00C95DB5">
        <w:rPr>
          <w:rFonts w:ascii="Times New Roman" w:hAnsi="Times New Roman"/>
          <w:i/>
        </w:rPr>
        <w:t>Revista Dinheiro Rural</w:t>
      </w:r>
      <w:r w:rsidRPr="00822877">
        <w:rPr>
          <w:rFonts w:ascii="Times New Roman" w:hAnsi="Times New Roman"/>
        </w:rPr>
        <w:t>, Ed. 54, 04.2009. Grifos meus. Retirado de &lt; http://revistadinheirorural.terra.com.br/secao/agronegocios/o-conselheiro-rural-do-presidente&gt;. Acesso em 29/10/2013.</w:t>
      </w:r>
    </w:p>
  </w:footnote>
  <w:footnote w:id="249">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Retirado de http://www.aubert.com.br/empresa.html&gt;. Acesso em 29/10/2013.</w:t>
      </w:r>
    </w:p>
  </w:footnote>
  <w:footnote w:id="250">
    <w:p w:rsidR="00DD31B9" w:rsidRPr="00822877" w:rsidRDefault="00DD31B9" w:rsidP="00DE37D0">
      <w:pPr>
        <w:spacing w:after="0" w:line="240" w:lineRule="auto"/>
        <w:jc w:val="both"/>
        <w:rPr>
          <w:rFonts w:ascii="Times New Roman" w:eastAsia="Times New Roman" w:hAnsi="Times New Roman"/>
          <w:color w:val="000000"/>
          <w:sz w:val="20"/>
          <w:szCs w:val="20"/>
          <w:lang w:eastAsia="pt-BR"/>
        </w:rPr>
      </w:pPr>
      <w:r w:rsidRPr="00822877">
        <w:rPr>
          <w:rStyle w:val="Refdenotaderodap"/>
          <w:rFonts w:ascii="Times New Roman" w:hAnsi="Times New Roman"/>
        </w:rPr>
        <w:footnoteRef/>
      </w:r>
      <w:r w:rsidRPr="00822877">
        <w:rPr>
          <w:rFonts w:ascii="Times New Roman" w:eastAsia="Times New Roman" w:hAnsi="Times New Roman"/>
          <w:color w:val="000000"/>
          <w:sz w:val="20"/>
          <w:szCs w:val="20"/>
          <w:lang w:eastAsia="pt-BR"/>
        </w:rPr>
        <w:t xml:space="preserve">A Polícia Federal abriu inquérito para investigar “provável ocorrência de crimes de corrupção passiva e ativa envolvendo o relacionamento de pessoas vinculadas ao governo do Estado de Alagoas, o Banco Panamericano e outras instituições financeiras nacionais”. </w:t>
      </w:r>
      <w:r w:rsidRPr="00822877">
        <w:rPr>
          <w:rFonts w:ascii="Times New Roman" w:hAnsi="Times New Roman"/>
          <w:color w:val="000000"/>
          <w:sz w:val="20"/>
          <w:szCs w:val="20"/>
        </w:rPr>
        <w:t>Os e-mails citam frequentemente Luiz Otávio Gomes como personagem central da negociação. “PF investiga corrupção envolvendo governo de Alagoas”, noticia vinculada no site no Sindicato da Polícia Civil de Alagoas em 24/10/2011. Retirado de &lt;http://www.sindpol-al.com.br/2011/10/pf-investiga-corrupcao-envolvendo-governo-de-alagoas/&gt;. Acesso em 29/10/2013.</w:t>
      </w:r>
    </w:p>
    <w:p w:rsidR="00DD31B9" w:rsidRDefault="00DD31B9" w:rsidP="00822877">
      <w:pPr>
        <w:pStyle w:val="Textodenotaderodap"/>
      </w:pPr>
    </w:p>
  </w:footnote>
  <w:footnote w:id="251">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MENDONÇA, Sonia Regina de.</w:t>
      </w:r>
      <w:r w:rsidRPr="00822877">
        <w:rPr>
          <w:rFonts w:ascii="Times New Roman" w:hAnsi="Times New Roman"/>
          <w:bCs/>
          <w:i/>
        </w:rPr>
        <w:t>O patronato rural no Brasil recente (1964-1993)</w:t>
      </w:r>
      <w:r w:rsidRPr="00822877">
        <w:rPr>
          <w:rFonts w:ascii="Times New Roman" w:hAnsi="Times New Roman"/>
          <w:bCs/>
        </w:rPr>
        <w:t>... Op. cit., p. 183-185.</w:t>
      </w:r>
    </w:p>
  </w:footnote>
  <w:footnote w:id="252">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Idem, p. 186.</w:t>
      </w:r>
    </w:p>
  </w:footnote>
  <w:footnote w:id="253">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Idem, p. 202.</w:t>
      </w:r>
    </w:p>
  </w:footnote>
  <w:footnote w:id="254">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Idem, p. 209.</w:t>
      </w:r>
    </w:p>
  </w:footnote>
  <w:footnote w:id="255">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Idem, p. 208.</w:t>
      </w:r>
    </w:p>
  </w:footnote>
  <w:footnote w:id="256">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Idem, p. 219.</w:t>
      </w:r>
    </w:p>
  </w:footnote>
  <w:footnote w:id="257">
    <w:p w:rsidR="00DD31B9" w:rsidRPr="00822877" w:rsidRDefault="00DD31B9" w:rsidP="00822877">
      <w:pPr>
        <w:autoSpaceDE w:val="0"/>
        <w:autoSpaceDN w:val="0"/>
        <w:adjustRightInd w:val="0"/>
        <w:spacing w:after="0" w:line="240" w:lineRule="auto"/>
        <w:rPr>
          <w:rFonts w:ascii="Times New Roman" w:hAnsi="Times New Roman"/>
        </w:rPr>
      </w:pPr>
      <w:r w:rsidRPr="00822877">
        <w:rPr>
          <w:rStyle w:val="Refdenotaderodap"/>
          <w:rFonts w:ascii="Times New Roman" w:hAnsi="Times New Roman"/>
          <w:sz w:val="20"/>
          <w:szCs w:val="20"/>
        </w:rPr>
        <w:footnoteRef/>
      </w:r>
      <w:r w:rsidRPr="00822877">
        <w:rPr>
          <w:rFonts w:ascii="Times New Roman" w:hAnsi="Times New Roman"/>
          <w:sz w:val="20"/>
          <w:szCs w:val="20"/>
        </w:rPr>
        <w:t xml:space="preserve"> GIFFONI PINTO, Raphaela. </w:t>
      </w:r>
      <w:r w:rsidRPr="00822877">
        <w:rPr>
          <w:rFonts w:ascii="Times New Roman" w:hAnsi="Times New Roman"/>
          <w:i/>
          <w:sz w:val="20"/>
          <w:szCs w:val="20"/>
        </w:rPr>
        <w:t>O novo empresariado rural brasileiro</w:t>
      </w:r>
      <w:r w:rsidRPr="00822877">
        <w:rPr>
          <w:rFonts w:ascii="Times New Roman" w:hAnsi="Times New Roman"/>
          <w:sz w:val="20"/>
          <w:szCs w:val="20"/>
        </w:rPr>
        <w:t xml:space="preserve"> – uma análise das origens, projetos e atuação da Associação Brasileira de Agribusiness (1990-2002). Dissertação de Mestrado em História, Niterói: UFF, 2010, p. 10.</w:t>
      </w:r>
    </w:p>
  </w:footnote>
  <w:footnote w:id="258">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Para a confecção deste quadro foi de grande valia o documento da ABAG, publicado em 2008: “ABAG 15 anos – Uma história de realizações em benefício do agronegócio brasileiro”. Retirado de &lt; http://www.abag.com.br/pdf/Abag_15_anos.pdf&gt;, bem como o site da própria ABAG &lt; http://www.abag.</w:t>
      </w:r>
    </w:p>
    <w:p w:rsidR="00DD31B9" w:rsidRPr="00822877" w:rsidRDefault="00DD31B9" w:rsidP="00822877">
      <w:pPr>
        <w:pStyle w:val="Textodenotaderodap"/>
        <w:rPr>
          <w:rFonts w:ascii="Times New Roman" w:hAnsi="Times New Roman"/>
        </w:rPr>
      </w:pPr>
      <w:r w:rsidRPr="00822877">
        <w:rPr>
          <w:rFonts w:ascii="Times New Roman" w:hAnsi="Times New Roman"/>
          <w:lang w:val="en-US"/>
        </w:rPr>
        <w:t>com.br/index.php?mpg=01.02.00&gt; .</w:t>
      </w:r>
      <w:r w:rsidRPr="00822877">
        <w:rPr>
          <w:rFonts w:ascii="Times New Roman" w:hAnsi="Times New Roman"/>
        </w:rPr>
        <w:t>Home pages de outras associações foram consultadas: Cf.  &lt;http://abmra.org.br/associacao_diretoria_2012_2013.htm&gt; ; &lt;http://www.ibraf.org.br/x_files/</w:t>
      </w:r>
    </w:p>
    <w:p w:rsidR="00DD31B9" w:rsidRPr="00822877" w:rsidRDefault="00DD31B9" w:rsidP="00822877">
      <w:pPr>
        <w:pStyle w:val="Textodenotaderodap"/>
        <w:rPr>
          <w:rFonts w:ascii="Times New Roman" w:hAnsi="Times New Roman"/>
        </w:rPr>
      </w:pPr>
      <w:r w:rsidRPr="00822877">
        <w:rPr>
          <w:rFonts w:ascii="Times New Roman" w:hAnsi="Times New Roman"/>
        </w:rPr>
        <w:t>Documentos/Resumo_da_reuni%C3%A3o_do_Conselho_Superior%20do%20Agroneg%C3%B3cio-</w:t>
      </w:r>
      <w:r>
        <w:rPr>
          <w:rFonts w:ascii="Times New Roman" w:hAnsi="Times New Roman"/>
        </w:rPr>
        <w:t>FIESP</w:t>
      </w:r>
      <w:r w:rsidRPr="00822877">
        <w:rPr>
          <w:rFonts w:ascii="Times New Roman" w:hAnsi="Times New Roman"/>
        </w:rPr>
        <w:t xml:space="preserve">_11_02_08.pdf&gt; e &lt;http://www.diariodecuiaba.com.br/detalhe.php?cod=303523&gt;. Todas acessadas em 30/10/2013. O trabalho de Lamosa (2012), também traz dados relevantes.Cf. LAMOSA, Rodrigo de Azevedo Cruz. </w:t>
      </w:r>
      <w:r w:rsidRPr="00822877">
        <w:rPr>
          <w:rFonts w:ascii="Times New Roman" w:hAnsi="Times New Roman"/>
          <w:i/>
        </w:rPr>
        <w:t>O programa do agronegócio na escola:</w:t>
      </w:r>
      <w:r w:rsidRPr="00822877">
        <w:rPr>
          <w:rFonts w:ascii="Times New Roman" w:hAnsi="Times New Roman"/>
        </w:rPr>
        <w:t xml:space="preserve">um estudo de caso sobre a entrada do empresariado brasileiro na escola pública. XVI Encontro Nacional de Didática e Práticas de </w:t>
      </w:r>
      <w:r>
        <w:rPr>
          <w:rFonts w:ascii="Times New Roman" w:hAnsi="Times New Roman"/>
        </w:rPr>
        <w:t>Ensino, Unicamp, Campinas: 2012.</w:t>
      </w:r>
    </w:p>
  </w:footnote>
  <w:footnote w:id="259">
    <w:p w:rsidR="00DD31B9" w:rsidRPr="00822877" w:rsidRDefault="00DD31B9" w:rsidP="00822877">
      <w:pPr>
        <w:adjustRightInd w:val="0"/>
        <w:spacing w:after="0" w:line="240" w:lineRule="auto"/>
        <w:rPr>
          <w:rFonts w:ascii="Times New Roman" w:hAnsi="Times New Roman"/>
          <w:sz w:val="20"/>
          <w:szCs w:val="20"/>
        </w:rPr>
      </w:pPr>
      <w:r w:rsidRPr="00822877">
        <w:rPr>
          <w:rStyle w:val="Refdenotaderodap"/>
          <w:rFonts w:ascii="Times New Roman" w:hAnsi="Times New Roman"/>
          <w:sz w:val="20"/>
          <w:szCs w:val="20"/>
        </w:rPr>
        <w:footnoteRef/>
      </w:r>
      <w:r w:rsidRPr="00822877">
        <w:rPr>
          <w:rFonts w:ascii="Times New Roman" w:hAnsi="Times New Roman"/>
          <w:sz w:val="20"/>
          <w:szCs w:val="20"/>
        </w:rPr>
        <w:t xml:space="preserve"> Segundo matéria de Richard Jakubaszko, “O ARES em frente e os agricultores para trás”, retirada da revista DBO de 26/05/2008, “o</w:t>
      </w:r>
      <w:r w:rsidRPr="00822877">
        <w:rPr>
          <w:rFonts w:ascii="Times New Roman" w:hAnsi="Times New Roman"/>
          <w:color w:val="231F20"/>
          <w:sz w:val="20"/>
          <w:szCs w:val="20"/>
        </w:rPr>
        <w:t xml:space="preserve"> presidente do conselho deliberativo do ARES é também presidente da Abag e Abiove, Carlo Lovatelli”. O jornalista afirma que “o</w:t>
      </w:r>
      <w:r w:rsidRPr="00822877">
        <w:rPr>
          <w:rFonts w:ascii="Times New Roman" w:eastAsia="Times New Roman" w:hAnsi="Times New Roman"/>
          <w:color w:val="231F20"/>
          <w:sz w:val="20"/>
          <w:szCs w:val="20"/>
          <w:lang w:eastAsia="pt-BR"/>
        </w:rPr>
        <w:t xml:space="preserve"> ARES congrega 19 entidades do agronegócio brasileiro: Abag, AbagRP, Abef, Abia, Abiec, Abimilho, Abiove, Abipecs,  Abrasem, Anda, Andef, Aprosoja, BSC, CNA, CNPC, Ícone, OCB, SRB e Única”. Jakubaszko coloca em evidência as bases sociais do ARES: “É preocupante constatar que o ARES é constituído por 19 entidades, das quais apenas 3, a rigor, representam produtores rurais: Aprosoja, CNA e SRB, e indiretamente a OCB. Deveria incluir mais associações de agricultores. Mas estas não existem, ou não são representativas. O ARES acabará por trazer benefícios ao campo, porém, não tenhamos ilusões, representa indústrias de beneficiamento e de fornecedores de insumos para agricultores, e não de agricultores, como as exceções citadas”. Retirado de &lt;http://www.associtrus.com.br/imprime-noticia.php?id=1931&gt;. Acesso em 30/10/2013.</w:t>
      </w:r>
    </w:p>
  </w:footnote>
  <w:footnote w:id="260">
    <w:p w:rsidR="00DD31B9" w:rsidRPr="00822877" w:rsidRDefault="00DD31B9" w:rsidP="00822877">
      <w:pPr>
        <w:autoSpaceDE w:val="0"/>
        <w:autoSpaceDN w:val="0"/>
        <w:adjustRightInd w:val="0"/>
        <w:spacing w:after="0" w:line="240" w:lineRule="auto"/>
        <w:rPr>
          <w:rFonts w:ascii="Times New Roman" w:hAnsi="Times New Roman"/>
          <w:sz w:val="20"/>
          <w:szCs w:val="20"/>
        </w:rPr>
      </w:pPr>
      <w:r w:rsidRPr="00822877">
        <w:rPr>
          <w:rStyle w:val="Refdenotaderodap"/>
          <w:rFonts w:ascii="Times New Roman" w:hAnsi="Times New Roman"/>
          <w:sz w:val="20"/>
          <w:szCs w:val="20"/>
        </w:rPr>
        <w:footnoteRef/>
      </w:r>
      <w:r w:rsidRPr="00822877">
        <w:rPr>
          <w:rFonts w:ascii="Times New Roman" w:hAnsi="Times New Roman"/>
          <w:sz w:val="20"/>
          <w:szCs w:val="20"/>
        </w:rPr>
        <w:t xml:space="preserve"> Rodrigo Lamosa considera o PENSA e outras instituições da ABAG como constitutivo do “braço pedagógico” desta entidade. Segundo ele, “o PENSA desde sua criação esteve situado fisicamente no interior da Universidade de São Paulo (USP) e recebeu verbas de empresas privadas e organizações do agronegócio brasileiro. O programa se dedicou desde a origem tanto a programas regulares de ensino, quanto à formação continuada, com destaque para os cursos dirigidos às empresas associadas”. LAMOSA, Rodrigo de Azevedo Cruz. </w:t>
      </w:r>
      <w:r w:rsidRPr="00822877">
        <w:rPr>
          <w:rFonts w:ascii="Times New Roman" w:hAnsi="Times New Roman"/>
          <w:i/>
          <w:sz w:val="20"/>
          <w:szCs w:val="20"/>
        </w:rPr>
        <w:t>O programa do agronegócio na escola</w:t>
      </w:r>
      <w:r>
        <w:rPr>
          <w:rFonts w:ascii="Times New Roman" w:hAnsi="Times New Roman"/>
          <w:sz w:val="20"/>
          <w:szCs w:val="20"/>
        </w:rPr>
        <w:t xml:space="preserve">... Op. cit., </w:t>
      </w:r>
      <w:r w:rsidRPr="00822877">
        <w:rPr>
          <w:rFonts w:ascii="Times New Roman" w:hAnsi="Times New Roman"/>
          <w:sz w:val="20"/>
          <w:szCs w:val="20"/>
        </w:rPr>
        <w:t>p. 05. Considerando – corretamente a meu ver – a ABAG como partido das frações agrárias dominantes, Lamosa adverte para a função formativa (educativa) do PENSA, pois os intelectuais a ele associados “são responsáveis por organizar e uniformizar o discurso do agronegócio brasileiro, assumindo post</w:t>
      </w:r>
      <w:r>
        <w:rPr>
          <w:rFonts w:ascii="Times New Roman" w:hAnsi="Times New Roman"/>
          <w:sz w:val="20"/>
          <w:szCs w:val="20"/>
        </w:rPr>
        <w:t>os importantes na própria ABAG” (idem).</w:t>
      </w:r>
      <w:r w:rsidRPr="00822877">
        <w:rPr>
          <w:rFonts w:ascii="Times New Roman" w:hAnsi="Times New Roman"/>
          <w:sz w:val="20"/>
          <w:szCs w:val="20"/>
        </w:rPr>
        <w:t xml:space="preserve"> Outro interessante estudo sobre a A</w:t>
      </w:r>
      <w:r>
        <w:rPr>
          <w:rFonts w:ascii="Times New Roman" w:hAnsi="Times New Roman"/>
          <w:sz w:val="20"/>
          <w:szCs w:val="20"/>
        </w:rPr>
        <w:t>BAG</w:t>
      </w:r>
      <w:r w:rsidRPr="00822877">
        <w:rPr>
          <w:rFonts w:ascii="Times New Roman" w:hAnsi="Times New Roman"/>
          <w:sz w:val="20"/>
          <w:szCs w:val="20"/>
        </w:rPr>
        <w:t xml:space="preserve"> e o PENSA numa abordagem teórica gramsciana ver GIFFONI PINTO, Raphaela. </w:t>
      </w:r>
      <w:r w:rsidRPr="00822877">
        <w:rPr>
          <w:rFonts w:ascii="Times New Roman" w:hAnsi="Times New Roman"/>
          <w:i/>
          <w:sz w:val="20"/>
          <w:szCs w:val="20"/>
        </w:rPr>
        <w:t>O novo empresariado rural brasileiro</w:t>
      </w:r>
      <w:r>
        <w:rPr>
          <w:rFonts w:ascii="Times New Roman" w:hAnsi="Times New Roman"/>
          <w:i/>
          <w:sz w:val="20"/>
          <w:szCs w:val="20"/>
        </w:rPr>
        <w:t>..</w:t>
      </w:r>
      <w:r w:rsidRPr="00822877">
        <w:rPr>
          <w:rFonts w:ascii="Times New Roman" w:hAnsi="Times New Roman"/>
          <w:sz w:val="20"/>
          <w:szCs w:val="20"/>
        </w:rPr>
        <w:t>.</w:t>
      </w:r>
      <w:r>
        <w:rPr>
          <w:rFonts w:ascii="Times New Roman" w:hAnsi="Times New Roman"/>
          <w:sz w:val="20"/>
          <w:szCs w:val="20"/>
        </w:rPr>
        <w:t xml:space="preserve"> Op. cit.</w:t>
      </w:r>
    </w:p>
  </w:footnote>
  <w:footnote w:id="261">
    <w:p w:rsidR="00DD31B9" w:rsidRPr="00822877" w:rsidRDefault="00DD31B9" w:rsidP="00822877">
      <w:pPr>
        <w:pStyle w:val="Textodenotaderodap"/>
        <w:rPr>
          <w:rFonts w:ascii="Times New Roman" w:hAnsi="Times New Roman"/>
          <w:bCs/>
        </w:rPr>
      </w:pPr>
      <w:r w:rsidRPr="00822877">
        <w:rPr>
          <w:rStyle w:val="Refdenotaderodap"/>
          <w:rFonts w:ascii="Times New Roman" w:hAnsi="Times New Roman"/>
        </w:rPr>
        <w:footnoteRef/>
      </w:r>
      <w:r w:rsidRPr="00822877">
        <w:rPr>
          <w:rFonts w:ascii="Times New Roman" w:hAnsi="Times New Roman"/>
        </w:rPr>
        <w:t xml:space="preserve"> MENDONÇA, Sonia Regina de.</w:t>
      </w:r>
      <w:r w:rsidRPr="00822877">
        <w:rPr>
          <w:rFonts w:ascii="Times New Roman" w:hAnsi="Times New Roman"/>
          <w:bCs/>
          <w:i/>
        </w:rPr>
        <w:t>O patronato rural no Brasil recente (1964-1993)</w:t>
      </w:r>
      <w:r w:rsidRPr="00822877">
        <w:rPr>
          <w:rFonts w:ascii="Times New Roman" w:hAnsi="Times New Roman"/>
          <w:bCs/>
        </w:rPr>
        <w:t>... Op. cit., p. 226.</w:t>
      </w:r>
    </w:p>
  </w:footnote>
  <w:footnote w:id="262">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Idem, p. 224-225.</w:t>
      </w:r>
    </w:p>
  </w:footnote>
  <w:footnote w:id="263">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VAL</w:t>
      </w:r>
      <w:r>
        <w:rPr>
          <w:rFonts w:ascii="Times New Roman" w:hAnsi="Times New Roman"/>
        </w:rPr>
        <w:t xml:space="preserve">LE, Sabrina e AMORIM, Daniela. </w:t>
      </w:r>
      <w:r w:rsidRPr="00822877">
        <w:rPr>
          <w:rFonts w:ascii="Times New Roman" w:hAnsi="Times New Roman"/>
        </w:rPr>
        <w:t>Exportar alimentos não é volta ao passado, di</w:t>
      </w:r>
      <w:r>
        <w:rPr>
          <w:rFonts w:ascii="Times New Roman" w:hAnsi="Times New Roman"/>
        </w:rPr>
        <w:t>z ÚNICA</w:t>
      </w:r>
      <w:r w:rsidRPr="00822877">
        <w:rPr>
          <w:rFonts w:ascii="Times New Roman" w:hAnsi="Times New Roman"/>
        </w:rPr>
        <w:t xml:space="preserve">. </w:t>
      </w:r>
      <w:r w:rsidRPr="00C95DB5">
        <w:rPr>
          <w:rFonts w:ascii="Times New Roman" w:hAnsi="Times New Roman"/>
          <w:i/>
        </w:rPr>
        <w:t>Revista Veja</w:t>
      </w:r>
      <w:r w:rsidRPr="00822877">
        <w:rPr>
          <w:rFonts w:ascii="Times New Roman" w:hAnsi="Times New Roman"/>
        </w:rPr>
        <w:t>, 19/08/2011. Retirado de &lt; http://veja.abril.com.br/noticia/economia/exportar-alimentos-nao-e-volta-ao-passado-diz-unica&gt;. Acesso em 05/11/2013.</w:t>
      </w:r>
    </w:p>
  </w:footnote>
  <w:footnote w:id="264">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Idem. Grifos meus.</w:t>
      </w:r>
    </w:p>
  </w:footnote>
  <w:footnote w:id="265">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Idem.</w:t>
      </w:r>
    </w:p>
  </w:footnote>
  <w:footnote w:id="266">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MENDONÇA, Sonia Regina de.</w:t>
      </w:r>
      <w:r w:rsidRPr="00822877">
        <w:rPr>
          <w:rFonts w:ascii="Times New Roman" w:hAnsi="Times New Roman"/>
          <w:bCs/>
          <w:i/>
        </w:rPr>
        <w:t>O patronato rural no Brasil recente (1964-1993)</w:t>
      </w:r>
      <w:r w:rsidRPr="00822877">
        <w:rPr>
          <w:rFonts w:ascii="Times New Roman" w:hAnsi="Times New Roman"/>
          <w:bCs/>
        </w:rPr>
        <w:t>... Op. cit., p. 50.</w:t>
      </w:r>
      <w:r>
        <w:rPr>
          <w:rFonts w:ascii="Times New Roman" w:hAnsi="Times New Roman"/>
          <w:bCs/>
        </w:rPr>
        <w:t xml:space="preserve"> Grifos meus.</w:t>
      </w:r>
    </w:p>
  </w:footnote>
  <w:footnote w:id="267">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A pesquisa não encontrou nenhuma atuação empresarial em entidades </w:t>
      </w:r>
      <w:r w:rsidRPr="005A0195">
        <w:rPr>
          <w:rFonts w:ascii="Times New Roman" w:hAnsi="Times New Roman"/>
          <w:i/>
        </w:rPr>
        <w:t>corporativas</w:t>
      </w:r>
      <w:r w:rsidRPr="00822877">
        <w:rPr>
          <w:rFonts w:ascii="Times New Roman" w:hAnsi="Times New Roman"/>
        </w:rPr>
        <w:t xml:space="preserve"> e em situações cargos ou sócios de empresas nos seguintes casos, </w:t>
      </w:r>
      <w:r w:rsidRPr="00822877">
        <w:rPr>
          <w:rFonts w:ascii="Times New Roman" w:hAnsi="Times New Roman"/>
          <w:i/>
        </w:rPr>
        <w:t>no período em que atuaram no CDES</w:t>
      </w:r>
      <w:r>
        <w:rPr>
          <w:rFonts w:ascii="Times New Roman" w:hAnsi="Times New Roman"/>
        </w:rPr>
        <w:t xml:space="preserve">: Gisela Gorovitz (Cives), </w:t>
      </w:r>
      <w:r w:rsidRPr="00822877">
        <w:rPr>
          <w:rFonts w:ascii="Times New Roman" w:hAnsi="Times New Roman"/>
        </w:rPr>
        <w:t>João Bosco Borga (Associação Nacional dos Empresários e Em</w:t>
      </w:r>
      <w:r>
        <w:rPr>
          <w:rFonts w:ascii="Times New Roman" w:hAnsi="Times New Roman"/>
        </w:rPr>
        <w:t>preendedores Afro-Brasileiros), Joseph Couri (ASSIMPI) e Alceu Nieckarz (Associação Universal de Empresários Cristãos).</w:t>
      </w:r>
    </w:p>
  </w:footnote>
  <w:footnote w:id="268">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FONTES, Virgínia. </w:t>
      </w:r>
      <w:r w:rsidRPr="00822877">
        <w:rPr>
          <w:rFonts w:ascii="Times New Roman" w:hAnsi="Times New Roman"/>
          <w:i/>
        </w:rPr>
        <w:t>O Brasil e o capital-imperialismo</w:t>
      </w:r>
      <w:r w:rsidRPr="00822877">
        <w:rPr>
          <w:rFonts w:ascii="Times New Roman" w:hAnsi="Times New Roman"/>
        </w:rPr>
        <w:t xml:space="preserve">... </w:t>
      </w:r>
      <w:r>
        <w:rPr>
          <w:rFonts w:ascii="Times New Roman" w:hAnsi="Times New Roman"/>
        </w:rPr>
        <w:t xml:space="preserve">Op. cit., </w:t>
      </w:r>
      <w:r w:rsidRPr="00822877">
        <w:rPr>
          <w:rFonts w:ascii="Times New Roman" w:hAnsi="Times New Roman"/>
        </w:rPr>
        <w:t>p. 201.</w:t>
      </w:r>
    </w:p>
  </w:footnote>
  <w:footnote w:id="269">
    <w:p w:rsidR="00DD31B9" w:rsidRPr="00294168" w:rsidRDefault="00DD31B9">
      <w:pPr>
        <w:pStyle w:val="Textodenotaderodap"/>
        <w:rPr>
          <w:rFonts w:ascii="Times New Roman" w:hAnsi="Times New Roman"/>
        </w:rPr>
      </w:pPr>
      <w:r w:rsidRPr="00294168">
        <w:rPr>
          <w:rStyle w:val="Refdenotaderodap"/>
          <w:rFonts w:ascii="Times New Roman" w:hAnsi="Times New Roman"/>
        </w:rPr>
        <w:footnoteRef/>
      </w:r>
      <w:r w:rsidRPr="00294168">
        <w:rPr>
          <w:rFonts w:ascii="Times New Roman" w:hAnsi="Times New Roman"/>
        </w:rPr>
        <w:t xml:space="preserve">Os Quadros confeccionados </w:t>
      </w:r>
      <w:r>
        <w:rPr>
          <w:rFonts w:ascii="Times New Roman" w:hAnsi="Times New Roman"/>
        </w:rPr>
        <w:t xml:space="preserve">neste subitem </w:t>
      </w:r>
      <w:r w:rsidRPr="00294168">
        <w:rPr>
          <w:rFonts w:ascii="Times New Roman" w:hAnsi="Times New Roman"/>
        </w:rPr>
        <w:t>se valeram das seguintes fontes:</w:t>
      </w:r>
      <w:r w:rsidRPr="00294168">
        <w:rPr>
          <w:rStyle w:val="CitaoHTML"/>
          <w:rFonts w:ascii="Times New Roman" w:hAnsi="Times New Roman"/>
        </w:rPr>
        <w:t xml:space="preserve">GAZETA MERCANTIL. Revista </w:t>
      </w:r>
      <w:r w:rsidRPr="00294168">
        <w:rPr>
          <w:rFonts w:ascii="Times New Roman" w:hAnsi="Times New Roman"/>
          <w:i/>
        </w:rPr>
        <w:t>Balanço Anual 2004</w:t>
      </w:r>
      <w:r w:rsidRPr="00294168">
        <w:rPr>
          <w:rFonts w:ascii="Times New Roman" w:hAnsi="Times New Roman"/>
        </w:rPr>
        <w:t xml:space="preserve">: a mais completa radiografia dos negócios do País. São Paulo: Editora JB S.A., 2004. (Ranking referente ao Patrimônio Líquido dos Grupos em dezembro de 2003, ano de criação do CDES). ABREU, Alzira Alves de [et al.]. </w:t>
      </w:r>
      <w:r w:rsidRPr="00294168">
        <w:rPr>
          <w:rFonts w:ascii="Times New Roman" w:hAnsi="Times New Roman"/>
          <w:i/>
        </w:rPr>
        <w:t>Dicionário Histórico-Biográfico Brasileiro pós-1930</w:t>
      </w:r>
      <w:r w:rsidRPr="00294168">
        <w:rPr>
          <w:rFonts w:ascii="Times New Roman" w:hAnsi="Times New Roman"/>
        </w:rPr>
        <w:t>. Ed. rev. e atual. Rio de Janeiro: FGV; CPDOC, 2001. Pesquisa feita em sites da internet, especialmente na página eletrônica do CDES (</w:t>
      </w:r>
      <w:hyperlink r:id="rId9" w:history="1">
        <w:r w:rsidRPr="00294168">
          <w:rPr>
            <w:rStyle w:val="Hyperlink"/>
            <w:rFonts w:ascii="Times New Roman" w:hAnsi="Times New Roman"/>
            <w:color w:val="auto"/>
            <w:u w:val="none"/>
          </w:rPr>
          <w:t>www.cdes.gov.br</w:t>
        </w:r>
      </w:hyperlink>
      <w:r w:rsidRPr="00294168">
        <w:rPr>
          <w:rFonts w:ascii="Times New Roman" w:hAnsi="Times New Roman"/>
        </w:rPr>
        <w:t>).</w:t>
      </w:r>
    </w:p>
  </w:footnote>
  <w:footnote w:id="270">
    <w:p w:rsidR="00DD31B9" w:rsidRPr="00414D01" w:rsidRDefault="00DD31B9">
      <w:pPr>
        <w:pStyle w:val="Textodenotaderodap"/>
        <w:rPr>
          <w:rFonts w:ascii="Times New Roman" w:hAnsi="Times New Roman"/>
        </w:rPr>
      </w:pPr>
      <w:r w:rsidRPr="00414D01">
        <w:rPr>
          <w:rStyle w:val="Refdenotaderodap"/>
          <w:rFonts w:ascii="Times New Roman" w:hAnsi="Times New Roman"/>
        </w:rPr>
        <w:footnoteRef/>
      </w:r>
      <w:r w:rsidRPr="00414D01">
        <w:rPr>
          <w:rFonts w:ascii="Times New Roman" w:hAnsi="Times New Roman"/>
        </w:rPr>
        <w:t xml:space="preserve"> No CDES, figuravam conselheiros-empresários voltados ao conjunto das atividades bancárias e conselheiros-empresários que não eram proprietários ou prepostos de bancos, mas que se envolviam em atividades do setor financeiro não bancário (seguros, corretagens, instituições de creditícias, cambiais, etc), resultantes da expansão e especialização da divisão de trabalho do setor bancário, com exceção da bolsa. Aos primeiros denominamos de conselheiros-banqueiros e, aos segundos, de conselheiros do setor financeiro não bancário. Todos eles atuavam em atividades designadas por Marx como pertencentes ao capital monetário ou capital portador de juros, mesmo empresários cujas atividades predominavam o exercício da extração</w:t>
      </w:r>
      <w:r>
        <w:rPr>
          <w:rFonts w:ascii="Times New Roman" w:hAnsi="Times New Roman"/>
        </w:rPr>
        <w:t xml:space="preserve"> de valor (capital funcionante), como era o caso, no quadro 2.11, de Benjamin Steibruch, Eduardo Eugênio Gouvea vieira, Jorge Gerdau e Waldemar Verdi Junior.</w:t>
      </w:r>
    </w:p>
  </w:footnote>
  <w:footnote w:id="271">
    <w:p w:rsidR="00DD31B9" w:rsidRPr="00822877" w:rsidRDefault="00DD31B9" w:rsidP="00822877">
      <w:pPr>
        <w:spacing w:after="0" w:line="240" w:lineRule="auto"/>
        <w:jc w:val="both"/>
        <w:rPr>
          <w:rFonts w:ascii="Times New Roman" w:hAnsi="Times New Roman"/>
          <w:sz w:val="20"/>
          <w:szCs w:val="20"/>
        </w:rPr>
      </w:pPr>
      <w:r w:rsidRPr="00822877">
        <w:rPr>
          <w:rStyle w:val="Refdenotaderodap"/>
          <w:rFonts w:ascii="Times New Roman" w:hAnsi="Times New Roman"/>
          <w:sz w:val="20"/>
          <w:szCs w:val="20"/>
        </w:rPr>
        <w:footnoteRef/>
      </w:r>
      <w:r w:rsidRPr="00822877">
        <w:rPr>
          <w:rFonts w:ascii="Times New Roman" w:hAnsi="Times New Roman"/>
          <w:sz w:val="20"/>
          <w:szCs w:val="20"/>
        </w:rPr>
        <w:t xml:space="preserve"> MINELLA, Ary César. </w:t>
      </w:r>
      <w:r w:rsidRPr="00822877">
        <w:rPr>
          <w:rFonts w:ascii="Times New Roman" w:hAnsi="Times New Roman"/>
          <w:i/>
          <w:sz w:val="20"/>
          <w:szCs w:val="20"/>
        </w:rPr>
        <w:t>Maiores bancos privados no Brasil:</w:t>
      </w:r>
      <w:r w:rsidRPr="00822877">
        <w:rPr>
          <w:rFonts w:ascii="Times New Roman" w:hAnsi="Times New Roman"/>
          <w:sz w:val="20"/>
          <w:szCs w:val="20"/>
        </w:rPr>
        <w:t>um perfil econômico e sociopolítico</w:t>
      </w:r>
      <w:r w:rsidRPr="00822877">
        <w:rPr>
          <w:rFonts w:ascii="Times New Roman" w:hAnsi="Times New Roman"/>
          <w:i/>
          <w:sz w:val="20"/>
          <w:szCs w:val="20"/>
        </w:rPr>
        <w:t>.</w:t>
      </w:r>
      <w:r w:rsidRPr="00822877">
        <w:rPr>
          <w:rFonts w:ascii="Times New Roman" w:hAnsi="Times New Roman"/>
          <w:sz w:val="20"/>
          <w:szCs w:val="20"/>
        </w:rPr>
        <w:t xml:space="preserve"> Porto Alegre, Sociologias, ano 9, nº18, jul/dez 2007, p. 119.</w:t>
      </w:r>
    </w:p>
  </w:footnote>
  <w:footnote w:id="272">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O t</w:t>
      </w:r>
      <w:r>
        <w:rPr>
          <w:rFonts w:ascii="Times New Roman" w:hAnsi="Times New Roman"/>
        </w:rPr>
        <w:t>otal de conselheiros no quadro 2</w:t>
      </w:r>
      <w:r w:rsidRPr="00822877">
        <w:rPr>
          <w:rFonts w:ascii="Times New Roman" w:hAnsi="Times New Roman"/>
        </w:rPr>
        <w:t>.12 é de 12 membros porque Viviane Senna participou, ao mesmo tempo, do Conselho de Administração de três grupos: Itaúsa, Unibanco e Citibank.</w:t>
      </w:r>
    </w:p>
  </w:footnote>
  <w:footnote w:id="273">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IPEA. </w:t>
      </w:r>
      <w:r w:rsidRPr="00822877">
        <w:rPr>
          <w:rFonts w:ascii="Times New Roman" w:hAnsi="Times New Roman"/>
          <w:i/>
        </w:rPr>
        <w:t>Transformações na indústria bancária brasileira e o cenário de crise</w:t>
      </w:r>
      <w:r w:rsidRPr="00822877">
        <w:rPr>
          <w:rFonts w:ascii="Times New Roman" w:hAnsi="Times New Roman"/>
        </w:rPr>
        <w:t>. 20º Comunicado da Presidência do Ipea, 2009,  p. 05.</w:t>
      </w:r>
    </w:p>
  </w:footnote>
  <w:footnote w:id="274">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Idem, p. 06.</w:t>
      </w:r>
    </w:p>
  </w:footnote>
  <w:footnote w:id="275">
    <w:p w:rsidR="00DD31B9" w:rsidRPr="000E1E28" w:rsidRDefault="00DD31B9">
      <w:pPr>
        <w:pStyle w:val="Textodenotaderodap"/>
        <w:rPr>
          <w:rFonts w:ascii="Times New Roman" w:hAnsi="Times New Roman"/>
        </w:rPr>
      </w:pPr>
      <w:r w:rsidRPr="000E1E28">
        <w:rPr>
          <w:rStyle w:val="Refdenotaderodap"/>
          <w:rFonts w:ascii="Times New Roman" w:hAnsi="Times New Roman"/>
        </w:rPr>
        <w:footnoteRef/>
      </w:r>
      <w:r>
        <w:rPr>
          <w:rFonts w:ascii="Times New Roman" w:hAnsi="Times New Roman"/>
        </w:rPr>
        <w:t>LÊNIN, V. I. O imperialismo, fase superior do capitalismo... Op. cit., p. 598.</w:t>
      </w:r>
    </w:p>
  </w:footnote>
  <w:footnote w:id="276">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GUIOT, André P. </w:t>
      </w:r>
      <w:r w:rsidRPr="00822877">
        <w:rPr>
          <w:rFonts w:ascii="Times New Roman" w:hAnsi="Times New Roman"/>
          <w:i/>
        </w:rPr>
        <w:t>O empresariado na formação do Conselho de Desenvolvimento Econômico e Social (ano de 2003)</w:t>
      </w:r>
      <w:r w:rsidRPr="00822877">
        <w:rPr>
          <w:rFonts w:ascii="Times New Roman" w:hAnsi="Times New Roman"/>
        </w:rPr>
        <w:t>: grupos econômicos e entidades da sociedade civil. VII Simpósio Nacional Estado e Poder: sociedade civil, Uberlândia, 2012.</w:t>
      </w:r>
    </w:p>
  </w:footnote>
  <w:footnote w:id="277">
    <w:p w:rsidR="00DD31B9" w:rsidRPr="00822877" w:rsidRDefault="00DD31B9" w:rsidP="00822877">
      <w:pPr>
        <w:autoSpaceDE w:val="0"/>
        <w:autoSpaceDN w:val="0"/>
        <w:adjustRightInd w:val="0"/>
        <w:spacing w:after="0" w:line="240" w:lineRule="auto"/>
        <w:jc w:val="both"/>
        <w:rPr>
          <w:rFonts w:ascii="Times New Roman" w:hAnsi="Times New Roman"/>
        </w:rPr>
      </w:pPr>
      <w:r w:rsidRPr="00822877">
        <w:rPr>
          <w:rStyle w:val="Refdenotaderodap"/>
          <w:rFonts w:ascii="Times New Roman" w:hAnsi="Times New Roman"/>
          <w:sz w:val="20"/>
          <w:szCs w:val="20"/>
        </w:rPr>
        <w:footnoteRef/>
      </w:r>
      <w:r w:rsidRPr="00822877">
        <w:rPr>
          <w:rFonts w:ascii="Times New Roman" w:hAnsi="Times New Roman"/>
          <w:sz w:val="20"/>
          <w:szCs w:val="20"/>
        </w:rPr>
        <w:t xml:space="preserve"> MINELLA, Ary Cesar. Grupos Financeiros e Associações de Classe do Sistema Financeiro. In: MENDONÇA, Sônia Regina de. (org.) </w:t>
      </w:r>
      <w:r w:rsidRPr="00822877">
        <w:rPr>
          <w:rFonts w:ascii="Times New Roman" w:hAnsi="Times New Roman"/>
          <w:i/>
          <w:sz w:val="20"/>
          <w:szCs w:val="20"/>
        </w:rPr>
        <w:t>Estado Brasileiro:</w:t>
      </w:r>
      <w:r w:rsidRPr="00822877">
        <w:rPr>
          <w:rFonts w:ascii="Times New Roman" w:hAnsi="Times New Roman"/>
          <w:sz w:val="20"/>
          <w:szCs w:val="20"/>
        </w:rPr>
        <w:t>Agências e Agentes. Niterói: EdUFF/Vício de Leitura, 2005a, p. 164.</w:t>
      </w:r>
    </w:p>
  </w:footnote>
  <w:footnote w:id="278">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MINELLA, Ary César. </w:t>
      </w:r>
      <w:r w:rsidRPr="00822877">
        <w:rPr>
          <w:rFonts w:ascii="Times New Roman" w:hAnsi="Times New Roman"/>
          <w:i/>
        </w:rPr>
        <w:t>Maiores bancos privados no Brasil</w:t>
      </w:r>
      <w:r w:rsidRPr="00822877">
        <w:rPr>
          <w:rFonts w:ascii="Times New Roman" w:hAnsi="Times New Roman"/>
        </w:rPr>
        <w:t>... Op. cit., p. 105.</w:t>
      </w:r>
    </w:p>
  </w:footnote>
  <w:footnote w:id="279">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IPEA. </w:t>
      </w:r>
      <w:r w:rsidRPr="00822877">
        <w:rPr>
          <w:rFonts w:ascii="Times New Roman" w:hAnsi="Times New Roman"/>
          <w:i/>
        </w:rPr>
        <w:t>Transformações na indústria bancária brasileira e o cenário de crise</w:t>
      </w:r>
      <w:r w:rsidRPr="00822877">
        <w:rPr>
          <w:rFonts w:ascii="Times New Roman" w:hAnsi="Times New Roman"/>
        </w:rPr>
        <w:t>... Op. cit., p. 08.</w:t>
      </w:r>
    </w:p>
  </w:footnote>
  <w:footnote w:id="280">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MINELLA, Ary César. Reestruturação do sistema financeiro brasileiro e a representação de classe do empresariado 1994-2004. In: GROS, Denise [et al.]. </w:t>
      </w:r>
      <w:r w:rsidRPr="00822877">
        <w:rPr>
          <w:rFonts w:ascii="Times New Roman" w:hAnsi="Times New Roman"/>
          <w:i/>
        </w:rPr>
        <w:t>Empresas e grupos empresariais</w:t>
      </w:r>
      <w:r w:rsidRPr="00822877">
        <w:rPr>
          <w:rFonts w:ascii="Times New Roman" w:hAnsi="Times New Roman"/>
        </w:rPr>
        <w:t>: atores sociais em transformação. IV Workshop Empresas, Empresários e Sociedade. Juiz de Fora: Ed. UFJF, 2005b, p. 261.</w:t>
      </w:r>
    </w:p>
  </w:footnote>
  <w:footnote w:id="281">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MINELLA, Ary César. </w:t>
      </w:r>
      <w:r w:rsidRPr="00822877">
        <w:rPr>
          <w:rFonts w:ascii="Times New Roman" w:hAnsi="Times New Roman"/>
          <w:i/>
        </w:rPr>
        <w:t>Maiores bancos privados no Brasil</w:t>
      </w:r>
      <w:r w:rsidRPr="00822877">
        <w:rPr>
          <w:rFonts w:ascii="Times New Roman" w:hAnsi="Times New Roman"/>
        </w:rPr>
        <w:t>... Op. cit., p. 109.</w:t>
      </w:r>
    </w:p>
  </w:footnote>
  <w:footnote w:id="282">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É o caso da trajetória de Roberto Setúbal, Fábio Coletti, Gustavo Garat. Neste leque, não contamos</w:t>
      </w:r>
      <w:r>
        <w:rPr>
          <w:rFonts w:ascii="Times New Roman" w:hAnsi="Times New Roman"/>
        </w:rPr>
        <w:t>, devido à</w:t>
      </w:r>
      <w:r w:rsidRPr="00822877">
        <w:rPr>
          <w:rFonts w:ascii="Times New Roman" w:hAnsi="Times New Roman"/>
        </w:rPr>
        <w:t>meteórica passagem (de fevereiro a setembro de 2003) no CDES</w:t>
      </w:r>
      <w:r>
        <w:rPr>
          <w:rFonts w:ascii="Times New Roman" w:hAnsi="Times New Roman"/>
        </w:rPr>
        <w:t>,</w:t>
      </w:r>
      <w:r w:rsidRPr="00822877">
        <w:rPr>
          <w:rFonts w:ascii="Times New Roman" w:hAnsi="Times New Roman"/>
        </w:rPr>
        <w:t xml:space="preserve"> de Alain Belda, Presidente mundial da Alcoa Inc., maior produtora mundial de alumínio, também integrante do Conselho de Administração do Citigroup em Nova Iorque, à época.</w:t>
      </w:r>
    </w:p>
  </w:footnote>
  <w:footnote w:id="283">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“Ele é homem de confiança do sistema financeiro internacional e acredito que também dos banqueiros brasileiros”, afirmou William Rhodes, presidente do Citibank, em ocasião da reunião do Fórum Econômico Mundial em janeiro de 2007. Devido ao “trabalho fantástico” de Meirelles, Rhodes teria dito a Lula que a solidez do sistema financeiro no Brasil inviabilizou a compra de uma instituição pelo Citibank. “Banqueiro blindam Meirelles e criticam PAC”, matéria publicada pela Folha Online em 26/01/2007. Disponível em &lt;http://www1folha.uol.com.br/folha/dinheiro/utl91u114031.shtml&gt;. Acesso em 31/07/12.</w:t>
      </w:r>
    </w:p>
  </w:footnote>
  <w:footnote w:id="284">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Pr>
          <w:rFonts w:ascii="Times New Roman" w:hAnsi="Times New Roman"/>
        </w:rPr>
        <w:t xml:space="preserve"> Cf. GUIOT, André P. </w:t>
      </w:r>
      <w:r w:rsidRPr="00822877">
        <w:rPr>
          <w:rFonts w:ascii="Times New Roman" w:hAnsi="Times New Roman"/>
          <w:i/>
        </w:rPr>
        <w:t>Um “moderno Príncipe”</w:t>
      </w:r>
      <w:r w:rsidRPr="00822877">
        <w:rPr>
          <w:rFonts w:ascii="Times New Roman" w:hAnsi="Times New Roman"/>
        </w:rPr>
        <w:t xml:space="preserve"> para a burguesia brasileira: o PSDB (1988-2002). Dissertação de Mestrado em História, UFF, Niterói, 2006.</w:t>
      </w:r>
    </w:p>
  </w:footnote>
  <w:footnote w:id="285">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Jornal Valor Econômico. </w:t>
      </w:r>
      <w:r w:rsidRPr="00822877">
        <w:rPr>
          <w:rFonts w:ascii="Times New Roman" w:hAnsi="Times New Roman"/>
          <w:i/>
        </w:rPr>
        <w:t>Bovespa quer atrair mais empresas e aplicadores em ações.</w:t>
      </w:r>
      <w:r w:rsidRPr="00822877">
        <w:rPr>
          <w:rFonts w:ascii="Times New Roman" w:hAnsi="Times New Roman"/>
        </w:rPr>
        <w:t xml:space="preserve"> 2004. &lt;http://saladeimprensa.vale.com/pt/noticias/interna.asp?id=12799&gt;. Grifos meus.</w:t>
      </w:r>
    </w:p>
  </w:footnote>
  <w:footnote w:id="286">
    <w:p w:rsidR="00DD31B9" w:rsidRPr="00414D01" w:rsidRDefault="00DD31B9">
      <w:pPr>
        <w:pStyle w:val="Textodenotaderodap"/>
        <w:rPr>
          <w:rFonts w:ascii="Times New Roman" w:hAnsi="Times New Roman"/>
        </w:rPr>
      </w:pPr>
      <w:r w:rsidRPr="00414D01">
        <w:rPr>
          <w:rStyle w:val="Refdenotaderodap"/>
          <w:rFonts w:ascii="Times New Roman" w:hAnsi="Times New Roman"/>
        </w:rPr>
        <w:footnoteRef/>
      </w:r>
      <w:r w:rsidRPr="00414D01">
        <w:rPr>
          <w:rFonts w:ascii="Times New Roman" w:hAnsi="Times New Roman"/>
        </w:rPr>
        <w:t xml:space="preserve"> Designamos “bancário-financeiro” o(s) setor(es), grupo(s) e entidade(s) ligada(s) às atividades bancárias e suas especializações, com seus diferentes ramos financeiros. Comumente, os autores os chamam apenas de “atividades financeiras”, mas entendo que, para o nosso estudo, cabe diferenciar entre as atividades que estavam ligadas profundamente à administração do capital monetário por meio de grupos bancários (atuação de conselheiros-banqueiros) e atividades parcelares e restritas em ramos da administração do capital monetário (atuação de conselheiros do setor financeiro não bancário). </w:t>
      </w:r>
    </w:p>
  </w:footnote>
  <w:footnote w:id="287">
    <w:p w:rsidR="00DD31B9" w:rsidRDefault="00DD31B9" w:rsidP="00C62FDC">
      <w:pPr>
        <w:pStyle w:val="Textodenotaderodap"/>
      </w:pPr>
      <w:r w:rsidRPr="00822877">
        <w:rPr>
          <w:rStyle w:val="Refdenotaderodap"/>
          <w:rFonts w:ascii="Times New Roman" w:hAnsi="Times New Roman"/>
        </w:rPr>
        <w:footnoteRef/>
      </w:r>
      <w:r w:rsidRPr="00822877">
        <w:rPr>
          <w:rFonts w:ascii="Times New Roman" w:hAnsi="Times New Roman"/>
        </w:rPr>
        <w:t xml:space="preserve"> Cf. MINELLA, Ary Cesar. Grupos Financeiros e Associações de Classe do Sistema Financeiro... Op, cit., p. 159-160 e ______. Reestruturação do sistema financeiro brasileiro e a representação de classe do empresariado 1994-2004... Op. cit., 263-264</w:t>
      </w:r>
      <w:r w:rsidRPr="00822877">
        <w:rPr>
          <w:rFonts w:ascii="Times New Roman" w:hAnsi="Times New Roman"/>
          <w:sz w:val="24"/>
          <w:szCs w:val="24"/>
        </w:rPr>
        <w:t>.</w:t>
      </w:r>
    </w:p>
  </w:footnote>
  <w:footnote w:id="288">
    <w:p w:rsidR="00DD31B9" w:rsidRPr="00822877" w:rsidRDefault="00DD31B9" w:rsidP="00D1400E">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A CNF é composta pela FEBRABAN/FENABAN, ANBID, ABECIP, ADEVAL, ABEL, ANDIMA, ANCOR e a ACREFI</w:t>
      </w:r>
      <w:r w:rsidRPr="00822877">
        <w:rPr>
          <w:rFonts w:ascii="Times New Roman" w:hAnsi="Times New Roman"/>
          <w:i/>
        </w:rPr>
        <w:t>.</w:t>
      </w:r>
    </w:p>
  </w:footnote>
  <w:footnote w:id="289">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Integram a CONSIF as seguintes federações: Nacional dos Bancos (FENABAN), Interestadual das Instituições de Crédito, Financiamento e Investimento (FENACREFI), Nacional das Empresas Distribuidoras de Títulos e Valores Mobiliários (FENADISTRI) e Nacional das Empresas de Seguros Privados e Capitalização (FENASEG).</w:t>
      </w:r>
    </w:p>
  </w:footnote>
  <w:footnote w:id="290">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MINELLA, Ary Cesar. Grupos Financeiros e Associações de C</w:t>
      </w:r>
      <w:r>
        <w:rPr>
          <w:rFonts w:ascii="Times New Roman" w:hAnsi="Times New Roman"/>
        </w:rPr>
        <w:t>lasse do Sistema Financeiro... O</w:t>
      </w:r>
      <w:r w:rsidRPr="00822877">
        <w:rPr>
          <w:rFonts w:ascii="Times New Roman" w:hAnsi="Times New Roman"/>
        </w:rPr>
        <w:t>p. cit., 160-161 .</w:t>
      </w:r>
    </w:p>
  </w:footnote>
  <w:footnote w:id="291">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MINELLA, Ary Cesar. </w:t>
      </w:r>
      <w:r w:rsidRPr="00822877">
        <w:rPr>
          <w:rFonts w:ascii="Times New Roman" w:hAnsi="Times New Roman"/>
          <w:i/>
        </w:rPr>
        <w:t xml:space="preserve">Maiores bancos privados no Brasi... </w:t>
      </w:r>
      <w:r>
        <w:rPr>
          <w:rFonts w:ascii="Times New Roman" w:hAnsi="Times New Roman"/>
        </w:rPr>
        <w:t>O</w:t>
      </w:r>
      <w:r w:rsidRPr="00C62FDC">
        <w:rPr>
          <w:rFonts w:ascii="Times New Roman" w:hAnsi="Times New Roman"/>
        </w:rPr>
        <w:t>p. cit., p. 106</w:t>
      </w:r>
      <w:r w:rsidRPr="00822877">
        <w:rPr>
          <w:rFonts w:ascii="Times New Roman" w:hAnsi="Times New Roman"/>
          <w:i/>
        </w:rPr>
        <w:t>.</w:t>
      </w:r>
    </w:p>
  </w:footnote>
  <w:footnote w:id="292">
    <w:p w:rsidR="00DD31B9" w:rsidRPr="00822877"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MINELLA, Ary Cesar. </w:t>
      </w:r>
      <w:r w:rsidRPr="007A35D1">
        <w:rPr>
          <w:rFonts w:ascii="Times New Roman" w:hAnsi="Times New Roman"/>
          <w:i/>
        </w:rPr>
        <w:t>Grupos Financeiros e Associações de Classe do Sistema Financeiro</w:t>
      </w:r>
      <w:r w:rsidRPr="00822877">
        <w:rPr>
          <w:rFonts w:ascii="Times New Roman" w:hAnsi="Times New Roman"/>
        </w:rPr>
        <w:t>... Op., cit, p. 174.</w:t>
      </w:r>
    </w:p>
  </w:footnote>
  <w:footnote w:id="293">
    <w:p w:rsidR="00DD31B9" w:rsidRPr="00414D01" w:rsidRDefault="00DD31B9" w:rsidP="00822877">
      <w:pPr>
        <w:pStyle w:val="Textodenotaderodap"/>
        <w:rPr>
          <w:rFonts w:ascii="Times New Roman" w:hAnsi="Times New Roman"/>
        </w:rPr>
      </w:pPr>
      <w:r w:rsidRPr="00822877">
        <w:rPr>
          <w:rStyle w:val="Refdenotaderodap"/>
          <w:rFonts w:ascii="Times New Roman" w:hAnsi="Times New Roman"/>
        </w:rPr>
        <w:footnoteRef/>
      </w:r>
      <w:r w:rsidRPr="00822877">
        <w:rPr>
          <w:rFonts w:ascii="Times New Roman" w:hAnsi="Times New Roman"/>
        </w:rPr>
        <w:t xml:space="preserve"> MINELLA, Ary Cesar. </w:t>
      </w:r>
      <w:r w:rsidRPr="007A35D1">
        <w:rPr>
          <w:rFonts w:ascii="Times New Roman" w:hAnsi="Times New Roman"/>
          <w:i/>
        </w:rPr>
        <w:t xml:space="preserve">Reestruturação do sistema financeiro brasileiro e a representação de classe </w:t>
      </w:r>
      <w:r w:rsidRPr="00414D01">
        <w:rPr>
          <w:rFonts w:ascii="Times New Roman" w:hAnsi="Times New Roman"/>
          <w:i/>
        </w:rPr>
        <w:t>do empresariado 1994-2004</w:t>
      </w:r>
      <w:r w:rsidRPr="00414D01">
        <w:rPr>
          <w:rFonts w:ascii="Times New Roman" w:hAnsi="Times New Roman"/>
        </w:rPr>
        <w:t>... Op. cit., 268-269.</w:t>
      </w:r>
    </w:p>
  </w:footnote>
  <w:footnote w:id="294">
    <w:p w:rsidR="00DD31B9" w:rsidRPr="0054787C" w:rsidRDefault="00DD31B9" w:rsidP="008D648E">
      <w:pPr>
        <w:pStyle w:val="Textodenotaderodap"/>
        <w:rPr>
          <w:rFonts w:ascii="Times New Roman" w:hAnsi="Times New Roman"/>
          <w:color w:val="FF0000"/>
        </w:rPr>
      </w:pPr>
      <w:r w:rsidRPr="00414D01">
        <w:rPr>
          <w:rStyle w:val="Refdenotaderodap"/>
          <w:rFonts w:ascii="Times New Roman" w:hAnsi="Times New Roman"/>
        </w:rPr>
        <w:footnoteRef/>
      </w:r>
      <w:r w:rsidRPr="00414D01">
        <w:rPr>
          <w:rFonts w:ascii="Times New Roman" w:hAnsi="Times New Roman"/>
        </w:rPr>
        <w:t xml:space="preserve"> Miguel João Jorge e Roger Agnelli figuraram em associações civis do empresariado industrial e bancário em momentos distintos de suas trajetórias. Miguel foi Vice-Presidente da ANFAVEA entre 1987 e 2000 e Vice-Presidente da Febraban de 2001 a 2005. Tudo indica que Roger Agnelli ocupou o cargo deVice-Presidente da Associação Nacional dos Bancos de Investimento (ANBID) no máximo até julho de 2001, quando deixou o cargo de diretor-presidente da Bradespar para se tornar, no mesmo mês, diretor-presidente da Vale do Rio Doce. Informações recolhidas em sites eletrônicos dão conta de que Agnelli se tornou membro dos conselhos da </w:t>
      </w:r>
      <w:r>
        <w:rPr>
          <w:rFonts w:ascii="Times New Roman" w:hAnsi="Times New Roman"/>
        </w:rPr>
        <w:t>FIESP</w:t>
      </w:r>
      <w:r w:rsidRPr="00414D01">
        <w:rPr>
          <w:rFonts w:ascii="Times New Roman" w:hAnsi="Times New Roman"/>
        </w:rPr>
        <w:t xml:space="preserve"> e do IEDI a partir da sua inserção na condução da Vale, pois as notícias datam de um período mais recente. Viviane Senna nunca foi banqueira, mas optei por classificá-la como conselheira-empresária ligada ao setor bancário devido a sua larga teia de conexões com este setor, como também noutros,circulando na </w:t>
      </w:r>
      <w:r>
        <w:rPr>
          <w:rFonts w:ascii="Times New Roman" w:hAnsi="Times New Roman"/>
        </w:rPr>
        <w:t>FIESP</w:t>
      </w:r>
      <w:r w:rsidRPr="00414D01">
        <w:rPr>
          <w:rFonts w:ascii="Times New Roman" w:hAnsi="Times New Roman"/>
        </w:rPr>
        <w:t xml:space="preserve">, CNI e demais entidades patronais. Como já dito, foi uma conselheira do </w:t>
      </w:r>
      <w:r w:rsidRPr="00414D01">
        <w:rPr>
          <w:rFonts w:ascii="Times New Roman" w:hAnsi="Times New Roman"/>
          <w:i/>
        </w:rPr>
        <w:t xml:space="preserve">capital financeiro. </w:t>
      </w:r>
      <w:r w:rsidRPr="00414D01">
        <w:rPr>
          <w:rFonts w:ascii="Times New Roman" w:hAnsi="Times New Roman"/>
        </w:rPr>
        <w:t>Foi fundadora do Movimento Todos Pela Educação, junto com Jorge Gerdau e Daniel Feffer, com participação também de outros conselheiros. Aliás, foram nas entidades do empresariamento da gestão social que percebemos perfeitamente confecção da rede transsassociativa entre os diferentes setores do capital no CDES. O investimento mercantil-filantrópico não é atributo de uma ou outra fração dos dominantes, mas de interesse do conjunto das frações</w:t>
      </w:r>
      <w:r>
        <w:rPr>
          <w:rFonts w:ascii="Times New Roman" w:hAnsi="Times New Roman"/>
          <w:color w:val="FF0000"/>
        </w:rPr>
        <w:t>.</w:t>
      </w:r>
    </w:p>
  </w:footnote>
  <w:footnote w:id="295">
    <w:p w:rsidR="00DD31B9" w:rsidRPr="001C1CC9" w:rsidRDefault="00DD31B9" w:rsidP="000A730D">
      <w:pPr>
        <w:pStyle w:val="Textodenotaderodap"/>
        <w:tabs>
          <w:tab w:val="left" w:pos="2611"/>
        </w:tabs>
        <w:rPr>
          <w:rFonts w:ascii="Times New Roman" w:hAnsi="Times New Roman"/>
        </w:rPr>
      </w:pPr>
      <w:r w:rsidRPr="001C1CC9">
        <w:rPr>
          <w:rStyle w:val="Refdenotaderodap"/>
          <w:rFonts w:ascii="Times New Roman" w:hAnsi="Times New Roman"/>
        </w:rPr>
        <w:footnoteRef/>
      </w:r>
      <w:r w:rsidRPr="001C1CC9">
        <w:rPr>
          <w:rFonts w:ascii="Times New Roman" w:hAnsi="Times New Roman"/>
        </w:rPr>
        <w:t xml:space="preserve"> MINELLA, Ary C</w:t>
      </w:r>
      <w:r>
        <w:rPr>
          <w:rFonts w:ascii="Times New Roman" w:hAnsi="Times New Roman"/>
        </w:rPr>
        <w:t>é</w:t>
      </w:r>
      <w:r w:rsidRPr="001C1CC9">
        <w:rPr>
          <w:rFonts w:ascii="Times New Roman" w:hAnsi="Times New Roman"/>
        </w:rPr>
        <w:t xml:space="preserve">sar. </w:t>
      </w:r>
      <w:r w:rsidRPr="001C1CC9">
        <w:rPr>
          <w:rFonts w:ascii="Times New Roman" w:hAnsi="Times New Roman"/>
          <w:i/>
        </w:rPr>
        <w:t>Grupos financeiros no Brasil:</w:t>
      </w:r>
      <w:r w:rsidRPr="001C1CC9">
        <w:rPr>
          <w:rFonts w:ascii="Times New Roman" w:hAnsi="Times New Roman"/>
        </w:rPr>
        <w:t xml:space="preserve"> um perfil econômico e sociopolítico dos maiores credores privados. V Workshop Empresa, Empresário e Sociedade, 2006, p. 19. Disponível em &lt;www.fee.tche.br/5workshop/pdf/mesa03_ary.pdf&gt;. Acesso 19/07/2012</w:t>
      </w:r>
      <w:r>
        <w:rPr>
          <w:rFonts w:ascii="Times New Roman" w:hAnsi="Times New Roman"/>
        </w:rPr>
        <w:t>.</w:t>
      </w:r>
    </w:p>
  </w:footnote>
  <w:footnote w:id="296">
    <w:p w:rsidR="00DD31B9" w:rsidRDefault="00DD31B9">
      <w:pPr>
        <w:pStyle w:val="Textodenotaderodap"/>
      </w:pPr>
      <w:r w:rsidRPr="001C1CC9">
        <w:rPr>
          <w:rStyle w:val="Refdenotaderodap"/>
          <w:rFonts w:ascii="Times New Roman" w:hAnsi="Times New Roman"/>
        </w:rPr>
        <w:footnoteRef/>
      </w:r>
      <w:r w:rsidRPr="001C1CC9">
        <w:rPr>
          <w:rStyle w:val="CitaoHTML"/>
          <w:rFonts w:ascii="Times New Roman" w:hAnsi="Times New Roman"/>
          <w:i w:val="0"/>
        </w:rPr>
        <w:t>GAZETA MERCANTIL</w:t>
      </w:r>
      <w:r w:rsidRPr="00294168">
        <w:rPr>
          <w:rStyle w:val="CitaoHTML"/>
          <w:rFonts w:ascii="Times New Roman" w:hAnsi="Times New Roman"/>
        </w:rPr>
        <w:t xml:space="preserve">. Revista </w:t>
      </w:r>
      <w:r w:rsidRPr="00294168">
        <w:rPr>
          <w:rFonts w:ascii="Times New Roman" w:hAnsi="Times New Roman"/>
          <w:i/>
        </w:rPr>
        <w:t>Balanço Anual 2004</w:t>
      </w:r>
      <w:r w:rsidRPr="00294168">
        <w:rPr>
          <w:rFonts w:ascii="Times New Roman" w:hAnsi="Times New Roman"/>
        </w:rPr>
        <w:t>: a mais completa radiografia dos negócios do País. S</w:t>
      </w:r>
      <w:r>
        <w:rPr>
          <w:rFonts w:ascii="Times New Roman" w:hAnsi="Times New Roman"/>
        </w:rPr>
        <w:t>ão Paulo: Editora JB S.A., 2004, p. 41 e 70.</w:t>
      </w:r>
    </w:p>
  </w:footnote>
  <w:footnote w:id="297">
    <w:p w:rsidR="00DD31B9" w:rsidRPr="00FD610C" w:rsidRDefault="00DD31B9" w:rsidP="00822877">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Neste ponto é relevante ressaltar o movimento intricado de “mão dupla” que o processo de internacionalização econômica suscitou no Brasil contemporâneo: histórica e dependente associação com os capitais entrantes e expansão dos grupos econômicos brasileiros em mercados forâneos (transnacionalização), ambos potencializados a partir da década de 1990.</w:t>
      </w:r>
    </w:p>
  </w:footnote>
  <w:footnote w:id="298">
    <w:p w:rsidR="00DD31B9" w:rsidRPr="00515936" w:rsidRDefault="00DD31B9" w:rsidP="00700362">
      <w:pPr>
        <w:pStyle w:val="Textodenotaderodap"/>
        <w:rPr>
          <w:rFonts w:ascii="Times New Roman" w:hAnsi="Times New Roman"/>
        </w:rPr>
      </w:pPr>
      <w:r w:rsidRPr="00515936">
        <w:rPr>
          <w:rStyle w:val="Refdenotaderodap"/>
          <w:rFonts w:ascii="Times New Roman" w:hAnsi="Times New Roman"/>
        </w:rPr>
        <w:footnoteRef/>
      </w:r>
      <w:r w:rsidRPr="00822877">
        <w:rPr>
          <w:rFonts w:ascii="Times New Roman" w:hAnsi="Times New Roman"/>
        </w:rPr>
        <w:t xml:space="preserve">ZIBECHI, Raúl. </w:t>
      </w:r>
      <w:r w:rsidRPr="00822877">
        <w:rPr>
          <w:rFonts w:ascii="Times New Roman" w:hAnsi="Times New Roman"/>
          <w:i/>
        </w:rPr>
        <w:t>Brasil potência</w:t>
      </w:r>
      <w:r>
        <w:rPr>
          <w:rFonts w:ascii="Times New Roman" w:hAnsi="Times New Roman"/>
        </w:rPr>
        <w:t>... Op. Cit.,</w:t>
      </w:r>
      <w:r w:rsidRPr="00822877">
        <w:rPr>
          <w:rFonts w:ascii="Times New Roman" w:hAnsi="Times New Roman"/>
        </w:rPr>
        <w:t xml:space="preserve"> p</w:t>
      </w:r>
      <w:r>
        <w:rPr>
          <w:rFonts w:ascii="Times New Roman" w:hAnsi="Times New Roman"/>
        </w:rPr>
        <w:t>. 70. Todos os grupos econômicos e empresas grifadas por mim tiveram representação no CDES.</w:t>
      </w:r>
    </w:p>
  </w:footnote>
  <w:footnote w:id="299">
    <w:p w:rsidR="00DD31B9" w:rsidRPr="00FD610C" w:rsidRDefault="00DD31B9" w:rsidP="00822877">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LAZZARINI, Sérgio. </w:t>
      </w:r>
      <w:r w:rsidRPr="00FD610C">
        <w:rPr>
          <w:rFonts w:ascii="Times New Roman" w:hAnsi="Times New Roman"/>
          <w:i/>
        </w:rPr>
        <w:t>Capitalismo de laços</w:t>
      </w:r>
      <w:r w:rsidRPr="00FD610C">
        <w:rPr>
          <w:rFonts w:ascii="Times New Roman" w:hAnsi="Times New Roman"/>
        </w:rPr>
        <w:t>: Os donos do Brasil e suas conexões. RJ Elsevier, 2011.</w:t>
      </w:r>
    </w:p>
  </w:footnote>
  <w:footnote w:id="300">
    <w:p w:rsidR="00DD31B9" w:rsidRPr="00FD610C" w:rsidRDefault="00DD31B9" w:rsidP="00FD610C">
      <w:pPr>
        <w:tabs>
          <w:tab w:val="left" w:pos="2418"/>
        </w:tabs>
        <w:spacing w:after="0" w:line="240" w:lineRule="auto"/>
        <w:jc w:val="both"/>
        <w:rPr>
          <w:rFonts w:ascii="Times New Roman" w:hAnsi="Times New Roman"/>
          <w:sz w:val="20"/>
          <w:szCs w:val="20"/>
        </w:rPr>
      </w:pPr>
      <w:r w:rsidRPr="00FD610C">
        <w:rPr>
          <w:rStyle w:val="Refdenotaderodap"/>
          <w:rFonts w:ascii="Times New Roman" w:hAnsi="Times New Roman"/>
          <w:sz w:val="20"/>
          <w:szCs w:val="20"/>
        </w:rPr>
        <w:footnoteRef/>
      </w:r>
      <w:r w:rsidRPr="00FD610C">
        <w:rPr>
          <w:rFonts w:ascii="Times New Roman" w:hAnsi="Times New Roman"/>
          <w:sz w:val="20"/>
          <w:szCs w:val="20"/>
        </w:rPr>
        <w:t xml:space="preserve"> NÓVOA, Luis Fernando. O Brasil e seu “desdobramento”: o papel central do BNDES na expansão das empresas transnacionais brasileiras na América do Sul. In: IRLS-INSTITUTO ROSA LUXEMBURG SITFTUNG. (org.). </w:t>
      </w:r>
      <w:r w:rsidRPr="00FD610C">
        <w:rPr>
          <w:rFonts w:ascii="Times New Roman" w:hAnsi="Times New Roman"/>
          <w:i/>
          <w:sz w:val="20"/>
          <w:szCs w:val="20"/>
        </w:rPr>
        <w:t>Empresas transnacionais brasileiras na América Latina</w:t>
      </w:r>
      <w:r w:rsidRPr="00FD610C">
        <w:rPr>
          <w:rFonts w:ascii="Times New Roman" w:hAnsi="Times New Roman"/>
          <w:sz w:val="20"/>
          <w:szCs w:val="20"/>
        </w:rPr>
        <w:t>: um debate necessário. SP: Expressão Popular, 2009, p. 190-191.</w:t>
      </w:r>
    </w:p>
  </w:footnote>
  <w:footnote w:id="301">
    <w:p w:rsidR="00DD31B9" w:rsidRPr="00FD610C" w:rsidRDefault="00DD31B9" w:rsidP="00FD610C">
      <w:pPr>
        <w:tabs>
          <w:tab w:val="left" w:pos="2418"/>
        </w:tabs>
        <w:spacing w:after="0" w:line="240" w:lineRule="auto"/>
        <w:rPr>
          <w:rFonts w:ascii="Times New Roman" w:hAnsi="Times New Roman"/>
          <w:sz w:val="20"/>
          <w:szCs w:val="20"/>
        </w:rPr>
      </w:pPr>
      <w:r w:rsidRPr="00FD610C">
        <w:rPr>
          <w:rStyle w:val="Refdenotaderodap"/>
          <w:rFonts w:ascii="Times New Roman" w:hAnsi="Times New Roman"/>
          <w:sz w:val="20"/>
          <w:szCs w:val="20"/>
        </w:rPr>
        <w:footnoteRef/>
      </w:r>
      <w:r w:rsidRPr="00FD610C">
        <w:rPr>
          <w:rStyle w:val="CitaoHTML"/>
          <w:rFonts w:ascii="Times New Roman" w:hAnsi="Times New Roman"/>
          <w:sz w:val="20"/>
          <w:szCs w:val="20"/>
        </w:rPr>
        <w:t xml:space="preserve">Revista </w:t>
      </w:r>
      <w:r w:rsidRPr="00FD610C">
        <w:rPr>
          <w:rFonts w:ascii="Times New Roman" w:hAnsi="Times New Roman"/>
          <w:sz w:val="20"/>
          <w:szCs w:val="20"/>
        </w:rPr>
        <w:t xml:space="preserve">Balanço Anual 2004: a mais completa radiografia dos negócios do País. </w:t>
      </w:r>
      <w:r w:rsidRPr="00FD610C">
        <w:rPr>
          <w:rStyle w:val="CitaoHTML"/>
          <w:rFonts w:ascii="Times New Roman" w:hAnsi="Times New Roman"/>
          <w:sz w:val="20"/>
          <w:szCs w:val="20"/>
        </w:rPr>
        <w:t xml:space="preserve">GAZETA MERCANTIL. </w:t>
      </w:r>
      <w:r w:rsidRPr="00FD610C">
        <w:rPr>
          <w:rFonts w:ascii="Times New Roman" w:hAnsi="Times New Roman"/>
          <w:sz w:val="20"/>
          <w:szCs w:val="20"/>
        </w:rPr>
        <w:t>SP: Editora JB S.A., 2004, p. 32-82.</w:t>
      </w:r>
    </w:p>
  </w:footnote>
  <w:footnote w:id="302">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Paulo Skaf, ex-empresário do setor têxtil e presidente da </w:t>
      </w:r>
      <w:r>
        <w:rPr>
          <w:rFonts w:ascii="Times New Roman" w:hAnsi="Times New Roman"/>
        </w:rPr>
        <w:t>FIESP</w:t>
      </w:r>
      <w:r w:rsidRPr="00FD610C">
        <w:rPr>
          <w:rFonts w:ascii="Times New Roman" w:hAnsi="Times New Roman"/>
        </w:rPr>
        <w:t>, também compunha o Conselho de Administração do BNDES.</w:t>
      </w:r>
    </w:p>
  </w:footnote>
  <w:footnote w:id="303">
    <w:p w:rsidR="00DD31B9" w:rsidRPr="00392F17" w:rsidRDefault="00DD31B9">
      <w:pPr>
        <w:pStyle w:val="Textodenotaderodap"/>
        <w:rPr>
          <w:rFonts w:ascii="Times New Roman" w:hAnsi="Times New Roman"/>
        </w:rPr>
      </w:pPr>
      <w:r w:rsidRPr="00392F17">
        <w:rPr>
          <w:rStyle w:val="Refdenotaderodap"/>
          <w:rFonts w:ascii="Times New Roman" w:hAnsi="Times New Roman"/>
        </w:rPr>
        <w:footnoteRef/>
      </w:r>
      <w:r>
        <w:rPr>
          <w:rFonts w:ascii="Times New Roman" w:hAnsi="Times New Roman"/>
        </w:rPr>
        <w:t xml:space="preserve">LÊNIN, V. I. </w:t>
      </w:r>
      <w:r w:rsidRPr="00392F17">
        <w:rPr>
          <w:rFonts w:ascii="Times New Roman" w:hAnsi="Times New Roman"/>
          <w:i/>
        </w:rPr>
        <w:t>O imperialismo, fase superior do capitalismo</w:t>
      </w:r>
      <w:r>
        <w:rPr>
          <w:rFonts w:ascii="Times New Roman" w:hAnsi="Times New Roman"/>
          <w:i/>
        </w:rPr>
        <w:t xml:space="preserve">... </w:t>
      </w:r>
      <w:r>
        <w:rPr>
          <w:rFonts w:ascii="Times New Roman" w:hAnsi="Times New Roman"/>
        </w:rPr>
        <w:t>Op. cit., p. 605-606.</w:t>
      </w:r>
    </w:p>
  </w:footnote>
  <w:footnote w:id="304">
    <w:p w:rsidR="00DD31B9" w:rsidRPr="00C3642C" w:rsidRDefault="00DD31B9">
      <w:pPr>
        <w:pStyle w:val="Textodenotaderodap"/>
        <w:rPr>
          <w:rFonts w:ascii="Times New Roman" w:hAnsi="Times New Roman"/>
        </w:rPr>
      </w:pPr>
      <w:r w:rsidRPr="00C3642C">
        <w:rPr>
          <w:rStyle w:val="Refdenotaderodap"/>
          <w:rFonts w:ascii="Times New Roman" w:hAnsi="Times New Roman"/>
        </w:rPr>
        <w:footnoteRef/>
      </w:r>
      <w:r w:rsidRPr="00C3642C">
        <w:rPr>
          <w:rFonts w:ascii="Times New Roman" w:hAnsi="Times New Roman"/>
        </w:rPr>
        <w:t xml:space="preserve"> O Movimento Todos Pela Educação (TPE) faz parte de uma investida empresarial sobre a educação pública e vem sendo efetivada através de alguns destacados aparelhos privados de hegemonia empresariais presentes, alguns presentes no CDES: a) o Instituto Ayrton Senna; b) Fundação Roberto Marinho; c) Fundação Victor Civita; d) Grupo Gerdau, que, por meio de Jorge Gerdau, preside o TPE e que outro foi organizador do Movimento Brasil Competitivo (MBC) que, em certo sentido, foi o germe do Movimento Todos pela Educação. Ver LEHER, Roberto.Educação no governo de Lula da Silva: a ruptura que não aconteceu. In: </w:t>
      </w:r>
      <w:r w:rsidRPr="00C3642C">
        <w:rPr>
          <w:rFonts w:ascii="Times New Roman" w:hAnsi="Times New Roman"/>
          <w:i/>
        </w:rPr>
        <w:t>Os anos Lula</w:t>
      </w:r>
      <w:r w:rsidRPr="00C3642C">
        <w:rPr>
          <w:rFonts w:ascii="Times New Roman" w:hAnsi="Times New Roman"/>
        </w:rPr>
        <w:t>: contribuições para um balanço crítico 2003-2010. RJ: Garamond, 2010, p. 378-380. Afirma ainda o autor que “Na Exposição de Motivos do PDE, o governo assume explicitamente que a sua elaboração objetiva implementar a agenda empresarial do movimento “Compromisso Todos Pela Educação”, inicitiva que reúne os principais grupos econômicos que constituem o bloco de poder dominante” (idem, p. 379). Muitas das empresas e empresários envolvidos com o TPE foram conselheiros do CDES.</w:t>
      </w:r>
    </w:p>
  </w:footnote>
  <w:footnote w:id="305">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São eles: Fábio Coletti Barbosa, Gabriel Ferreira, Márcio Artur Cypriano, Roberto Egydio Setúbal e Viviane Senna. </w:t>
      </w:r>
    </w:p>
  </w:footnote>
  <w:footnote w:id="306">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PERONI, Vera Maria e CAETANO, Maria Raquel. </w:t>
      </w:r>
      <w:r w:rsidRPr="00FD610C">
        <w:rPr>
          <w:rFonts w:ascii="Times New Roman" w:hAnsi="Times New Roman"/>
          <w:i/>
        </w:rPr>
        <w:t>Redefinições no papel do Estado</w:t>
      </w:r>
      <w:r w:rsidRPr="00FD610C">
        <w:rPr>
          <w:rFonts w:ascii="Times New Roman" w:hAnsi="Times New Roman"/>
          <w:b/>
        </w:rPr>
        <w:t>:</w:t>
      </w:r>
      <w:r w:rsidRPr="00FD610C">
        <w:rPr>
          <w:rFonts w:ascii="Times New Roman" w:hAnsi="Times New Roman"/>
        </w:rPr>
        <w:t xml:space="preserve"> terceira via, novo desenvolvimentismo e as parcerias público-privadas na educação. IX Anped Sul, 2012, p. 10.</w:t>
      </w:r>
    </w:p>
  </w:footnote>
  <w:footnote w:id="307">
    <w:p w:rsidR="00DD31B9" w:rsidRPr="004B4B36" w:rsidRDefault="00DD31B9" w:rsidP="00FD610C">
      <w:pPr>
        <w:pStyle w:val="Textodenotaderodap"/>
      </w:pPr>
      <w:r w:rsidRPr="00FD610C">
        <w:rPr>
          <w:rStyle w:val="Refdenotaderodap"/>
          <w:rFonts w:ascii="Times New Roman" w:hAnsi="Times New Roman"/>
        </w:rPr>
        <w:footnoteRef/>
      </w:r>
      <w:r w:rsidRPr="00FD610C">
        <w:rPr>
          <w:rFonts w:ascii="Times New Roman" w:hAnsi="Times New Roman"/>
        </w:rPr>
        <w:t xml:space="preserve"> A figura mostra ligações que avançam sobre o corte cronológico deste trabalho tendo em vista que as pesquisamos até o ano de 2010.</w:t>
      </w:r>
    </w:p>
  </w:footnote>
  <w:footnote w:id="308">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Cada associação representa um conselheiro, quando mais o for, o quantitativo se encontra entre parênteses.</w:t>
      </w:r>
    </w:p>
  </w:footnote>
  <w:footnote w:id="309">
    <w:p w:rsidR="00DD31B9" w:rsidRPr="00C3642C" w:rsidRDefault="00DD31B9" w:rsidP="00582426">
      <w:pPr>
        <w:pStyle w:val="Textodenotaderodap"/>
        <w:rPr>
          <w:rFonts w:ascii="Times New Roman" w:hAnsi="Times New Roman"/>
        </w:rPr>
      </w:pPr>
      <w:r w:rsidRPr="00C3642C">
        <w:rPr>
          <w:rStyle w:val="Refdenotaderodap"/>
          <w:rFonts w:ascii="Times New Roman" w:hAnsi="Times New Roman"/>
        </w:rPr>
        <w:footnoteRef/>
      </w:r>
      <w:r w:rsidRPr="00C3642C">
        <w:rPr>
          <w:rFonts w:ascii="Times New Roman" w:hAnsi="Times New Roman"/>
        </w:rPr>
        <w:t xml:space="preserve"> Apesar de ser composto nominalmente por intelectuais de distintos matizes do pensamento burguês, o Fórum Nacional / Instituto Nacional de Altos Estudos (INAE) é um fórum que regrupa tradicionalmente largos setores do empresariado, posicionando-se, desde sua criação, como verdadeiro </w:t>
      </w:r>
      <w:r w:rsidRPr="00C3642C">
        <w:rPr>
          <w:rFonts w:ascii="Times New Roman" w:hAnsi="Times New Roman"/>
          <w:i/>
        </w:rPr>
        <w:t>think thank</w:t>
      </w:r>
      <w:r w:rsidRPr="00C3642C">
        <w:rPr>
          <w:rFonts w:ascii="Times New Roman" w:hAnsi="Times New Roman"/>
        </w:rPr>
        <w:t xml:space="preserve"> de tais setores. Membros ilustres do governo Lu</w:t>
      </w:r>
      <w:r>
        <w:rPr>
          <w:rFonts w:ascii="Times New Roman" w:hAnsi="Times New Roman"/>
        </w:rPr>
        <w:t xml:space="preserve">la da Silva também transitavam </w:t>
      </w:r>
      <w:r w:rsidRPr="00C3642C">
        <w:rPr>
          <w:rFonts w:ascii="Times New Roman" w:hAnsi="Times New Roman"/>
        </w:rPr>
        <w:t>entre os participantes dos eventos promovidos pelo Fórum Nacional e em suas publicações tendo, inclusive, figurado dentre os membros do Conselho Diretor do Fórum, tais como Aloizio Mercadante, Glauco Arbix e Luciano Martins. Carla Luciana Silva, em sua tese de doutoramento, demonstra a conexão íntima entre as propostas formuladas pelo Fórum Nacional e as divulgadas e cobradas pela revista Veja, durante os anos 1990. Segundo a autora, a ligação orgânica entre os dois aparelhos privados de hegemonia se dá por “divulgação de materiais, inclusive com produção de matérias a partir dos textos produzidos nos Seminários do Fórum; recorrências aos seus membros como porta-vozes do programa de “globalização”;elogios diretos ao Fórum como um grupo que efetivamente estaria “pensando o país” mesmo em momentos de crise; elogios ao seu fundador pelo seu papel de articulação, o ex-ministro do governo Castelo Branco, João Paulo dos Reis Velloso”. Cf. SILVA, Carla Luciana Souza da.</w:t>
      </w:r>
      <w:r w:rsidRPr="00C3642C">
        <w:rPr>
          <w:rFonts w:ascii="Times New Roman" w:hAnsi="Times New Roman"/>
          <w:i/>
        </w:rPr>
        <w:t>Veja</w:t>
      </w:r>
      <w:r w:rsidRPr="00C3642C">
        <w:rPr>
          <w:rFonts w:ascii="Times New Roman" w:hAnsi="Times New Roman"/>
        </w:rPr>
        <w:t>: o “indispensável” partido neoliberal (1989-2002). Tese de doutorado em História. Niterói: UFF, 2005, p. 73.</w:t>
      </w:r>
    </w:p>
  </w:footnote>
  <w:footnote w:id="310">
    <w:p w:rsidR="00DD31B9" w:rsidRPr="00C3642C" w:rsidRDefault="00DD31B9">
      <w:pPr>
        <w:pStyle w:val="Textodenotaderodap"/>
        <w:rPr>
          <w:rFonts w:ascii="Times New Roman" w:hAnsi="Times New Roman"/>
        </w:rPr>
      </w:pPr>
      <w:r w:rsidRPr="00C3642C">
        <w:rPr>
          <w:rStyle w:val="Refdenotaderodap"/>
          <w:rFonts w:ascii="Times New Roman" w:hAnsi="Times New Roman"/>
        </w:rPr>
        <w:footnoteRef/>
      </w:r>
      <w:r w:rsidRPr="00C3642C">
        <w:rPr>
          <w:rFonts w:ascii="Times New Roman" w:hAnsi="Times New Roman"/>
        </w:rPr>
        <w:t xml:space="preserve"> A soma das inserções empresariais nas entidades representativas da estrutura sindical oficial – Federações Estaduais (com 19 empresários), </w:t>
      </w:r>
      <w:r>
        <w:rPr>
          <w:rFonts w:ascii="Times New Roman" w:hAnsi="Times New Roman"/>
        </w:rPr>
        <w:t>FIESP</w:t>
      </w:r>
      <w:r w:rsidRPr="00C3642C">
        <w:rPr>
          <w:rFonts w:ascii="Times New Roman" w:hAnsi="Times New Roman"/>
        </w:rPr>
        <w:t xml:space="preserve"> (com 28 empresários), Sindicatos Patronais (com 17 empresários), CNI (com 16 empresários) e FEBRABAN (com 7 empresários) – chega a 87 inserções empresariais, isto é, quase 40% num total de 234 inserções. O termo “inserções” procura dar conta das múltiplas presenças de um mesmo conselheiro-empresário em várias entidades e, por isso, não corresponde ao total de empresários no quadro.</w:t>
      </w:r>
    </w:p>
  </w:footnote>
  <w:footnote w:id="311">
    <w:p w:rsidR="00DD31B9" w:rsidRPr="00FD610C" w:rsidRDefault="00DD31B9" w:rsidP="00FD610C">
      <w:pPr>
        <w:pStyle w:val="Textodenotaderodap"/>
        <w:rPr>
          <w:rFonts w:ascii="Times New Roman" w:hAnsi="Times New Roman"/>
          <w:lang w:val="en-US"/>
        </w:rPr>
      </w:pPr>
      <w:r w:rsidRPr="00FD610C">
        <w:rPr>
          <w:rStyle w:val="Refdenotaderodap"/>
          <w:rFonts w:ascii="Times New Roman" w:hAnsi="Times New Roman"/>
        </w:rPr>
        <w:footnoteRef/>
      </w:r>
      <w:r w:rsidRPr="00FD610C">
        <w:rPr>
          <w:rFonts w:ascii="Times New Roman" w:hAnsi="Times New Roman"/>
        </w:rPr>
        <w:t xml:space="preserve"> FONTES, Virgínia. </w:t>
      </w:r>
      <w:r w:rsidRPr="00FD610C">
        <w:rPr>
          <w:rFonts w:ascii="Times New Roman" w:hAnsi="Times New Roman"/>
          <w:i/>
        </w:rPr>
        <w:t>O Brasil e o capital-imperialismo</w:t>
      </w:r>
      <w:r w:rsidRPr="00FD610C">
        <w:rPr>
          <w:rFonts w:ascii="Times New Roman" w:hAnsi="Times New Roman"/>
        </w:rPr>
        <w:t xml:space="preserve">... </w:t>
      </w:r>
      <w:r w:rsidRPr="00FD610C">
        <w:rPr>
          <w:rFonts w:ascii="Times New Roman" w:hAnsi="Times New Roman"/>
          <w:lang w:val="en-US"/>
        </w:rPr>
        <w:t>Op. cit., p. 137.</w:t>
      </w:r>
    </w:p>
  </w:footnote>
  <w:footnote w:id="312">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78655D">
        <w:rPr>
          <w:rFonts w:ascii="Times New Roman" w:hAnsi="Times New Roman"/>
          <w:lang w:val="en-US"/>
        </w:rPr>
        <w:t xml:space="preserve">BOURDIEU, Pierre. </w:t>
      </w:r>
      <w:r w:rsidRPr="00FD610C">
        <w:rPr>
          <w:rFonts w:ascii="Times New Roman" w:hAnsi="Times New Roman"/>
        </w:rPr>
        <w:t xml:space="preserve">O capital social – notas provisórias. In: CATANI, A. &amp; NOGUEIRA, M. A. (orgs.) </w:t>
      </w:r>
      <w:r w:rsidRPr="00FD610C">
        <w:rPr>
          <w:rFonts w:ascii="Times New Roman" w:hAnsi="Times New Roman"/>
          <w:i/>
        </w:rPr>
        <w:t>Escritos de educação</w:t>
      </w:r>
      <w:r w:rsidRPr="00FD610C">
        <w:rPr>
          <w:rFonts w:ascii="Times New Roman" w:hAnsi="Times New Roman"/>
        </w:rPr>
        <w:t xml:space="preserve">. Petrópolis: Vozes, 1998. </w:t>
      </w:r>
      <w:r w:rsidRPr="00FD610C">
        <w:rPr>
          <w:rFonts w:ascii="Times New Roman" w:hAnsi="Times New Roman"/>
          <w:i/>
        </w:rPr>
        <w:t xml:space="preserve">Apud </w:t>
      </w:r>
      <w:r w:rsidRPr="00FD610C">
        <w:rPr>
          <w:rFonts w:ascii="Times New Roman" w:hAnsi="Times New Roman"/>
        </w:rPr>
        <w:t xml:space="preserve">NEVES, L. Mª. W.; PRONKO, M. &amp; MENDONÇA, S. R. Capital Social. In: PEREIRA, Isabel Brasil. </w:t>
      </w:r>
      <w:r w:rsidRPr="00FD610C">
        <w:rPr>
          <w:rFonts w:ascii="Times New Roman" w:hAnsi="Times New Roman"/>
          <w:i/>
        </w:rPr>
        <w:t>Dicionário d educação profissional em saúde</w:t>
      </w:r>
      <w:r w:rsidRPr="00FD610C">
        <w:rPr>
          <w:rFonts w:ascii="Times New Roman" w:hAnsi="Times New Roman"/>
        </w:rPr>
        <w:t>. RJ: EPSJV, 2009, p. 78-79.</w:t>
      </w:r>
    </w:p>
  </w:footnote>
  <w:footnote w:id="313">
    <w:p w:rsidR="00DD31B9" w:rsidRPr="00304E4C" w:rsidRDefault="00DD31B9">
      <w:pPr>
        <w:pStyle w:val="Textodenotaderodap"/>
        <w:rPr>
          <w:rFonts w:ascii="Times New Roman" w:hAnsi="Times New Roman"/>
          <w:i/>
        </w:rPr>
      </w:pPr>
      <w:r w:rsidRPr="00304E4C">
        <w:rPr>
          <w:rStyle w:val="Refdenotaderodap"/>
          <w:rFonts w:ascii="Times New Roman" w:hAnsi="Times New Roman"/>
        </w:rPr>
        <w:footnoteRef/>
      </w:r>
      <w:r w:rsidRPr="00304E4C">
        <w:rPr>
          <w:rFonts w:ascii="Times New Roman" w:hAnsi="Times New Roman"/>
        </w:rPr>
        <w:t xml:space="preserve"> LAZZARINI, Sérgio. </w:t>
      </w:r>
      <w:r w:rsidRPr="00304E4C">
        <w:rPr>
          <w:rFonts w:ascii="Times New Roman" w:hAnsi="Times New Roman"/>
          <w:i/>
        </w:rPr>
        <w:t xml:space="preserve">Capitalismo de Laços... </w:t>
      </w:r>
      <w:r w:rsidRPr="00304E4C">
        <w:rPr>
          <w:rFonts w:ascii="Times New Roman" w:hAnsi="Times New Roman"/>
        </w:rPr>
        <w:t>Op. cit., p. 69</w:t>
      </w:r>
      <w:r w:rsidRPr="00304E4C">
        <w:rPr>
          <w:rFonts w:ascii="Times New Roman" w:hAnsi="Times New Roman"/>
          <w:i/>
        </w:rPr>
        <w:t>.</w:t>
      </w:r>
    </w:p>
  </w:footnote>
  <w:footnote w:id="314">
    <w:p w:rsidR="00DD31B9" w:rsidRPr="00512E58" w:rsidRDefault="00DD31B9">
      <w:pPr>
        <w:pStyle w:val="Textodenotaderodap"/>
        <w:rPr>
          <w:rFonts w:ascii="Times New Roman" w:hAnsi="Times New Roman"/>
        </w:rPr>
      </w:pPr>
      <w:r w:rsidRPr="00512E58">
        <w:rPr>
          <w:rStyle w:val="Refdenotaderodap"/>
          <w:rFonts w:ascii="Times New Roman" w:hAnsi="Times New Roman"/>
        </w:rPr>
        <w:footnoteRef/>
      </w:r>
      <w:r w:rsidRPr="00512E58">
        <w:rPr>
          <w:rFonts w:ascii="Times New Roman" w:hAnsi="Times New Roman"/>
        </w:rPr>
        <w:t xml:space="preserve">  Em ALMEIDA, Rodrigo. </w:t>
      </w:r>
      <w:r w:rsidRPr="00512E58">
        <w:rPr>
          <w:rFonts w:ascii="Times New Roman" w:hAnsi="Times New Roman"/>
          <w:i/>
        </w:rPr>
        <w:t>Caixa 1 dos interesses</w:t>
      </w:r>
      <w:r w:rsidRPr="00512E58">
        <w:rPr>
          <w:rFonts w:ascii="Times New Roman" w:hAnsi="Times New Roman"/>
        </w:rPr>
        <w:t>. Revista Inteligência. Nº36, Ano IX, 1º Trimestre de 2007, encontra</w:t>
      </w:r>
      <w:r>
        <w:rPr>
          <w:rFonts w:ascii="Times New Roman" w:hAnsi="Times New Roman"/>
        </w:rPr>
        <w:t>m</w:t>
      </w:r>
      <w:r w:rsidRPr="00512E58">
        <w:rPr>
          <w:rFonts w:ascii="Times New Roman" w:hAnsi="Times New Roman"/>
        </w:rPr>
        <w:t>-se tabulados o total de doações de recursos dos setores industriais, comerciais, de serviços e bancários às campanhas eleitorais de 2002 e 2006.</w:t>
      </w:r>
    </w:p>
  </w:footnote>
  <w:footnote w:id="315">
    <w:p w:rsidR="00DD31B9" w:rsidRPr="00721EDB" w:rsidRDefault="00DD31B9" w:rsidP="00FD610C">
      <w:pPr>
        <w:autoSpaceDE w:val="0"/>
        <w:autoSpaceDN w:val="0"/>
        <w:adjustRightInd w:val="0"/>
        <w:spacing w:after="0" w:line="240" w:lineRule="auto"/>
        <w:rPr>
          <w:rFonts w:ascii="Times New Roman" w:hAnsi="Times New Roman"/>
          <w:sz w:val="20"/>
          <w:szCs w:val="20"/>
        </w:rPr>
      </w:pPr>
      <w:r w:rsidRPr="00721EDB">
        <w:rPr>
          <w:rStyle w:val="Refdenotaderodap"/>
          <w:rFonts w:ascii="Times New Roman" w:hAnsi="Times New Roman"/>
          <w:sz w:val="20"/>
          <w:szCs w:val="20"/>
        </w:rPr>
        <w:footnoteRef/>
      </w:r>
      <w:r w:rsidRPr="00721EDB">
        <w:rPr>
          <w:rFonts w:ascii="Times New Roman" w:hAnsi="Times New Roman"/>
          <w:bCs/>
          <w:sz w:val="20"/>
          <w:szCs w:val="20"/>
        </w:rPr>
        <w:t xml:space="preserve">MOREIRA, João Paulo de Oliveira. </w:t>
      </w:r>
      <w:r w:rsidRPr="00721EDB">
        <w:rPr>
          <w:rFonts w:ascii="Times New Roman" w:hAnsi="Times New Roman"/>
          <w:bCs/>
          <w:i/>
          <w:sz w:val="20"/>
          <w:szCs w:val="20"/>
        </w:rPr>
        <w:t>O empresariado siderúrgico organiza suas demandas</w:t>
      </w:r>
      <w:r w:rsidRPr="00721EDB">
        <w:rPr>
          <w:rFonts w:ascii="Times New Roman" w:hAnsi="Times New Roman"/>
          <w:bCs/>
          <w:sz w:val="20"/>
          <w:szCs w:val="20"/>
        </w:rPr>
        <w:t>: O Instituto Brasileiro de Siderurgia (IBS) como Aparelho Privado de Hegemonia (1976-1988). Anais do VII Simpósio Nacional Estado e Poder: Sociedade Civil. Uberlândia, 2012. Disponível em &lt;http://www.historia.uff.br/estadoepoder/7snep/docs/067.pdf&gt;. Acesso em 31/10/2013.</w:t>
      </w:r>
    </w:p>
  </w:footnote>
  <w:footnote w:id="316">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Situação compartilhada entre Oded Grajew, Antoninho Trevisa</w:t>
      </w:r>
      <w:r>
        <w:rPr>
          <w:rFonts w:ascii="Times New Roman" w:hAnsi="Times New Roman"/>
        </w:rPr>
        <w:t>n</w:t>
      </w:r>
      <w:r w:rsidRPr="00FD610C">
        <w:rPr>
          <w:rFonts w:ascii="Times New Roman" w:hAnsi="Times New Roman"/>
        </w:rPr>
        <w:t>, José Carlos Bumlai e Ivo Rosset.</w:t>
      </w:r>
    </w:p>
  </w:footnote>
  <w:footnote w:id="317">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Extraídode&lt;http://saladeimprensa.ibge.gov.br/noticias?view=noticia&amp;id=1&amp;busca=1&amp;idnoticia=265&gt;.</w:t>
      </w:r>
      <w:r>
        <w:rPr>
          <w:rFonts w:ascii="Times New Roman" w:hAnsi="Times New Roman"/>
        </w:rPr>
        <w:t xml:space="preserve"> Resultados das Contas Nacionais para o ano de 2003 publicados em 30 de novembro de 2004.</w:t>
      </w:r>
    </w:p>
  </w:footnote>
  <w:footnote w:id="318">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FILGUEIRAS, Luiz Antonio; PINHEIRO, Bruno. PHILIGRET, Celeste. e BALANCO, Paulo. Modelo Liberal-Periférico e bloco de poder: política e dinâmica macroeconômica nos governos Lula. In: </w:t>
      </w:r>
      <w:r w:rsidRPr="00FD610C">
        <w:rPr>
          <w:rFonts w:ascii="Times New Roman" w:hAnsi="Times New Roman"/>
          <w:i/>
        </w:rPr>
        <w:t>Os anos Lula</w:t>
      </w:r>
      <w:r w:rsidRPr="00FD610C">
        <w:rPr>
          <w:rFonts w:ascii="Times New Roman" w:hAnsi="Times New Roman"/>
        </w:rPr>
        <w:t>: contribuições para um balanço crítico 2003-2010. RJ: Garamond, 2010, p. 49.</w:t>
      </w:r>
    </w:p>
  </w:footnote>
  <w:footnote w:id="319">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GONÇALVES, Reinaldo. </w:t>
      </w:r>
      <w:r w:rsidRPr="00FD610C">
        <w:rPr>
          <w:rFonts w:ascii="Times New Roman" w:hAnsi="Times New Roman"/>
          <w:i/>
        </w:rPr>
        <w:t>Desenvolvimento às avessas</w:t>
      </w:r>
      <w:r w:rsidRPr="00FD610C">
        <w:rPr>
          <w:rFonts w:ascii="Times New Roman" w:hAnsi="Times New Roman"/>
        </w:rPr>
        <w:t>: verdade, má-fé e ilusão no atual modelo brasileiro de desenvolvimento: RJ: LTC, 2013, p. 105-106.</w:t>
      </w:r>
    </w:p>
  </w:footnote>
  <w:footnote w:id="320">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Idem, p. 107.</w:t>
      </w:r>
    </w:p>
  </w:footnote>
  <w:footnote w:id="321">
    <w:p w:rsidR="00DD31B9" w:rsidRPr="006E3865" w:rsidRDefault="00DD31B9">
      <w:pPr>
        <w:pStyle w:val="Textodenotaderodap"/>
        <w:rPr>
          <w:rFonts w:ascii="Times New Roman" w:hAnsi="Times New Roman"/>
        </w:rPr>
      </w:pPr>
      <w:r w:rsidRPr="006E3865">
        <w:rPr>
          <w:rStyle w:val="Refdenotaderodap"/>
          <w:rFonts w:ascii="Times New Roman" w:hAnsi="Times New Roman"/>
        </w:rPr>
        <w:footnoteRef/>
      </w:r>
      <w:r>
        <w:rPr>
          <w:rFonts w:ascii="Times New Roman" w:hAnsi="Times New Roman"/>
        </w:rPr>
        <w:t>Disponível em &lt;</w:t>
      </w:r>
      <w:r w:rsidRPr="006E3865">
        <w:rPr>
          <w:rFonts w:ascii="Times New Roman" w:hAnsi="Times New Roman"/>
        </w:rPr>
        <w:t>http://www.planalto.gov.br/ccivil_03/constituicao/constituicao.htm</w:t>
      </w:r>
      <w:r>
        <w:rPr>
          <w:rFonts w:ascii="Times New Roman" w:hAnsi="Times New Roman"/>
        </w:rPr>
        <w:t>.&gt;. Acesso 01/02/2015.</w:t>
      </w:r>
    </w:p>
  </w:footnote>
  <w:footnote w:id="322">
    <w:p w:rsidR="00DD31B9" w:rsidRPr="00DB3842" w:rsidRDefault="00DD31B9">
      <w:pPr>
        <w:pStyle w:val="Textodenotaderodap"/>
        <w:rPr>
          <w:rFonts w:ascii="Times New Roman" w:hAnsi="Times New Roman"/>
        </w:rPr>
      </w:pPr>
      <w:r w:rsidRPr="00A67363">
        <w:rPr>
          <w:rStyle w:val="Refdenotaderodap"/>
          <w:rFonts w:ascii="Times New Roman" w:hAnsi="Times New Roman"/>
        </w:rPr>
        <w:footnoteRef/>
      </w:r>
      <w:r w:rsidRPr="00A67363">
        <w:rPr>
          <w:rFonts w:ascii="Times New Roman" w:hAnsi="Times New Roman"/>
        </w:rPr>
        <w:t xml:space="preserve"> Com esta revogação a jurisprudência aceita a recepção do </w:t>
      </w:r>
      <w:r w:rsidRPr="00A67363">
        <w:rPr>
          <w:rFonts w:ascii="Times New Roman" w:hAnsi="Times New Roman"/>
          <w:color w:val="000000"/>
          <w:shd w:val="clear" w:color="auto" w:fill="FFFFFF"/>
        </w:rPr>
        <w:t>o Decreto-lei nº 2.627, de 26 de setembro de 1940, que estabelece no seu artigo 60: “São nacionais as sociedades organizadas na conformidade da lei brasileira e que têm no País a sede de sua administração</w:t>
      </w:r>
      <w:r>
        <w:rPr>
          <w:rFonts w:ascii="Times New Roman" w:hAnsi="Times New Roman"/>
          <w:color w:val="000000"/>
          <w:shd w:val="clear" w:color="auto" w:fill="FFFFFF"/>
        </w:rPr>
        <w:t>”.</w:t>
      </w:r>
      <w:r w:rsidRPr="00A67363">
        <w:rPr>
          <w:rStyle w:val="apple-converted-space"/>
          <w:rFonts w:ascii="Times New Roman" w:hAnsi="Times New Roman"/>
          <w:color w:val="000000"/>
          <w:shd w:val="clear" w:color="auto" w:fill="FFFFFF"/>
        </w:rPr>
        <w:t> </w:t>
      </w:r>
    </w:p>
  </w:footnote>
  <w:footnote w:id="323">
    <w:p w:rsidR="00DD31B9" w:rsidRPr="00DB3842" w:rsidRDefault="00DD31B9">
      <w:pPr>
        <w:pStyle w:val="Textodenotaderodap"/>
        <w:rPr>
          <w:rFonts w:ascii="Times New Roman" w:hAnsi="Times New Roman"/>
        </w:rPr>
      </w:pPr>
      <w:r w:rsidRPr="00DB3842">
        <w:rPr>
          <w:rStyle w:val="Refdenotaderodap"/>
          <w:rFonts w:ascii="Times New Roman" w:hAnsi="Times New Roman"/>
        </w:rPr>
        <w:footnoteRef/>
      </w:r>
      <w:r w:rsidRPr="00DB3842">
        <w:rPr>
          <w:rFonts w:ascii="Times New Roman" w:hAnsi="Times New Roman"/>
        </w:rPr>
        <w:t xml:space="preserve"> Disponível em &lt;</w:t>
      </w:r>
      <w:hyperlink r:id="rId10" w:history="1">
        <w:r w:rsidRPr="00DB3842">
          <w:rPr>
            <w:rStyle w:val="Hyperlink"/>
            <w:rFonts w:ascii="Times New Roman" w:hAnsi="Times New Roman"/>
            <w:color w:val="auto"/>
          </w:rPr>
          <w:t>http://www.ambito-juridico.com.br/site/index.php?n_link=revista_artigos_</w:t>
        </w:r>
      </w:hyperlink>
    </w:p>
    <w:p w:rsidR="00DD31B9" w:rsidRPr="00DB3842" w:rsidRDefault="00DD31B9">
      <w:pPr>
        <w:pStyle w:val="Textodenotaderodap"/>
        <w:rPr>
          <w:rFonts w:ascii="Times New Roman" w:hAnsi="Times New Roman"/>
        </w:rPr>
      </w:pPr>
      <w:r w:rsidRPr="00DB3842">
        <w:rPr>
          <w:rFonts w:ascii="Times New Roman" w:hAnsi="Times New Roman"/>
        </w:rPr>
        <w:t>leitura&amp;artigo_id=4718</w:t>
      </w:r>
      <w:r>
        <w:rPr>
          <w:rFonts w:ascii="Times New Roman" w:hAnsi="Times New Roman"/>
        </w:rPr>
        <w:t>&gt;. Acesso 05/03/2015.</w:t>
      </w:r>
    </w:p>
  </w:footnote>
  <w:footnote w:id="324">
    <w:p w:rsidR="00DD31B9" w:rsidRPr="004D629A" w:rsidRDefault="00DD31B9">
      <w:pPr>
        <w:pStyle w:val="Textodenotaderodap"/>
        <w:rPr>
          <w:rFonts w:ascii="Times New Roman" w:hAnsi="Times New Roman"/>
        </w:rPr>
      </w:pPr>
      <w:r w:rsidRPr="004D629A">
        <w:rPr>
          <w:rStyle w:val="Refdenotaderodap"/>
          <w:rFonts w:ascii="Times New Roman" w:hAnsi="Times New Roman"/>
        </w:rPr>
        <w:footnoteRef/>
      </w:r>
      <w:r>
        <w:rPr>
          <w:rFonts w:ascii="Times New Roman" w:hAnsi="Times New Roman"/>
        </w:rPr>
        <w:t>As aspas em “empresas brasileiras” procuram dispensar possíveis interpretações nacionalistas quanto à “virtude” de seus capitais e de seus interesses e, por tabela, quanto ao projeto político que defendem.</w:t>
      </w:r>
    </w:p>
  </w:footnote>
  <w:footnote w:id="325">
    <w:p w:rsidR="00DD31B9" w:rsidRPr="00164AD6" w:rsidRDefault="00DD31B9">
      <w:pPr>
        <w:pStyle w:val="Textodenotaderodap"/>
        <w:rPr>
          <w:rFonts w:ascii="Times New Roman" w:hAnsi="Times New Roman"/>
        </w:rPr>
      </w:pPr>
      <w:r w:rsidRPr="00164AD6">
        <w:rPr>
          <w:rStyle w:val="Refdenotaderodap"/>
          <w:rFonts w:ascii="Times New Roman" w:hAnsi="Times New Roman"/>
        </w:rPr>
        <w:footnoteRef/>
      </w:r>
      <w:r w:rsidRPr="00164AD6">
        <w:rPr>
          <w:rFonts w:ascii="Times New Roman" w:hAnsi="Times New Roman"/>
        </w:rPr>
        <w:t xml:space="preserve"> As empresas estrangeiras representadas no CDES foram:Grupo Alcoa Inc., Grupo Santander Brasil; Grupo Telefônica do Brasil; Citibank Brasil; Ford Motor Company Brasil; Dufry do Brasil; Nestlé do Brasil; Mercedes-Bens do Brasil; Siemens do Brasil; CPM Bráxis Capgemini; Grupo Fiat, Price Watherhouse Coopers-Brasil; BNP Paribas Asset Management Brasil;  Fiat do Brasil.</w:t>
      </w:r>
    </w:p>
  </w:footnote>
  <w:footnote w:id="326">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Retirado de &lt;http://www.mst.org.br/taxonomy/term/510&gt;. Acesso 19/09/2013. Em nossa pesquisa, deparamo-nos, algumas vezes, com situações em que “lideranças de ilibada conduta” – critério plasmado na lei 10.683/03 para pertencer à plenária do CDES – são acusadas de fraudes, desvios e abuso de poder, crime de colarinho branco, dentre outras irregularidades. A pesquisa não se vocaciona ao trato da pequena política (“a política do dia-a-dia, política parlamentar, de corredor, de intrigas”, no dizer de Gramsci), mas é bastante revelador e impressionante o pragmatismo assumido pelos dirigentes petistas em sua aliança com setores da grande burguesia brasileira.  </w:t>
      </w:r>
    </w:p>
  </w:footnote>
  <w:footnote w:id="327">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SECC</w:t>
      </w:r>
      <w:r>
        <w:rPr>
          <w:rFonts w:ascii="Times New Roman" w:hAnsi="Times New Roman"/>
        </w:rPr>
        <w:t xml:space="preserve">O, Alexandre e PATURY, Felipe. </w:t>
      </w:r>
      <w:r w:rsidRPr="00FD610C">
        <w:rPr>
          <w:rFonts w:ascii="Times New Roman" w:hAnsi="Times New Roman"/>
        </w:rPr>
        <w:t xml:space="preserve">O campeão mundial do suco de laranja. </w:t>
      </w:r>
      <w:r w:rsidRPr="00C95DB5">
        <w:rPr>
          <w:rFonts w:ascii="Times New Roman" w:hAnsi="Times New Roman"/>
          <w:i/>
        </w:rPr>
        <w:t>Revista Veja</w:t>
      </w:r>
      <w:r w:rsidRPr="00FD610C">
        <w:rPr>
          <w:rFonts w:ascii="Times New Roman" w:hAnsi="Times New Roman"/>
        </w:rPr>
        <w:t>, Ed. 1802, 14/05/2003. Retirado de &lt; http://veja.abril.com.br/140503/p_038.html&gt;. Acesso em 19/09/2013.</w:t>
      </w:r>
    </w:p>
  </w:footnote>
  <w:footnote w:id="328">
    <w:p w:rsidR="00DD31B9" w:rsidRDefault="00DD31B9">
      <w:pPr>
        <w:pStyle w:val="Textodenotaderodap"/>
      </w:pPr>
      <w:r w:rsidRPr="004E4884">
        <w:rPr>
          <w:rStyle w:val="Refdenotaderodap"/>
          <w:rFonts w:ascii="Times New Roman" w:hAnsi="Times New Roman"/>
        </w:rPr>
        <w:footnoteRef/>
      </w:r>
      <w:r w:rsidRPr="004E4884">
        <w:rPr>
          <w:rFonts w:ascii="Times New Roman" w:hAnsi="Times New Roman"/>
        </w:rPr>
        <w:t xml:space="preserve"> Os empresários no CDES que participavam da ABDI eram Daniel Feffer, Olavo Machado Jr. e Rodrigo Loures</w:t>
      </w:r>
      <w:r>
        <w:t>.</w:t>
      </w:r>
    </w:p>
  </w:footnote>
  <w:footnote w:id="329">
    <w:p w:rsidR="00DD31B9" w:rsidRPr="009F7B48" w:rsidRDefault="00DD31B9">
      <w:pPr>
        <w:pStyle w:val="Textodenotaderodap"/>
        <w:rPr>
          <w:rFonts w:ascii="Times New Roman" w:hAnsi="Times New Roman"/>
        </w:rPr>
      </w:pPr>
      <w:r w:rsidRPr="009F7B48">
        <w:rPr>
          <w:rStyle w:val="Refdenotaderodap"/>
          <w:rFonts w:ascii="Times New Roman" w:hAnsi="Times New Roman"/>
        </w:rPr>
        <w:footnoteRef/>
      </w:r>
      <w:r w:rsidRPr="004538C7">
        <w:rPr>
          <w:rFonts w:ascii="Times New Roman" w:hAnsi="Times New Roman"/>
        </w:rPr>
        <w:t xml:space="preserve">GARCIA, Ronaldo C. O CDES e a construção da Agenda Nacional de Desenvolvimento: um relato </w:t>
      </w:r>
      <w:r>
        <w:rPr>
          <w:rFonts w:ascii="Times New Roman" w:hAnsi="Times New Roman"/>
        </w:rPr>
        <w:t>particular... Op. cit., p. 46.</w:t>
      </w:r>
    </w:p>
  </w:footnote>
  <w:footnote w:id="330">
    <w:p w:rsidR="00DD31B9" w:rsidRPr="00AA039C" w:rsidRDefault="00DD31B9" w:rsidP="00F22A11">
      <w:pPr>
        <w:autoSpaceDE w:val="0"/>
        <w:autoSpaceDN w:val="0"/>
        <w:adjustRightInd w:val="0"/>
        <w:spacing w:after="0" w:line="240" w:lineRule="auto"/>
        <w:rPr>
          <w:rFonts w:ascii="Times New Roman" w:hAnsi="Times New Roman"/>
          <w:sz w:val="20"/>
          <w:szCs w:val="20"/>
          <w:lang w:eastAsia="pt-BR"/>
        </w:rPr>
      </w:pPr>
      <w:r w:rsidRPr="00AA039C">
        <w:rPr>
          <w:rStyle w:val="Refdenotaderodap"/>
          <w:rFonts w:ascii="Times New Roman" w:hAnsi="Times New Roman"/>
          <w:sz w:val="20"/>
          <w:szCs w:val="20"/>
        </w:rPr>
        <w:footnoteRef/>
      </w:r>
      <w:r w:rsidRPr="00AA039C">
        <w:rPr>
          <w:rFonts w:ascii="Times New Roman" w:hAnsi="Times New Roman"/>
          <w:sz w:val="20"/>
          <w:szCs w:val="20"/>
          <w:lang w:eastAsia="pt-BR"/>
        </w:rPr>
        <w:t xml:space="preserve">Tiveram assento no CNDI os seguintes </w:t>
      </w:r>
      <w:r w:rsidRPr="00527F77">
        <w:rPr>
          <w:rFonts w:ascii="Times New Roman" w:hAnsi="Times New Roman"/>
          <w:i/>
          <w:sz w:val="20"/>
          <w:szCs w:val="20"/>
          <w:lang w:eastAsia="pt-BR"/>
        </w:rPr>
        <w:t>empresários d</w:t>
      </w:r>
      <w:r w:rsidRPr="00AA039C">
        <w:rPr>
          <w:rFonts w:ascii="Times New Roman" w:hAnsi="Times New Roman"/>
          <w:sz w:val="20"/>
          <w:szCs w:val="20"/>
          <w:lang w:eastAsia="pt-BR"/>
        </w:rPr>
        <w:t xml:space="preserve">o CDES: Ivo Rosset, Amarildo Macedo, Jorge Gerdau, Maurício Botelho, Eugenio Staub, Luiz Carlos Delben, Miguel Jorge, Paulo Godoy. Do setor da </w:t>
      </w:r>
      <w:r w:rsidRPr="00527F77">
        <w:rPr>
          <w:rFonts w:ascii="Times New Roman" w:hAnsi="Times New Roman"/>
          <w:i/>
          <w:sz w:val="20"/>
          <w:szCs w:val="20"/>
          <w:lang w:eastAsia="pt-BR"/>
        </w:rPr>
        <w:t>burocracia sindical</w:t>
      </w:r>
      <w:r>
        <w:rPr>
          <w:rFonts w:ascii="Times New Roman" w:hAnsi="Times New Roman"/>
          <w:sz w:val="20"/>
          <w:szCs w:val="20"/>
          <w:lang w:eastAsia="pt-BR"/>
        </w:rPr>
        <w:t xml:space="preserve"> comparecia</w:t>
      </w:r>
      <w:r w:rsidRPr="00AA039C">
        <w:rPr>
          <w:rFonts w:ascii="Times New Roman" w:hAnsi="Times New Roman"/>
          <w:sz w:val="20"/>
          <w:szCs w:val="20"/>
          <w:lang w:eastAsia="pt-BR"/>
        </w:rPr>
        <w:t>m Antonio Neto</w:t>
      </w:r>
      <w:r>
        <w:rPr>
          <w:rFonts w:ascii="Times New Roman" w:hAnsi="Times New Roman"/>
          <w:sz w:val="20"/>
          <w:szCs w:val="20"/>
          <w:lang w:eastAsia="pt-BR"/>
        </w:rPr>
        <w:t xml:space="preserve"> (CGTB)</w:t>
      </w:r>
      <w:r w:rsidRPr="00AA039C">
        <w:rPr>
          <w:rFonts w:ascii="Times New Roman" w:hAnsi="Times New Roman"/>
          <w:sz w:val="20"/>
          <w:szCs w:val="20"/>
          <w:lang w:eastAsia="pt-BR"/>
        </w:rPr>
        <w:t xml:space="preserve"> e Luiz Marinho</w:t>
      </w:r>
      <w:r>
        <w:rPr>
          <w:rFonts w:ascii="Times New Roman" w:hAnsi="Times New Roman"/>
          <w:sz w:val="20"/>
          <w:szCs w:val="20"/>
          <w:lang w:eastAsia="pt-BR"/>
        </w:rPr>
        <w:t xml:space="preserve"> (CUT)</w:t>
      </w:r>
      <w:r w:rsidRPr="00AA039C">
        <w:rPr>
          <w:rFonts w:ascii="Times New Roman" w:hAnsi="Times New Roman"/>
          <w:sz w:val="20"/>
          <w:szCs w:val="20"/>
          <w:lang w:eastAsia="pt-BR"/>
        </w:rPr>
        <w:t>.</w:t>
      </w:r>
      <w:r>
        <w:rPr>
          <w:rFonts w:ascii="Times New Roman" w:hAnsi="Times New Roman"/>
          <w:sz w:val="20"/>
          <w:szCs w:val="20"/>
          <w:lang w:eastAsia="pt-BR"/>
        </w:rPr>
        <w:t xml:space="preserve"> Os </w:t>
      </w:r>
      <w:r w:rsidRPr="00F22A11">
        <w:rPr>
          <w:rFonts w:ascii="Times New Roman" w:hAnsi="Times New Roman"/>
          <w:i/>
          <w:sz w:val="20"/>
          <w:szCs w:val="20"/>
          <w:lang w:eastAsia="pt-BR"/>
        </w:rPr>
        <w:t>ministros</w:t>
      </w:r>
      <w:r>
        <w:rPr>
          <w:rFonts w:ascii="Times New Roman" w:hAnsi="Times New Roman"/>
          <w:sz w:val="20"/>
          <w:szCs w:val="20"/>
          <w:lang w:eastAsia="pt-BR"/>
        </w:rPr>
        <w:t xml:space="preserve"> que participavam nos dois órgãos eram: </w:t>
      </w:r>
      <w:r w:rsidRPr="00F22A11">
        <w:rPr>
          <w:rFonts w:ascii="Times New Roman" w:hAnsi="Times New Roman"/>
          <w:sz w:val="20"/>
          <w:szCs w:val="20"/>
          <w:lang w:eastAsia="pt-BR"/>
        </w:rPr>
        <w:t>Dilma Roussef, José Dirceu,Fernando Furlan, Paulo Bernardo, Celso Amorim, Henrique Meirelles e Ricardo Berzoini</w:t>
      </w:r>
      <w:r>
        <w:rPr>
          <w:rFonts w:ascii="Times New Roman" w:hAnsi="Times New Roman"/>
          <w:sz w:val="20"/>
          <w:szCs w:val="20"/>
          <w:lang w:eastAsia="pt-BR"/>
        </w:rPr>
        <w:t>.</w:t>
      </w:r>
    </w:p>
  </w:footnote>
  <w:footnote w:id="331">
    <w:p w:rsidR="00DD31B9" w:rsidRPr="00AA039C" w:rsidRDefault="00DD31B9">
      <w:pPr>
        <w:pStyle w:val="Textodenotaderodap"/>
        <w:rPr>
          <w:rFonts w:ascii="Times New Roman" w:hAnsi="Times New Roman"/>
        </w:rPr>
      </w:pPr>
      <w:r w:rsidRPr="00AA039C">
        <w:rPr>
          <w:rStyle w:val="Refdenotaderodap"/>
          <w:rFonts w:ascii="Times New Roman" w:hAnsi="Times New Roman"/>
        </w:rPr>
        <w:footnoteRef/>
      </w:r>
      <w:r>
        <w:rPr>
          <w:rFonts w:ascii="Times New Roman" w:hAnsi="Times New Roman"/>
        </w:rPr>
        <w:t>Disponível em &lt;</w:t>
      </w:r>
      <w:r w:rsidRPr="00AA039C">
        <w:rPr>
          <w:rFonts w:ascii="Times New Roman" w:hAnsi="Times New Roman"/>
        </w:rPr>
        <w:t>http://www.planalto.gov.br/ccivil_03/_Ato2004-2006/2004/Lei/L11080.htm</w:t>
      </w:r>
      <w:r>
        <w:rPr>
          <w:rFonts w:ascii="Times New Roman" w:hAnsi="Times New Roman"/>
        </w:rPr>
        <w:t>&gt;. Acesso 03/03/2015.</w:t>
      </w:r>
    </w:p>
  </w:footnote>
  <w:footnote w:id="332">
    <w:p w:rsidR="00DD31B9" w:rsidRPr="00C508CB" w:rsidRDefault="00DD31B9">
      <w:pPr>
        <w:pStyle w:val="Textodenotaderodap"/>
        <w:rPr>
          <w:rFonts w:ascii="Times New Roman" w:hAnsi="Times New Roman"/>
        </w:rPr>
      </w:pPr>
      <w:r w:rsidRPr="00C508CB">
        <w:rPr>
          <w:rStyle w:val="Refdenotaderodap"/>
          <w:rFonts w:ascii="Times New Roman" w:hAnsi="Times New Roman"/>
        </w:rPr>
        <w:footnoteRef/>
      </w:r>
      <w:r w:rsidRPr="00DE52F6">
        <w:rPr>
          <w:rFonts w:ascii="Times New Roman" w:hAnsi="Times New Roman"/>
        </w:rPr>
        <w:t xml:space="preserve">DE TONI, Jackson. </w:t>
      </w:r>
      <w:r w:rsidRPr="00DE52F6">
        <w:rPr>
          <w:rFonts w:ascii="Times New Roman" w:hAnsi="Times New Roman"/>
          <w:i/>
        </w:rPr>
        <w:t>Novos arranjos institucionais na política industrial do governo LULA</w:t>
      </w:r>
      <w:r>
        <w:rPr>
          <w:rFonts w:ascii="Times New Roman" w:hAnsi="Times New Roman"/>
        </w:rPr>
        <w:t>... Op. cit, p. 264.</w:t>
      </w:r>
    </w:p>
  </w:footnote>
  <w:footnote w:id="333">
    <w:p w:rsidR="00DD31B9" w:rsidRPr="00527F77" w:rsidRDefault="00DD31B9">
      <w:pPr>
        <w:pStyle w:val="Textodenotaderodap"/>
        <w:rPr>
          <w:rFonts w:ascii="Times New Roman" w:hAnsi="Times New Roman"/>
        </w:rPr>
      </w:pPr>
      <w:r w:rsidRPr="00527F77">
        <w:rPr>
          <w:rStyle w:val="Refdenotaderodap"/>
          <w:rFonts w:ascii="Times New Roman" w:hAnsi="Times New Roman"/>
        </w:rPr>
        <w:footnoteRef/>
      </w:r>
      <w:r w:rsidRPr="00527F77">
        <w:rPr>
          <w:rFonts w:ascii="Times New Roman" w:hAnsi="Times New Roman"/>
        </w:rPr>
        <w:t xml:space="preserve"> Idem, p. 185.</w:t>
      </w:r>
    </w:p>
  </w:footnote>
  <w:footnote w:id="334">
    <w:p w:rsidR="00DD31B9" w:rsidRPr="007676D0" w:rsidRDefault="00DD31B9">
      <w:pPr>
        <w:pStyle w:val="Textodenotaderodap"/>
        <w:rPr>
          <w:rFonts w:ascii="Times New Roman" w:hAnsi="Times New Roman"/>
        </w:rPr>
      </w:pPr>
      <w:r w:rsidRPr="007676D0">
        <w:rPr>
          <w:rStyle w:val="Refdenotaderodap"/>
          <w:rFonts w:ascii="Times New Roman" w:hAnsi="Times New Roman"/>
        </w:rPr>
        <w:footnoteRef/>
      </w:r>
      <w:r>
        <w:rPr>
          <w:rFonts w:ascii="Times New Roman" w:hAnsi="Times New Roman"/>
        </w:rPr>
        <w:t>Idem, p. 256.</w:t>
      </w:r>
    </w:p>
  </w:footnote>
  <w:footnote w:id="335">
    <w:p w:rsidR="00DD31B9" w:rsidRPr="00D93CBD" w:rsidRDefault="00DD31B9">
      <w:pPr>
        <w:pStyle w:val="Textodenotaderodap"/>
        <w:rPr>
          <w:rFonts w:ascii="Times New Roman" w:hAnsi="Times New Roman"/>
        </w:rPr>
      </w:pPr>
      <w:r w:rsidRPr="00D93CBD">
        <w:rPr>
          <w:rStyle w:val="Refdenotaderodap"/>
          <w:rFonts w:ascii="Times New Roman" w:hAnsi="Times New Roman"/>
        </w:rPr>
        <w:footnoteRef/>
      </w:r>
      <w:r w:rsidRPr="00D93CBD">
        <w:rPr>
          <w:rFonts w:ascii="Times New Roman" w:hAnsi="Times New Roman"/>
        </w:rPr>
        <w:t xml:space="preserve"> Eram eles, em 2005: Armando Monteiro Neto, Marcelo Odebrecht, Maurício Botelho, Roger Agnelli. Em 2008: Antonio Gil, Armando Monteiro Neto, Luiz Aubert Neto, Marcos Jank, Marcelo Odebrecht, </w:t>
      </w:r>
      <w:r w:rsidRPr="00D93CBD">
        <w:rPr>
          <w:rFonts w:ascii="Times New Roman" w:hAnsi="Times New Roman"/>
        </w:rPr>
        <w:br/>
        <w:t>Roger Agnelli. Em 2010 (re)assumem: Marcos Jank, Cledorvino Bellini, Marcelo Odebrecht, Robson Braga de Andrade, Paulo Godoy, Roger Agnelli.  Disponível em &lt;</w:t>
      </w:r>
      <w:hyperlink r:id="rId11" w:history="1">
        <w:r w:rsidRPr="00D93CBD">
          <w:rPr>
            <w:rStyle w:val="Hyperlink"/>
            <w:rFonts w:ascii="Times New Roman" w:hAnsi="Times New Roman"/>
            <w:color w:val="auto"/>
            <w:u w:val="none"/>
          </w:rPr>
          <w:t>http://www.camex.gov.br/legislacao/ interna/id/700</w:t>
        </w:r>
      </w:hyperlink>
      <w:r w:rsidRPr="00D93CBD">
        <w:rPr>
          <w:rFonts w:ascii="Times New Roman" w:hAnsi="Times New Roman"/>
        </w:rPr>
        <w:t>&gt; e &lt;http://www.desenvolvimento.gov.br/arquivo/legislacao/rescamex/2005/rescamex035-05.pdf&gt;. Acesso em 04/03/2015.</w:t>
      </w:r>
    </w:p>
  </w:footnote>
  <w:footnote w:id="336">
    <w:p w:rsidR="00DD31B9" w:rsidRPr="00166AD9" w:rsidRDefault="00DD31B9">
      <w:pPr>
        <w:pStyle w:val="Textodenotaderodap"/>
        <w:rPr>
          <w:rFonts w:ascii="Times New Roman" w:hAnsi="Times New Roman"/>
        </w:rPr>
      </w:pPr>
      <w:r w:rsidRPr="00166AD9">
        <w:rPr>
          <w:rStyle w:val="Refdenotaderodap"/>
          <w:rFonts w:ascii="Times New Roman" w:hAnsi="Times New Roman"/>
        </w:rPr>
        <w:footnoteRef/>
      </w:r>
      <w:r w:rsidRPr="00166AD9">
        <w:rPr>
          <w:rFonts w:ascii="Times New Roman" w:hAnsi="Times New Roman"/>
        </w:rPr>
        <w:t xml:space="preserve"> No Anexo </w:t>
      </w:r>
      <w:r>
        <w:rPr>
          <w:rFonts w:ascii="Times New Roman" w:hAnsi="Times New Roman"/>
        </w:rPr>
        <w:t xml:space="preserve">A </w:t>
      </w:r>
      <w:r w:rsidRPr="00166AD9">
        <w:rPr>
          <w:rFonts w:ascii="Times New Roman" w:hAnsi="Times New Roman"/>
        </w:rPr>
        <w:t>consta o quadro “Vinculações dos Conselheiros-Empresários com os demais órgãos da Sociedade Política</w:t>
      </w:r>
      <w:r>
        <w:rPr>
          <w:rFonts w:ascii="Times New Roman" w:hAnsi="Times New Roman"/>
        </w:rPr>
        <w:t>”, o qual mostra a vinculação nominal de cada conselheiros-empresários com as agências da sociedade política.</w:t>
      </w:r>
    </w:p>
  </w:footnote>
  <w:footnote w:id="337">
    <w:p w:rsidR="00DD31B9" w:rsidRPr="00FD610C" w:rsidRDefault="00DD31B9" w:rsidP="00FD610C">
      <w:pPr>
        <w:tabs>
          <w:tab w:val="left" w:pos="2418"/>
        </w:tabs>
        <w:spacing w:after="0" w:line="240" w:lineRule="auto"/>
        <w:rPr>
          <w:rFonts w:ascii="Times New Roman" w:hAnsi="Times New Roman"/>
        </w:rPr>
      </w:pPr>
      <w:r w:rsidRPr="00FD610C">
        <w:rPr>
          <w:rStyle w:val="Refdenotaderodap"/>
          <w:rFonts w:ascii="Times New Roman" w:hAnsi="Times New Roman"/>
          <w:sz w:val="20"/>
          <w:szCs w:val="20"/>
        </w:rPr>
        <w:footnoteRef/>
      </w:r>
      <w:r w:rsidRPr="00FD610C">
        <w:rPr>
          <w:rFonts w:ascii="Times New Roman" w:hAnsi="Times New Roman"/>
          <w:sz w:val="20"/>
          <w:szCs w:val="20"/>
        </w:rPr>
        <w:t xml:space="preserve"> FONTES, Virgínia. Pela abertura do diálogo. In: IRLS-INSTITUTO ROSA LUXEMBURG SITFTUNG. (org.). </w:t>
      </w:r>
      <w:r w:rsidRPr="00FD610C">
        <w:rPr>
          <w:rFonts w:ascii="Times New Roman" w:hAnsi="Times New Roman"/>
          <w:i/>
          <w:sz w:val="20"/>
          <w:szCs w:val="20"/>
        </w:rPr>
        <w:t>Empresas transnacionais brasileiras na América Latina</w:t>
      </w:r>
      <w:r w:rsidRPr="00FD610C">
        <w:rPr>
          <w:rFonts w:ascii="Times New Roman" w:hAnsi="Times New Roman"/>
          <w:sz w:val="20"/>
          <w:szCs w:val="20"/>
        </w:rPr>
        <w:t>: um debate necessário. SP: Expressão Popular, 2009, p. 220.</w:t>
      </w:r>
    </w:p>
  </w:footnote>
  <w:footnote w:id="338">
    <w:p w:rsidR="00DD31B9" w:rsidRPr="00FD610C" w:rsidRDefault="00DD31B9" w:rsidP="00A4005E">
      <w:pPr>
        <w:pStyle w:val="Textodenotaderodap"/>
        <w:rPr>
          <w:rFonts w:ascii="Times New Roman" w:hAnsi="Times New Roman"/>
        </w:rPr>
      </w:pPr>
      <w:r w:rsidRPr="00FD610C">
        <w:rPr>
          <w:rStyle w:val="Refdenotaderodap"/>
          <w:rFonts w:ascii="Times New Roman" w:hAnsi="Times New Roman"/>
        </w:rPr>
        <w:footnoteRef/>
      </w:r>
      <w:r>
        <w:rPr>
          <w:rFonts w:ascii="Times New Roman" w:hAnsi="Times New Roman"/>
        </w:rPr>
        <w:t xml:space="preserve">FONTES, Virgínia. </w:t>
      </w:r>
      <w:r w:rsidRPr="00FD610C">
        <w:rPr>
          <w:rFonts w:ascii="Times New Roman" w:hAnsi="Times New Roman"/>
        </w:rPr>
        <w:t xml:space="preserve">Capitalismo, luta de classes e democracia no Brasil contemporâneo. In: SILVA, Carla Luciana; CALIL, Gilberto Grassi &amp; SILVA, Marcio Antonio Both. </w:t>
      </w:r>
      <w:r w:rsidRPr="00FD610C">
        <w:rPr>
          <w:rFonts w:ascii="Times New Roman" w:hAnsi="Times New Roman"/>
          <w:i/>
        </w:rPr>
        <w:t>Ditaduras e democracias</w:t>
      </w:r>
      <w:r w:rsidRPr="00FD610C">
        <w:rPr>
          <w:rFonts w:ascii="Times New Roman" w:hAnsi="Times New Roman"/>
        </w:rPr>
        <w:t>: estudos sobre poder, hegemonia e regimes políticos no Brasil (1945-2014). Porto Alegre: FCM Editora, 2014</w:t>
      </w:r>
      <w:r w:rsidRPr="00FD610C">
        <w:rPr>
          <w:rFonts w:ascii="Times New Roman" w:hAnsi="Times New Roman"/>
          <w:sz w:val="24"/>
          <w:szCs w:val="24"/>
        </w:rPr>
        <w:t xml:space="preserve">, </w:t>
      </w:r>
      <w:r w:rsidRPr="00FD610C">
        <w:rPr>
          <w:rFonts w:ascii="Times New Roman" w:hAnsi="Times New Roman"/>
        </w:rPr>
        <w:t>p. 237-238.</w:t>
      </w:r>
    </w:p>
  </w:footnote>
  <w:footnote w:id="339">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BERRINGER, Tatiana. A tese do imperialismo brasileiro em questão.  </w:t>
      </w:r>
      <w:r w:rsidRPr="00FD610C">
        <w:rPr>
          <w:rFonts w:ascii="Times New Roman" w:hAnsi="Times New Roman"/>
          <w:i/>
        </w:rPr>
        <w:t>Revista Crítica Marxista</w:t>
      </w:r>
      <w:r w:rsidRPr="00FD610C">
        <w:rPr>
          <w:rFonts w:ascii="Times New Roman" w:hAnsi="Times New Roman"/>
        </w:rPr>
        <w:t>, São Paulo, Fundação Editora Unicamp, nº 36, 2013, p. 124.</w:t>
      </w:r>
    </w:p>
  </w:footnote>
  <w:footnote w:id="340">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Idem, p. 116.</w:t>
      </w:r>
    </w:p>
  </w:footnote>
  <w:footnote w:id="341">
    <w:p w:rsidR="00DD31B9" w:rsidRPr="00D93CBD" w:rsidRDefault="00DD31B9" w:rsidP="00FD610C">
      <w:pPr>
        <w:pStyle w:val="NormalWeb"/>
        <w:shd w:val="clear" w:color="auto" w:fill="FFFFFF"/>
        <w:spacing w:before="0" w:beforeAutospacing="0" w:after="0" w:afterAutospacing="0"/>
        <w:rPr>
          <w:sz w:val="20"/>
          <w:szCs w:val="20"/>
          <w:shd w:val="clear" w:color="auto" w:fill="FFFFFF"/>
        </w:rPr>
      </w:pPr>
      <w:r w:rsidRPr="00FD610C">
        <w:rPr>
          <w:rStyle w:val="Refdenotaderodap"/>
          <w:sz w:val="20"/>
          <w:szCs w:val="20"/>
        </w:rPr>
        <w:footnoteRef/>
      </w:r>
      <w:r w:rsidRPr="00FD610C">
        <w:rPr>
          <w:color w:val="272727"/>
          <w:sz w:val="20"/>
          <w:szCs w:val="20"/>
        </w:rPr>
        <w:t xml:space="preserve">A Plataforma BNDES conta com os seguintes organizações: Amigos da Terra – Amazônia Brasileira, Associação de Funcionários do BNB, ATTAC – Brasil, Central Única dos Trabalhadores (CUT), Comissão Pastoral da Terra (CPT), Confederação Nacional dos Trabalhadores da Agricultura (CONTAG), Conselho Indigenista Missionário (CIMI), Coordenação das Organizações Indígenas da Amazônia Brasileira (COIAB), Coordenação das Organizações Indígenas da Bacia Amazônica (COICA), Cresol – Sistema de Cooperativas de Crédito Rural com Integração Solidária, Esplar – Centro de Pesquisa e Assessoria, Federação dos Órgãos para Assistência Social e Educacional (FASE), Federação Nacional dos Trabalhadores e Trabalhadoras na Agricultura Familiar (FETRAF), Foro Boliviano sobre Medio Ambiente y Desarrollo (Fobomade), Fórum Brasileiro de ONGs e Movimentos Sociais para o Meio Ambiente e o Desenvolvimento (FBOMS), Fórum Brasileiro de Economia Solidária (FBES), Fórum Brasileiro de Segurança Alimentar e Nutricional (FBSAN), Fórum Popular e Independente do Madeira, Frente Nacional do Saneamento Ambiental (FNSA), Instituto Brasileiro de Análises Sociais e Econômicas (IBASE), Instituto Brasileiro de Inovações Pró-Sociedade Saudável (IBISS-CO), Instituto de Estudos Socioeconômicos (INESC), Instituto Mais Democracia, Instituto Políticas Alternativas para o Cone Sul (PACS), Instituto Socioambiental (ISA), Justiça Global, Justiça nos Trilhos, Movimento dos Atingidos por Barragens (MAB), Movimento dos Trabalhadores Rurais Sem Terra (MST), Movimento Nacional de Direitos Humanos (MNDH), Movimento Xingu Vivo, Plataforma Direitos Humanos, Econômicos, Sociais, Culturais e Ambientais (DESCHA), Rede Alerta contra o Deserto Verde, Rede Brasileira de Justiça Ambiental, Rede Brasil sobre Instituições Financeiras Multilaterais, Rede Social de Justiça e Direitos Humanos, Rede Brasileira pela Integração dos Povos (REBRIP), Repórter Brasil e </w:t>
      </w:r>
      <w:r w:rsidRPr="00FD610C">
        <w:rPr>
          <w:color w:val="272727"/>
          <w:sz w:val="20"/>
          <w:szCs w:val="20"/>
          <w:shd w:val="clear" w:color="auto" w:fill="FFFFFF"/>
        </w:rPr>
        <w:t xml:space="preserve">Rede Brasileira de Justiça Ambiental. Disponível em </w:t>
      </w:r>
      <w:r w:rsidRPr="00FD610C">
        <w:rPr>
          <w:sz w:val="20"/>
          <w:szCs w:val="20"/>
          <w:shd w:val="clear" w:color="auto" w:fill="FFFFFF"/>
        </w:rPr>
        <w:t>&lt;</w:t>
      </w:r>
      <w:hyperlink r:id="rId12" w:history="1">
        <w:r w:rsidRPr="00D93CBD">
          <w:rPr>
            <w:rStyle w:val="Hyperlink"/>
            <w:color w:val="auto"/>
            <w:sz w:val="20"/>
            <w:szCs w:val="20"/>
            <w:u w:val="none"/>
            <w:shd w:val="clear" w:color="auto" w:fill="FFFFFF"/>
          </w:rPr>
          <w:t>http://www.plataformabndes.org.br/site/index.php/</w:t>
        </w:r>
      </w:hyperlink>
    </w:p>
    <w:p w:rsidR="00DD31B9" w:rsidRPr="00FD610C" w:rsidRDefault="00DD31B9" w:rsidP="00FD610C">
      <w:pPr>
        <w:pStyle w:val="NormalWeb"/>
        <w:shd w:val="clear" w:color="auto" w:fill="FFFFFF"/>
        <w:spacing w:before="0" w:beforeAutospacing="0" w:after="0" w:afterAutospacing="0"/>
        <w:jc w:val="both"/>
        <w:rPr>
          <w:color w:val="272727"/>
          <w:sz w:val="20"/>
          <w:szCs w:val="20"/>
        </w:rPr>
      </w:pPr>
      <w:r w:rsidRPr="00D93CBD">
        <w:rPr>
          <w:sz w:val="20"/>
          <w:szCs w:val="20"/>
          <w:shd w:val="clear" w:color="auto" w:fill="FFFFFF"/>
        </w:rPr>
        <w:t>quem-somos</w:t>
      </w:r>
      <w:r w:rsidRPr="00FD610C">
        <w:rPr>
          <w:sz w:val="20"/>
          <w:szCs w:val="20"/>
          <w:shd w:val="clear" w:color="auto" w:fill="FFFFFF"/>
        </w:rPr>
        <w:t>&gt;</w:t>
      </w:r>
      <w:r w:rsidRPr="00FD610C">
        <w:rPr>
          <w:color w:val="272727"/>
          <w:sz w:val="20"/>
          <w:szCs w:val="20"/>
          <w:shd w:val="clear" w:color="auto" w:fill="FFFFFF"/>
        </w:rPr>
        <w:t>. Acesso em 11/12/2014.</w:t>
      </w:r>
    </w:p>
  </w:footnote>
  <w:footnote w:id="342">
    <w:p w:rsidR="00DD31B9" w:rsidRPr="00D9654C" w:rsidRDefault="00DD31B9" w:rsidP="00FD610C">
      <w:pPr>
        <w:spacing w:after="0" w:line="240" w:lineRule="auto"/>
        <w:rPr>
          <w:rFonts w:ascii="Times New Roman" w:hAnsi="Times New Roman"/>
          <w:sz w:val="20"/>
          <w:szCs w:val="20"/>
        </w:rPr>
      </w:pPr>
      <w:r w:rsidRPr="00D9654C">
        <w:rPr>
          <w:rStyle w:val="Refdenotaderodap"/>
          <w:rFonts w:ascii="Times New Roman" w:hAnsi="Times New Roman"/>
          <w:sz w:val="20"/>
          <w:szCs w:val="20"/>
        </w:rPr>
        <w:footnoteRef/>
      </w:r>
      <w:r w:rsidRPr="00D9654C">
        <w:rPr>
          <w:rFonts w:ascii="Times New Roman" w:hAnsi="Times New Roman"/>
          <w:sz w:val="20"/>
          <w:szCs w:val="20"/>
        </w:rPr>
        <w:t xml:space="preserve"> GARCIA, Ana E. Saggioro. </w:t>
      </w:r>
      <w:r w:rsidRPr="00D9654C">
        <w:rPr>
          <w:rFonts w:ascii="Times New Roman" w:hAnsi="Times New Roman"/>
          <w:i/>
          <w:sz w:val="20"/>
          <w:szCs w:val="20"/>
        </w:rPr>
        <w:t>A internacionalização de empresas brasileiras durante o governo Lula</w:t>
      </w:r>
      <w:r w:rsidRPr="00D9654C">
        <w:rPr>
          <w:rFonts w:ascii="Times New Roman" w:hAnsi="Times New Roman"/>
          <w:sz w:val="20"/>
          <w:szCs w:val="20"/>
        </w:rPr>
        <w:t>: uma análise crítica da relação entre capital e Estado no Brasil contemporâneo. Tese de Doutoramento, Instituto de Relações Internacionais, PUC/RJ, 2012, p. 76-77.</w:t>
      </w:r>
    </w:p>
    <w:p w:rsidR="00DD31B9" w:rsidRDefault="00DD31B9" w:rsidP="00FD610C">
      <w:pPr>
        <w:pStyle w:val="Textodenotaderodap"/>
      </w:pPr>
    </w:p>
  </w:footnote>
  <w:footnote w:id="343">
    <w:p w:rsidR="00DD31B9" w:rsidRPr="00B57DFE" w:rsidRDefault="00DD31B9" w:rsidP="00FD610C">
      <w:pPr>
        <w:pStyle w:val="Textodenotadefim"/>
      </w:pPr>
      <w:r>
        <w:rPr>
          <w:rStyle w:val="Refdenotaderodap"/>
        </w:rPr>
        <w:footnoteRef/>
      </w:r>
      <w:r>
        <w:t xml:space="preserve"> Os dados trazem a situação de internacionalização dos Grupos ou Firmas em 2010, a partir do Ranking 2011, realizado pela Fundação Dom Cabral (FDC) e disponível em seu endereço eletrônico </w:t>
      </w:r>
      <w:r w:rsidRPr="00F45C28">
        <w:t>(</w:t>
      </w:r>
      <w:hyperlink r:id="rId13" w:history="1">
        <w:r w:rsidRPr="00D93CBD">
          <w:rPr>
            <w:rStyle w:val="Hyperlink"/>
            <w:color w:val="auto"/>
            <w:u w:val="none"/>
          </w:rPr>
          <w:t>www.fdc.org.br</w:t>
        </w:r>
      </w:hyperlink>
      <w:r>
        <w:t xml:space="preserve">). Para Grupos ou Firmas não encontrados nesta pesquisa, buscamos os dados em seus próprios sites. Outras fontes importantes foram: GOMES, Keiti da Rocha. </w:t>
      </w:r>
      <w:r>
        <w:rPr>
          <w:i/>
        </w:rPr>
        <w:t>Internacionalização das empresas brasileiras no mercado argentino</w:t>
      </w:r>
      <w:r>
        <w:t xml:space="preserve">. RJ: IPEA, Texto para discussão, 2011; </w:t>
      </w:r>
      <w:r w:rsidRPr="00611185">
        <w:t>IGLESIAS</w:t>
      </w:r>
      <w:r>
        <w:t xml:space="preserve">, Roberto Magno &amp; VEIGA, Pedro da Motta. </w:t>
      </w:r>
      <w:r>
        <w:rPr>
          <w:i/>
        </w:rPr>
        <w:t>Promoção de exportações via internacionalização das firmas de capital brasileiro</w:t>
      </w:r>
      <w:r>
        <w:t xml:space="preserve">. s/d. RIBEIRO, Fernando J. e LIMA, Raquel Casado. </w:t>
      </w:r>
      <w:r>
        <w:rPr>
          <w:i/>
        </w:rPr>
        <w:t>Investimentos brasileiros na América do Sul:</w:t>
      </w:r>
      <w:r>
        <w:t xml:space="preserve"> desempenho, estratégias e políticas. SDC/Funcex: Relatório Final, Julho 2008. Com estas fontes, quando foi possível, levamos em consideração a situação de internacionalização dos Grupos e Firmas no período em que estiveram representadas no CDES, e não o Ranking da FDC de 2011.</w:t>
      </w:r>
    </w:p>
  </w:footnote>
  <w:footnote w:id="344">
    <w:p w:rsidR="00DD31B9" w:rsidRPr="0092090F" w:rsidRDefault="00DD31B9" w:rsidP="00FD610C">
      <w:pPr>
        <w:spacing w:after="0"/>
        <w:rPr>
          <w:rFonts w:ascii="Times New Roman" w:hAnsi="Times New Roman"/>
          <w:sz w:val="20"/>
          <w:szCs w:val="20"/>
        </w:rPr>
      </w:pPr>
      <w:r w:rsidRPr="0092090F">
        <w:rPr>
          <w:rStyle w:val="Refdenotaderodap"/>
          <w:rFonts w:ascii="Times New Roman" w:hAnsi="Times New Roman"/>
          <w:sz w:val="20"/>
          <w:szCs w:val="20"/>
        </w:rPr>
        <w:footnoteRef/>
      </w:r>
      <w:r>
        <w:rPr>
          <w:rFonts w:ascii="Times New Roman" w:hAnsi="Times New Roman"/>
          <w:sz w:val="20"/>
          <w:szCs w:val="20"/>
        </w:rPr>
        <w:t>Dados extraídos de &lt;</w:t>
      </w:r>
      <w:r w:rsidRPr="000B4F36">
        <w:rPr>
          <w:rStyle w:val="CitaoHTML"/>
          <w:rFonts w:ascii="Times New Roman" w:hAnsi="Times New Roman"/>
          <w:i w:val="0"/>
          <w:sz w:val="20"/>
          <w:szCs w:val="20"/>
        </w:rPr>
        <w:t>www.</w:t>
      </w:r>
      <w:r w:rsidRPr="000B4F36">
        <w:rPr>
          <w:rStyle w:val="CitaoHTML"/>
          <w:rFonts w:ascii="Times New Roman" w:hAnsi="Times New Roman"/>
          <w:b/>
          <w:bCs/>
          <w:i w:val="0"/>
          <w:sz w:val="20"/>
          <w:szCs w:val="20"/>
        </w:rPr>
        <w:t>vicunha</w:t>
      </w:r>
      <w:r w:rsidRPr="000B4F36">
        <w:rPr>
          <w:rStyle w:val="CitaoHTML"/>
          <w:rFonts w:ascii="Times New Roman" w:hAnsi="Times New Roman"/>
          <w:i w:val="0"/>
          <w:sz w:val="20"/>
          <w:szCs w:val="20"/>
        </w:rPr>
        <w:t>.com.br/mostra_arquivo.php?arquivo=backoffice/...</w:t>
      </w:r>
      <w:r>
        <w:rPr>
          <w:rStyle w:val="CitaoHTML"/>
          <w:rFonts w:ascii="Times New Roman" w:hAnsi="Times New Roman"/>
          <w:i w:val="0"/>
          <w:sz w:val="20"/>
          <w:szCs w:val="20"/>
        </w:rPr>
        <w:t>&gt;.</w:t>
      </w:r>
    </w:p>
  </w:footnote>
  <w:footnote w:id="345">
    <w:p w:rsidR="00DD31B9" w:rsidRPr="00FD610C" w:rsidRDefault="00DD31B9" w:rsidP="00FD610C">
      <w:pPr>
        <w:spacing w:after="0" w:line="230" w:lineRule="atLeast"/>
        <w:jc w:val="both"/>
        <w:rPr>
          <w:rFonts w:ascii="Times New Roman" w:hAnsi="Times New Roman"/>
          <w:sz w:val="20"/>
          <w:szCs w:val="20"/>
        </w:rPr>
      </w:pPr>
      <w:r w:rsidRPr="00FD610C">
        <w:rPr>
          <w:rStyle w:val="Refdenotaderodap"/>
          <w:rFonts w:ascii="Times New Roman" w:hAnsi="Times New Roman"/>
          <w:sz w:val="20"/>
          <w:szCs w:val="20"/>
        </w:rPr>
        <w:footnoteRef/>
      </w:r>
      <w:r w:rsidRPr="00FD610C">
        <w:rPr>
          <w:rFonts w:ascii="Times New Roman" w:hAnsi="Times New Roman"/>
          <w:sz w:val="20"/>
          <w:szCs w:val="20"/>
        </w:rPr>
        <w:t xml:space="preserve"> A Usiminas possuía participações minoritárias na Argentina, Venezuela e México, por meio da Ternium, que é controlada pela ítalo-argentina Tchint. A Usiminas tinha 14% de participação na Ternium. Disponível em http://www.cnmcut.org.br/conteudo/usiminas-desiste-de-projeto-no-exterior.</w:t>
      </w:r>
    </w:p>
  </w:footnote>
  <w:footnote w:id="346">
    <w:p w:rsidR="00DD31B9" w:rsidRPr="00FD610C" w:rsidRDefault="00DD31B9" w:rsidP="00FD610C">
      <w:pPr>
        <w:spacing w:after="0"/>
        <w:rPr>
          <w:rFonts w:ascii="Times New Roman" w:hAnsi="Times New Roman"/>
          <w:i/>
          <w:sz w:val="20"/>
          <w:szCs w:val="20"/>
        </w:rPr>
      </w:pPr>
      <w:r w:rsidRPr="00FD610C">
        <w:rPr>
          <w:rStyle w:val="Refdenotaderodap"/>
          <w:rFonts w:ascii="Times New Roman" w:hAnsi="Times New Roman"/>
          <w:sz w:val="20"/>
          <w:szCs w:val="20"/>
        </w:rPr>
        <w:footnoteRef/>
      </w:r>
      <w:r w:rsidRPr="00FD610C">
        <w:rPr>
          <w:rFonts w:ascii="Times New Roman" w:hAnsi="Times New Roman"/>
          <w:sz w:val="20"/>
          <w:szCs w:val="20"/>
        </w:rPr>
        <w:t>Retirado de &lt;</w:t>
      </w:r>
      <w:r w:rsidRPr="00FD610C">
        <w:rPr>
          <w:rStyle w:val="CitaoHTML"/>
          <w:rFonts w:ascii="Times New Roman" w:hAnsi="Times New Roman"/>
          <w:i w:val="0"/>
          <w:sz w:val="20"/>
          <w:szCs w:val="20"/>
        </w:rPr>
        <w:t>www.bmfbovespa.com.br&gt;.</w:t>
      </w:r>
    </w:p>
  </w:footnote>
  <w:footnote w:id="347">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Desde 2005, a Dixie-Toga foi vendida ao grupo estadunidense Bemis, antes acionista da empresa brasileira. Entre 2003 e 2005, quando o empresário Sérgio Haberfeld atuou no CDES, ele ainda era dono da empresa. De 1995 a 2005, a Dixie-Toga havia adquirido a argentina American Plast, inserindo-se na transnacionalização. Disponível em &lt;http://www.dixietoga.com.br/dixie-toga/historia/default.aspx&gt;.</w:t>
      </w:r>
    </w:p>
  </w:footnote>
  <w:footnote w:id="348">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ALMEIDA, Mansueto. </w:t>
      </w:r>
      <w:r w:rsidRPr="00FD610C">
        <w:rPr>
          <w:rFonts w:ascii="Times New Roman" w:hAnsi="Times New Roman"/>
          <w:i/>
        </w:rPr>
        <w:t>Desafios da real política industrial brasileira do século XXI.</w:t>
      </w:r>
      <w:r w:rsidRPr="00FD610C">
        <w:rPr>
          <w:rFonts w:ascii="Times New Roman" w:hAnsi="Times New Roman"/>
        </w:rPr>
        <w:t xml:space="preserve"> Op. cit., p. 66-67. </w:t>
      </w:r>
    </w:p>
  </w:footnote>
  <w:footnote w:id="349">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NÓVOA, Luis Fernando. O Brasil e seu “desdobramento”... Op. cit., p. 193-195.</w:t>
      </w:r>
    </w:p>
  </w:footnote>
  <w:footnote w:id="350">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Conforme consta no site &lt;http://www.diariodocomercio.com.br/noticia.php?tit=cbmm_inversoes_ja</w:t>
      </w:r>
    </w:p>
    <w:p w:rsidR="00DD31B9" w:rsidRPr="00FD610C" w:rsidRDefault="00DD31B9" w:rsidP="00FD610C">
      <w:pPr>
        <w:pStyle w:val="Textodenotaderodap"/>
        <w:rPr>
          <w:rFonts w:ascii="Times New Roman" w:hAnsi="Times New Roman"/>
        </w:rPr>
      </w:pPr>
      <w:r w:rsidRPr="00FD610C">
        <w:rPr>
          <w:rFonts w:ascii="Times New Roman" w:hAnsi="Times New Roman"/>
        </w:rPr>
        <w:t>_somam_r_125_mi__&amp;id=117095&gt;. Acesso em 11/12/2014.</w:t>
      </w:r>
    </w:p>
  </w:footnote>
  <w:footnote w:id="351">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Disponível em &lt;http://www.valor.com.br/sites/default/files/dhb_itr_2t12.pdf&gt;. Acesso em 11/12/2014.</w:t>
      </w:r>
    </w:p>
  </w:footnote>
  <w:footnote w:id="352">
    <w:p w:rsidR="00DD31B9" w:rsidRPr="00FD610C" w:rsidRDefault="00DD31B9" w:rsidP="00FD610C">
      <w:pPr>
        <w:pStyle w:val="Textodenotaderodap"/>
        <w:rPr>
          <w:rFonts w:ascii="Times New Roman" w:hAnsi="Times New Roman"/>
        </w:rPr>
      </w:pPr>
      <w:r w:rsidRPr="00FD610C">
        <w:rPr>
          <w:rStyle w:val="Refdenotaderodap"/>
          <w:rFonts w:ascii="Times New Roman" w:hAnsi="Times New Roman"/>
        </w:rPr>
        <w:footnoteRef/>
      </w:r>
      <w:r w:rsidRPr="00FD610C">
        <w:rPr>
          <w:rFonts w:ascii="Times New Roman" w:hAnsi="Times New Roman"/>
        </w:rPr>
        <w:t xml:space="preserve"> Disponível em &lt;http://noticias.uol.com.br/ultnot/valor/2004/05/17/ult1913u8049.jhtm&gt;.</w:t>
      </w:r>
    </w:p>
  </w:footnote>
  <w:footnote w:id="353">
    <w:p w:rsidR="00DD31B9" w:rsidRPr="00CE3680" w:rsidRDefault="00DD31B9" w:rsidP="00FD610C">
      <w:pPr>
        <w:pStyle w:val="Textodenotaderodap"/>
        <w:rPr>
          <w:rFonts w:ascii="Times New Roman" w:hAnsi="Times New Roman"/>
        </w:rPr>
      </w:pPr>
      <w:r w:rsidRPr="00CE3680">
        <w:rPr>
          <w:rStyle w:val="Refdenotaderodap"/>
          <w:rFonts w:ascii="Times New Roman" w:hAnsi="Times New Roman"/>
        </w:rPr>
        <w:footnoteRef/>
      </w:r>
      <w:r w:rsidRPr="00CE3680">
        <w:rPr>
          <w:rFonts w:ascii="Times New Roman" w:hAnsi="Times New Roman"/>
        </w:rPr>
        <w:t xml:space="preserve"> Disponível em &lt;http://economia.estadao.com.br/noticias/geral,ultrapar-vai-receber-r-1-1-bi-do-bndes,273255&gt;. Acesso em 12/12/2014.</w:t>
      </w:r>
    </w:p>
  </w:footnote>
  <w:footnote w:id="354">
    <w:p w:rsidR="00DD31B9" w:rsidRPr="00286C8F" w:rsidRDefault="00DD31B9" w:rsidP="00FD610C">
      <w:pPr>
        <w:pStyle w:val="Textodenotaderodap"/>
      </w:pPr>
      <w:r w:rsidRPr="00CE3680">
        <w:rPr>
          <w:rStyle w:val="Refdenotaderodap"/>
          <w:rFonts w:ascii="Times New Roman" w:hAnsi="Times New Roman"/>
        </w:rPr>
        <w:footnoteRef/>
      </w:r>
      <w:r w:rsidRPr="00CE3680">
        <w:rPr>
          <w:rFonts w:ascii="Times New Roman" w:hAnsi="Times New Roman"/>
        </w:rPr>
        <w:t xml:space="preserve"> Secretaria de Relações Institucionais. Secretaria do Conselho de Desenvolvimento Econômico e Social. </w:t>
      </w:r>
      <w:r w:rsidRPr="00CE3680">
        <w:rPr>
          <w:rFonts w:ascii="Times New Roman" w:hAnsi="Times New Roman"/>
          <w:i/>
        </w:rPr>
        <w:t>Cartas de Concertação.</w:t>
      </w:r>
      <w:r w:rsidRPr="00CE3680">
        <w:rPr>
          <w:rFonts w:ascii="Times New Roman" w:hAnsi="Times New Roman"/>
        </w:rPr>
        <w:t xml:space="preserve"> Brasília: Presidência da República, CDES, s/d., p. 11. Disponível em &lt; http://www.cdes.gov.br/conteudo/15069/documentos-de-orientacao-estrategica.html&gt;.</w:t>
      </w:r>
    </w:p>
  </w:footnote>
  <w:footnote w:id="355">
    <w:p w:rsidR="00DD31B9" w:rsidRPr="00CE3680" w:rsidRDefault="00DD31B9" w:rsidP="00FD610C">
      <w:pPr>
        <w:pStyle w:val="Textodenotaderodap"/>
        <w:rPr>
          <w:rFonts w:ascii="Times New Roman" w:hAnsi="Times New Roman"/>
        </w:rPr>
      </w:pPr>
      <w:r w:rsidRPr="00CE3680">
        <w:rPr>
          <w:rStyle w:val="Refdenotaderodap"/>
          <w:rFonts w:ascii="Times New Roman" w:hAnsi="Times New Roman"/>
        </w:rPr>
        <w:footnoteRef/>
      </w:r>
      <w:r w:rsidRPr="00CE3680">
        <w:rPr>
          <w:rFonts w:ascii="Times New Roman" w:hAnsi="Times New Roman"/>
        </w:rPr>
        <w:t xml:space="preserve"> Secretaria de Relações Institucionais. Secretaria do Conselho de Desenvolvimento Econômico e Social.</w:t>
      </w:r>
      <w:r w:rsidRPr="00CE3680">
        <w:rPr>
          <w:rFonts w:ascii="Times New Roman" w:hAnsi="Times New Roman"/>
          <w:i/>
        </w:rPr>
        <w:t xml:space="preserve"> Enunciados estratégicos para o desenvolvimento</w:t>
      </w:r>
      <w:r w:rsidRPr="00CE3680">
        <w:rPr>
          <w:rFonts w:ascii="Times New Roman" w:hAnsi="Times New Roman"/>
        </w:rPr>
        <w:t>. Brasília: Presidência da República, CDES, 2006, p. 20, grifos meus. Disponível em &lt; http://www.cdes.gov.br/conteudo/15069/documentos-de-orientacao-estrategica.html&gt;. Os Enunciados Estratégicos para o Desenvolvimento serão analisados no capítulo 3.</w:t>
      </w:r>
    </w:p>
  </w:footnote>
  <w:footnote w:id="356">
    <w:p w:rsidR="00DD31B9" w:rsidRPr="00942240" w:rsidRDefault="00DD31B9">
      <w:pPr>
        <w:pStyle w:val="Textodenotaderodap"/>
        <w:rPr>
          <w:rFonts w:ascii="Times New Roman" w:hAnsi="Times New Roman"/>
        </w:rPr>
      </w:pPr>
      <w:r w:rsidRPr="00942240">
        <w:rPr>
          <w:rStyle w:val="Refdenotaderodap"/>
          <w:rFonts w:ascii="Times New Roman" w:hAnsi="Times New Roman"/>
        </w:rPr>
        <w:footnoteRef/>
      </w:r>
      <w:r w:rsidRPr="00942240">
        <w:rPr>
          <w:rFonts w:ascii="Times New Roman" w:hAnsi="Times New Roman"/>
        </w:rPr>
        <w:t xml:space="preserve">  Secretaria de Relações Institucionais. Conselho de Desenvolvimento Econômico e Social – CDES. </w:t>
      </w:r>
      <w:r w:rsidRPr="00942240">
        <w:rPr>
          <w:rFonts w:ascii="Times New Roman" w:hAnsi="Times New Roman"/>
          <w:i/>
        </w:rPr>
        <w:t>Agenda para o Novo Ciclo de Desenvolvimento</w:t>
      </w:r>
      <w:r>
        <w:rPr>
          <w:rFonts w:ascii="Times New Roman" w:hAnsi="Times New Roman"/>
        </w:rPr>
        <w:t>, op. cit., p. 403, grifos meus.</w:t>
      </w:r>
    </w:p>
  </w:footnote>
  <w:footnote w:id="357">
    <w:p w:rsidR="00DD31B9" w:rsidRPr="00CE3680" w:rsidRDefault="00DD31B9" w:rsidP="00E40ED2">
      <w:pPr>
        <w:spacing w:after="0" w:line="240" w:lineRule="auto"/>
        <w:rPr>
          <w:rFonts w:ascii="Times New Roman" w:hAnsi="Times New Roman"/>
          <w:sz w:val="20"/>
          <w:szCs w:val="20"/>
        </w:rPr>
      </w:pPr>
      <w:r w:rsidRPr="00CE3680">
        <w:rPr>
          <w:rStyle w:val="Refdenotaderodap"/>
          <w:rFonts w:ascii="Times New Roman" w:hAnsi="Times New Roman"/>
          <w:sz w:val="20"/>
          <w:szCs w:val="20"/>
        </w:rPr>
        <w:footnoteRef/>
      </w:r>
      <w:r w:rsidRPr="00CE3680">
        <w:rPr>
          <w:rFonts w:ascii="Times New Roman" w:hAnsi="Times New Roman"/>
          <w:sz w:val="20"/>
          <w:szCs w:val="20"/>
        </w:rPr>
        <w:t xml:space="preserve"> SANTOS, José Carlos dos. Entrevistas com conselheiros: revisitando agendas para o desenvolvimento. In: CARDOSO JR., José Celso, SANTOS, José Celso e ALENCAR, Joana. </w:t>
      </w:r>
      <w:r w:rsidRPr="00CE3680">
        <w:rPr>
          <w:rFonts w:ascii="Times New Roman" w:hAnsi="Times New Roman"/>
          <w:i/>
          <w:sz w:val="20"/>
          <w:szCs w:val="20"/>
        </w:rPr>
        <w:t xml:space="preserve">Diálogos para o desenvolvimento: </w:t>
      </w:r>
      <w:r w:rsidRPr="00CE3680">
        <w:rPr>
          <w:rFonts w:ascii="Times New Roman" w:hAnsi="Times New Roman"/>
          <w:sz w:val="20"/>
          <w:szCs w:val="20"/>
        </w:rPr>
        <w:t>a experiência do Conselho de Desenvolvimento Econômico e Social sob o governo Lula. Brasília: IPEA, vol. 2, 2010, p. 199, grifos meus.</w:t>
      </w:r>
    </w:p>
  </w:footnote>
  <w:footnote w:id="358">
    <w:p w:rsidR="00DD31B9" w:rsidRPr="00CE3680" w:rsidRDefault="00DD31B9" w:rsidP="00FD610C">
      <w:pPr>
        <w:pStyle w:val="Textodenotaderodap"/>
        <w:rPr>
          <w:rFonts w:ascii="Times New Roman" w:hAnsi="Times New Roman"/>
        </w:rPr>
      </w:pPr>
      <w:r w:rsidRPr="00CE3680">
        <w:rPr>
          <w:rStyle w:val="Refdenotaderodap"/>
          <w:rFonts w:ascii="Times New Roman" w:hAnsi="Times New Roman"/>
        </w:rPr>
        <w:footnoteRef/>
      </w:r>
      <w:r w:rsidRPr="00CE3680">
        <w:rPr>
          <w:rFonts w:ascii="Times New Roman" w:hAnsi="Times New Roman"/>
        </w:rPr>
        <w:t xml:space="preserve"> Idem, p. 177, grifos meus.</w:t>
      </w:r>
    </w:p>
  </w:footnote>
  <w:footnote w:id="359">
    <w:p w:rsidR="00DD31B9" w:rsidRPr="00F31E51" w:rsidRDefault="00DD31B9" w:rsidP="00CE3680">
      <w:pPr>
        <w:autoSpaceDE w:val="0"/>
        <w:autoSpaceDN w:val="0"/>
        <w:adjustRightInd w:val="0"/>
        <w:spacing w:after="0" w:line="240" w:lineRule="auto"/>
        <w:rPr>
          <w:rFonts w:ascii="Times New Roman" w:hAnsi="Times New Roman"/>
          <w:bCs/>
          <w:sz w:val="20"/>
          <w:szCs w:val="20"/>
        </w:rPr>
      </w:pPr>
      <w:r w:rsidRPr="00F31E51">
        <w:rPr>
          <w:rStyle w:val="Refdenotaderodap"/>
          <w:rFonts w:ascii="Times New Roman" w:hAnsi="Times New Roman"/>
          <w:sz w:val="20"/>
          <w:szCs w:val="20"/>
        </w:rPr>
        <w:footnoteRef/>
      </w:r>
      <w:r w:rsidRPr="00F31E51">
        <w:rPr>
          <w:rFonts w:ascii="Times New Roman" w:hAnsi="Times New Roman"/>
          <w:bCs/>
          <w:sz w:val="20"/>
          <w:szCs w:val="20"/>
        </w:rPr>
        <w:t xml:space="preserve">MENDONÇA, Sonia Regina de. </w:t>
      </w:r>
      <w:r w:rsidRPr="00F31E51">
        <w:rPr>
          <w:rFonts w:ascii="Times New Roman" w:hAnsi="Times New Roman"/>
          <w:bCs/>
          <w:i/>
          <w:sz w:val="20"/>
          <w:szCs w:val="20"/>
        </w:rPr>
        <w:t xml:space="preserve">O ruralismo brasileiro. </w:t>
      </w:r>
      <w:r w:rsidRPr="00F31E51">
        <w:rPr>
          <w:rFonts w:ascii="Times New Roman" w:hAnsi="Times New Roman"/>
          <w:bCs/>
          <w:sz w:val="20"/>
          <w:szCs w:val="20"/>
        </w:rPr>
        <w:t xml:space="preserve">SP: Hucitec, 1997. _______. </w:t>
      </w:r>
      <w:r w:rsidRPr="00F31E51">
        <w:rPr>
          <w:rFonts w:ascii="Times New Roman" w:hAnsi="Times New Roman"/>
          <w:bCs/>
          <w:i/>
          <w:sz w:val="20"/>
          <w:szCs w:val="20"/>
        </w:rPr>
        <w:t xml:space="preserve">Agronomia e poder no Brasil. </w:t>
      </w:r>
      <w:r w:rsidRPr="00F31E51">
        <w:rPr>
          <w:rFonts w:ascii="Times New Roman" w:hAnsi="Times New Roman"/>
          <w:bCs/>
          <w:sz w:val="20"/>
          <w:szCs w:val="20"/>
        </w:rPr>
        <w:t>Niterói: Vício de Leitura, 1998.</w:t>
      </w:r>
    </w:p>
  </w:footnote>
  <w:footnote w:id="360">
    <w:p w:rsidR="00DD31B9" w:rsidRPr="00CE3680" w:rsidRDefault="00DD31B9" w:rsidP="00CE3680">
      <w:pPr>
        <w:pStyle w:val="Textodenotaderodap"/>
        <w:rPr>
          <w:rFonts w:ascii="Times New Roman" w:hAnsi="Times New Roman"/>
        </w:rPr>
      </w:pPr>
      <w:r w:rsidRPr="00CE3680">
        <w:rPr>
          <w:rStyle w:val="Refdenotaderodap"/>
          <w:rFonts w:ascii="Times New Roman" w:hAnsi="Times New Roman"/>
        </w:rPr>
        <w:footnoteRef/>
      </w:r>
      <w:r w:rsidRPr="00CE3680">
        <w:rPr>
          <w:rFonts w:ascii="Times New Roman" w:hAnsi="Times New Roman"/>
        </w:rPr>
        <w:t xml:space="preserve"> ALBUQUERQUE, Marcos Cintra Cavalcanti de. </w:t>
      </w:r>
      <w:r w:rsidRPr="00F86EA0">
        <w:rPr>
          <w:rFonts w:ascii="Times New Roman" w:hAnsi="Times New Roman"/>
        </w:rPr>
        <w:t>Crise no setor público e as PPP’s.</w:t>
      </w:r>
      <w:r w:rsidRPr="00F86EA0">
        <w:rPr>
          <w:rFonts w:ascii="Times New Roman" w:hAnsi="Times New Roman"/>
          <w:i/>
        </w:rPr>
        <w:t>Revista da Indústria</w:t>
      </w:r>
      <w:r w:rsidRPr="00CE3680">
        <w:rPr>
          <w:rFonts w:ascii="Times New Roman" w:hAnsi="Times New Roman"/>
        </w:rPr>
        <w:t>, nº 102, dezembro de 2004.</w:t>
      </w:r>
    </w:p>
  </w:footnote>
  <w:footnote w:id="361">
    <w:p w:rsidR="00DD31B9" w:rsidRPr="00CE3680" w:rsidRDefault="00DD31B9" w:rsidP="00CE3680">
      <w:pPr>
        <w:pStyle w:val="Textodenotaderodap"/>
        <w:rPr>
          <w:rFonts w:ascii="Times New Roman" w:hAnsi="Times New Roman"/>
        </w:rPr>
      </w:pPr>
      <w:r w:rsidRPr="00CE3680">
        <w:rPr>
          <w:rStyle w:val="Refdenotaderodap"/>
          <w:rFonts w:ascii="Times New Roman" w:hAnsi="Times New Roman"/>
        </w:rPr>
        <w:footnoteRef/>
      </w:r>
      <w:r w:rsidRPr="00CE3680">
        <w:rPr>
          <w:rFonts w:ascii="Times New Roman" w:hAnsi="Times New Roman"/>
        </w:rPr>
        <w:t xml:space="preserve"> SALEM, Armando V. </w:t>
      </w:r>
      <w:r w:rsidRPr="00F86EA0">
        <w:rPr>
          <w:rFonts w:ascii="Times New Roman" w:hAnsi="Times New Roman"/>
        </w:rPr>
        <w:t>Enfim, a opção pelo crescimento</w:t>
      </w:r>
      <w:r w:rsidRPr="00CE3680">
        <w:rPr>
          <w:rFonts w:ascii="Times New Roman" w:hAnsi="Times New Roman"/>
        </w:rPr>
        <w:t xml:space="preserve">. </w:t>
      </w:r>
      <w:r w:rsidRPr="00F86EA0">
        <w:rPr>
          <w:rFonts w:ascii="Times New Roman" w:hAnsi="Times New Roman"/>
          <w:i/>
        </w:rPr>
        <w:t>Revista da Indústria</w:t>
      </w:r>
      <w:r w:rsidRPr="00CE3680">
        <w:rPr>
          <w:rFonts w:ascii="Times New Roman" w:hAnsi="Times New Roman"/>
        </w:rPr>
        <w:t>, nº 125, fevereiro 2007.</w:t>
      </w:r>
    </w:p>
  </w:footnote>
  <w:footnote w:id="362">
    <w:p w:rsidR="00DD31B9" w:rsidRPr="00C33FA2" w:rsidRDefault="00DD31B9">
      <w:pPr>
        <w:pStyle w:val="Textodenotaderodap"/>
        <w:rPr>
          <w:rFonts w:ascii="Times New Roman" w:hAnsi="Times New Roman"/>
        </w:rPr>
      </w:pPr>
      <w:r w:rsidRPr="00C33FA2">
        <w:rPr>
          <w:rStyle w:val="Refdenotaderodap"/>
          <w:rFonts w:ascii="Times New Roman" w:hAnsi="Times New Roman"/>
        </w:rPr>
        <w:footnoteRef/>
      </w:r>
      <w:r w:rsidRPr="00C33FA2">
        <w:rPr>
          <w:rFonts w:ascii="Times New Roman" w:hAnsi="Times New Roman"/>
        </w:rPr>
        <w:t xml:space="preserve"> Nas intervenções plenárias, o assim chamado “setor produtivo” referia-se ao conjunto </w:t>
      </w:r>
      <w:r w:rsidRPr="00C33FA2">
        <w:rPr>
          <w:rFonts w:ascii="Times New Roman" w:hAnsi="Times New Roman"/>
          <w:i/>
        </w:rPr>
        <w:t>de atividades econômicas</w:t>
      </w:r>
      <w:r w:rsidRPr="00C33FA2">
        <w:rPr>
          <w:rFonts w:ascii="Times New Roman" w:hAnsi="Times New Roman"/>
        </w:rPr>
        <w:t xml:space="preserve"> comumente designadas não financeiras. É possível encontrarnos documentos a alusão a setores de atividades industriais, extrativas, agroindustriais, comerciais e de serviços, como pertencentes aos setores produtivos. De qualquer forma, nas</w:t>
      </w:r>
      <w:r>
        <w:rPr>
          <w:rFonts w:ascii="Times New Roman" w:hAnsi="Times New Roman"/>
        </w:rPr>
        <w:t xml:space="preserve"> ocasiões em que o termo aparecia</w:t>
      </w:r>
      <w:r w:rsidRPr="00C33FA2">
        <w:rPr>
          <w:rFonts w:ascii="Times New Roman" w:hAnsi="Times New Roman"/>
        </w:rPr>
        <w:t>, seu contexto marca</w:t>
      </w:r>
      <w:r>
        <w:rPr>
          <w:rFonts w:ascii="Times New Roman" w:hAnsi="Times New Roman"/>
        </w:rPr>
        <w:t>va</w:t>
      </w:r>
      <w:r w:rsidRPr="00C33FA2">
        <w:rPr>
          <w:rFonts w:ascii="Times New Roman" w:hAnsi="Times New Roman"/>
        </w:rPr>
        <w:t xml:space="preserve"> a diferenciação entre</w:t>
      </w:r>
      <w:r>
        <w:rPr>
          <w:rFonts w:ascii="Times New Roman" w:hAnsi="Times New Roman"/>
        </w:rPr>
        <w:t xml:space="preserve"> setores do capital que “produzia</w:t>
      </w:r>
      <w:r w:rsidRPr="00C33FA2">
        <w:rPr>
          <w:rFonts w:ascii="Times New Roman" w:hAnsi="Times New Roman"/>
        </w:rPr>
        <w:t>m” e, portanto, gera</w:t>
      </w:r>
      <w:r>
        <w:rPr>
          <w:rFonts w:ascii="Times New Roman" w:hAnsi="Times New Roman"/>
        </w:rPr>
        <w:t>va</w:t>
      </w:r>
      <w:r w:rsidRPr="00C33FA2">
        <w:rPr>
          <w:rFonts w:ascii="Times New Roman" w:hAnsi="Times New Roman"/>
        </w:rPr>
        <w:t>m emprego, renda, consumo e desenvolvimento, ou seja, bem-estar social, e outro que opera</w:t>
      </w:r>
      <w:r>
        <w:rPr>
          <w:rFonts w:ascii="Times New Roman" w:hAnsi="Times New Roman"/>
        </w:rPr>
        <w:t>va</w:t>
      </w:r>
      <w:r w:rsidRPr="00C33FA2">
        <w:rPr>
          <w:rFonts w:ascii="Times New Roman" w:hAnsi="Times New Roman"/>
        </w:rPr>
        <w:t xml:space="preserve"> na esfera da especulação, do rentismo, da financeirização. Os bancos em geral eram incluídos como partícipes da última esfera. Vale mencionar que tanto empresários quanto as cúpulas sindicais compartilhavam da mesma noção, e, mesmo os intelectuais acadêmicos, não operavam com a noção de capital produtivo como</w:t>
      </w:r>
      <w:r w:rsidRPr="00C33FA2">
        <w:rPr>
          <w:rFonts w:ascii="Times New Roman" w:hAnsi="Times New Roman"/>
          <w:i/>
        </w:rPr>
        <w:t xml:space="preserve"> capital que produz valor e extrai mais valor</w:t>
      </w:r>
      <w:r w:rsidRPr="00C33FA2">
        <w:rPr>
          <w:rFonts w:ascii="Times New Roman" w:hAnsi="Times New Roman"/>
        </w:rPr>
        <w:t>, ou seja, que precisa explorar força de trabalho da classe trabalhadora e que mantém a interdependência com o capital monetário para a reprodução do ciclo de acumulação de capital. Portanto, capital produtivo, industrial, produtor de valor não se confunde com “setor produtivo” a que os conselheiros se refer</w:t>
      </w:r>
      <w:r>
        <w:rPr>
          <w:rFonts w:ascii="Times New Roman" w:hAnsi="Times New Roman"/>
        </w:rPr>
        <w:t>ia</w:t>
      </w:r>
      <w:r w:rsidRPr="00C33FA2">
        <w:rPr>
          <w:rFonts w:ascii="Times New Roman" w:hAnsi="Times New Roman"/>
        </w:rPr>
        <w:t>m.</w:t>
      </w:r>
    </w:p>
  </w:footnote>
  <w:footnote w:id="363">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Apesar de exíguas, </w:t>
      </w:r>
      <w:r>
        <w:rPr>
          <w:rFonts w:ascii="Times New Roman" w:hAnsi="Times New Roman"/>
        </w:rPr>
        <w:t>era</w:t>
      </w:r>
      <w:r w:rsidRPr="00303FA9">
        <w:rPr>
          <w:rFonts w:ascii="Times New Roman" w:hAnsi="Times New Roman"/>
        </w:rPr>
        <w:t xml:space="preserve"> possível visualizar vozes discordantes à política do MEC no CDES.  Na 6ª Reunião Plenária, ocorrida em 11 de março de 2004, o conselheiro José Seráficoassinala que </w:t>
      </w:r>
      <w:r>
        <w:rPr>
          <w:rFonts w:ascii="Times New Roman" w:hAnsi="Times New Roman"/>
        </w:rPr>
        <w:t>“</w:t>
      </w:r>
      <w:r w:rsidRPr="00303FA9">
        <w:rPr>
          <w:rFonts w:ascii="Times New Roman" w:hAnsi="Times New Roman"/>
        </w:rPr>
        <w:t>mais de oitenta por cento da produção científica no Brasil vem das instituições públicas e, no entanto, a proposta do MEC, diante do quadro de sucateamento do ensino e da pesquisa pública, é de privatizar o sistema, comprando vagas nas instituições privadas”.</w:t>
      </w:r>
    </w:p>
  </w:footnote>
  <w:footnote w:id="364">
    <w:p w:rsidR="00DD31B9" w:rsidRPr="00F45E52" w:rsidRDefault="00DD31B9" w:rsidP="0071250D">
      <w:pPr>
        <w:pStyle w:val="Textodenotaderodap"/>
        <w:rPr>
          <w:rFonts w:ascii="Times New Roman" w:hAnsi="Times New Roman"/>
        </w:rPr>
      </w:pPr>
      <w:r w:rsidRPr="00F45E52">
        <w:rPr>
          <w:rStyle w:val="Refdenotaderodap"/>
          <w:rFonts w:ascii="Times New Roman" w:hAnsi="Times New Roman"/>
        </w:rPr>
        <w:footnoteRef/>
      </w:r>
      <w:r>
        <w:rPr>
          <w:rFonts w:ascii="Times New Roman" w:hAnsi="Times New Roman"/>
        </w:rPr>
        <w:t>Disponível em &lt;</w:t>
      </w:r>
      <w:r w:rsidRPr="00F45E52">
        <w:rPr>
          <w:rFonts w:ascii="Times New Roman" w:hAnsi="Times New Roman"/>
        </w:rPr>
        <w:t>http://www.cdes.gov.br/linha-do-tempo.html</w:t>
      </w:r>
      <w:r>
        <w:rPr>
          <w:rFonts w:ascii="Times New Roman" w:hAnsi="Times New Roman"/>
        </w:rPr>
        <w:t>&gt;. Acesso em 09/03/2015.</w:t>
      </w:r>
    </w:p>
  </w:footnote>
  <w:footnote w:id="365">
    <w:p w:rsidR="00DD31B9" w:rsidRPr="008B36B2" w:rsidRDefault="00DD31B9" w:rsidP="00CD354E">
      <w:pPr>
        <w:pStyle w:val="Textodenotaderodap"/>
        <w:rPr>
          <w:rFonts w:ascii="Times New Roman" w:hAnsi="Times New Roman"/>
        </w:rPr>
      </w:pPr>
      <w:r w:rsidRPr="008B36B2">
        <w:rPr>
          <w:rStyle w:val="Refdenotaderodap"/>
          <w:rFonts w:ascii="Times New Roman" w:hAnsi="Times New Roman"/>
        </w:rPr>
        <w:footnoteRef/>
      </w:r>
      <w:r w:rsidRPr="008B36B2">
        <w:rPr>
          <w:rFonts w:ascii="Times New Roman" w:hAnsi="Times New Roman"/>
        </w:rPr>
        <w:t xml:space="preserve"> As cartas seguiram a seguinte sequência temática, indicada pelo título (o número entre parênteses corresponde o número de versões, de acordo com Costa (2008): I – Ação Política para a Mudança e a Concertação (2); II – Ação pelo Progresso e Inclusão Social (5); III – Fundamentos para um Novo Contrato Social (1); IV – O Desafio da Transição e o Papel da Sociedade – a retomada do crescimento (3); V – Caminhos para um Novo Contrato Social (4); VI – Política Industrial como Consenso para uma Agenda de Desenvolvimento (3). Em seus aspectos formais, os textos das Cartas aparecem na forma de itens ou pontos que expressam preocupações distintas, não obrigatoriamente interligadas.</w:t>
      </w:r>
    </w:p>
  </w:footnote>
  <w:footnote w:id="366">
    <w:p w:rsidR="00DD31B9" w:rsidRDefault="00DD31B9" w:rsidP="003E7B44">
      <w:pPr>
        <w:spacing w:after="0" w:line="240" w:lineRule="auto"/>
      </w:pPr>
      <w:r w:rsidRPr="008B36B2">
        <w:rPr>
          <w:rStyle w:val="Refdenotaderodap"/>
          <w:rFonts w:ascii="Times New Roman" w:hAnsi="Times New Roman"/>
          <w:sz w:val="20"/>
          <w:szCs w:val="20"/>
        </w:rPr>
        <w:footnoteRef/>
      </w:r>
      <w:r w:rsidRPr="008B36B2">
        <w:rPr>
          <w:rFonts w:ascii="Times New Roman" w:hAnsi="Times New Roman"/>
          <w:sz w:val="20"/>
          <w:szCs w:val="20"/>
        </w:rPr>
        <w:t xml:space="preserve"> COSTA, Vanda Maria Ribeiro. </w:t>
      </w:r>
      <w:r w:rsidRPr="008B36B2">
        <w:rPr>
          <w:rFonts w:ascii="Times New Roman" w:hAnsi="Times New Roman"/>
          <w:i/>
          <w:sz w:val="20"/>
          <w:szCs w:val="20"/>
        </w:rPr>
        <w:t>O CDES</w:t>
      </w:r>
      <w:r w:rsidRPr="008B36B2">
        <w:rPr>
          <w:rFonts w:ascii="Times New Roman" w:hAnsi="Times New Roman"/>
          <w:sz w:val="20"/>
          <w:szCs w:val="20"/>
        </w:rPr>
        <w:t>: a aprendizagem do pacto. Revista Insight Inteligência, 2008, p. 143. Disponível em &lt; http://www.insightinteligencia.com.br/41/PDFs/11%20-%20CDES.pdf&gt;.</w:t>
      </w:r>
    </w:p>
  </w:footnote>
  <w:footnote w:id="367">
    <w:p w:rsidR="00DD31B9" w:rsidRPr="004538C7" w:rsidRDefault="00DD31B9" w:rsidP="00CD354E">
      <w:pPr>
        <w:spacing w:after="0" w:line="240" w:lineRule="auto"/>
        <w:rPr>
          <w:rFonts w:ascii="Times New Roman" w:hAnsi="Times New Roman"/>
          <w:sz w:val="20"/>
          <w:szCs w:val="20"/>
        </w:rPr>
      </w:pPr>
      <w:r w:rsidRPr="004538C7">
        <w:rPr>
          <w:rStyle w:val="Refdenotaderodap"/>
          <w:rFonts w:ascii="Times New Roman" w:hAnsi="Times New Roman"/>
          <w:sz w:val="20"/>
          <w:szCs w:val="20"/>
        </w:rPr>
        <w:footnoteRef/>
      </w:r>
      <w:r w:rsidRPr="004538C7">
        <w:rPr>
          <w:rFonts w:ascii="Times New Roman" w:hAnsi="Times New Roman"/>
          <w:sz w:val="20"/>
          <w:szCs w:val="20"/>
        </w:rPr>
        <w:t xml:space="preserve"> A Segunda Carta esclarece que “Queremos (...) avançar na construção de um grande acordo (...) entre forças políticas, representações empresariais, sindicais e de vastos setores da sociedade civil (...) a partir da confiança de que é possível estabelecermos marcos de consenso: um espaço comum no interior do qual podemos disputar posições, em busca de um sentido aceito por todos e que fundamentará as nossas ações políticas”. Secretaria de Relações Institucionais. Secretaria do Conselho de Desenvolvimento Econômico e Social. </w:t>
      </w:r>
      <w:r w:rsidRPr="004538C7">
        <w:rPr>
          <w:rFonts w:ascii="Times New Roman" w:hAnsi="Times New Roman"/>
          <w:i/>
          <w:sz w:val="20"/>
          <w:szCs w:val="20"/>
        </w:rPr>
        <w:t>Cartas de Concertação.</w:t>
      </w:r>
      <w:r w:rsidRPr="004538C7">
        <w:rPr>
          <w:rFonts w:ascii="Times New Roman" w:hAnsi="Times New Roman"/>
          <w:sz w:val="20"/>
          <w:szCs w:val="20"/>
        </w:rPr>
        <w:t xml:space="preserve"> Brasília: Presidência da República, CDES, s/d.</w:t>
      </w:r>
    </w:p>
  </w:footnote>
  <w:footnote w:id="368">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Secretaria de Relações Institucionais. Secretaria do Conselho de Desenvolvimento Econômico e Social. </w:t>
      </w:r>
      <w:r w:rsidRPr="004538C7">
        <w:rPr>
          <w:rFonts w:ascii="Times New Roman" w:hAnsi="Times New Roman"/>
          <w:i/>
        </w:rPr>
        <w:t>Mesa Redonda</w:t>
      </w:r>
      <w:r w:rsidRPr="004538C7">
        <w:rPr>
          <w:rFonts w:ascii="Times New Roman" w:hAnsi="Times New Roman"/>
        </w:rPr>
        <w:t>: Diálogo Social... Op. cit., p. 21, grifos meus.</w:t>
      </w:r>
    </w:p>
  </w:footnote>
  <w:footnote w:id="369">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22.</w:t>
      </w:r>
    </w:p>
  </w:footnote>
  <w:footnote w:id="370">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10.</w:t>
      </w:r>
    </w:p>
  </w:footnote>
  <w:footnote w:id="371">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Quarta Carta de Concertação, 04/09/2003, grifos meus. SRI. SEDES. </w:t>
      </w:r>
      <w:r w:rsidRPr="004538C7">
        <w:rPr>
          <w:rFonts w:ascii="Times New Roman" w:hAnsi="Times New Roman"/>
          <w:i/>
        </w:rPr>
        <w:t>Cartas de Concertação...</w:t>
      </w:r>
      <w:r w:rsidRPr="004538C7">
        <w:rPr>
          <w:rFonts w:ascii="Times New Roman" w:hAnsi="Times New Roman"/>
        </w:rPr>
        <w:t>op. cit., p. 18.</w:t>
      </w:r>
    </w:p>
  </w:footnote>
  <w:footnote w:id="372">
    <w:p w:rsidR="00DD31B9" w:rsidRPr="004538C7" w:rsidRDefault="00DD31B9" w:rsidP="00CD354E">
      <w:pPr>
        <w:autoSpaceDE w:val="0"/>
        <w:autoSpaceDN w:val="0"/>
        <w:adjustRightInd w:val="0"/>
        <w:spacing w:after="0" w:line="240" w:lineRule="auto"/>
        <w:rPr>
          <w:rFonts w:ascii="Times New Roman" w:hAnsi="Times New Roman"/>
          <w:sz w:val="20"/>
          <w:szCs w:val="20"/>
        </w:rPr>
      </w:pPr>
      <w:r w:rsidRPr="004538C7">
        <w:rPr>
          <w:rStyle w:val="Refdenotaderodap"/>
          <w:rFonts w:ascii="Times New Roman" w:hAnsi="Times New Roman"/>
          <w:sz w:val="20"/>
          <w:szCs w:val="20"/>
        </w:rPr>
        <w:footnoteRef/>
      </w:r>
      <w:r w:rsidRPr="004538C7">
        <w:rPr>
          <w:rFonts w:ascii="Times New Roman" w:hAnsi="Times New Roman"/>
          <w:sz w:val="20"/>
          <w:szCs w:val="20"/>
        </w:rPr>
        <w:t xml:space="preserve"> Especialmente GENRO, Tarso. Democratizar as relações entre governo e sociedade. In: CORREA, Jaime Montalvo (et al). </w:t>
      </w:r>
      <w:r w:rsidRPr="004538C7">
        <w:rPr>
          <w:rFonts w:ascii="Times New Roman" w:hAnsi="Times New Roman"/>
          <w:i/>
          <w:sz w:val="20"/>
          <w:szCs w:val="20"/>
        </w:rPr>
        <w:t>Novos espaços democráticos: diálogo social no Brasil e a experiência da Espanha</w:t>
      </w:r>
      <w:r w:rsidRPr="004538C7">
        <w:rPr>
          <w:rFonts w:ascii="Times New Roman" w:hAnsi="Times New Roman"/>
          <w:sz w:val="20"/>
          <w:szCs w:val="20"/>
        </w:rPr>
        <w:t>. São Paulo: Perseu Abramo, 2003a; e _______. (2003b), As Premissas da Concertação. Disponível em &lt;httphttp://tarsogenro.com.br/as-premissas-da-concertacao/&gt;. Acesso em 06.07.2014.</w:t>
      </w:r>
    </w:p>
  </w:footnote>
  <w:footnote w:id="373">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GENRO, Tarso. Democratizar as relações entre governo e sociedade... Op. cit. p. 98.</w:t>
      </w:r>
    </w:p>
  </w:footnote>
  <w:footnote w:id="374">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101-102.</w:t>
      </w:r>
    </w:p>
  </w:footnote>
  <w:footnote w:id="375">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103-104.</w:t>
      </w:r>
    </w:p>
  </w:footnote>
  <w:footnote w:id="376">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As Premissas da Concertação, op. cit.</w:t>
      </w:r>
    </w:p>
  </w:footnote>
  <w:footnote w:id="377">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GENRO, Tarso. Democratizar as relações entre governo e sociedade... Op. cit. p. 105.</w:t>
      </w:r>
    </w:p>
  </w:footnote>
  <w:footnote w:id="378">
    <w:p w:rsidR="00DD31B9" w:rsidRPr="00471916" w:rsidRDefault="00DD31B9">
      <w:pPr>
        <w:pStyle w:val="Textodenotaderodap"/>
        <w:rPr>
          <w:rFonts w:ascii="Times New Roman" w:hAnsi="Times New Roman"/>
        </w:rPr>
      </w:pPr>
      <w:r w:rsidRPr="00471916">
        <w:rPr>
          <w:rStyle w:val="Refdenotaderodap"/>
          <w:rFonts w:ascii="Times New Roman" w:hAnsi="Times New Roman"/>
        </w:rPr>
        <w:footnoteRef/>
      </w:r>
      <w:r w:rsidRPr="00471916">
        <w:rPr>
          <w:rFonts w:ascii="Times New Roman" w:hAnsi="Times New Roman"/>
        </w:rPr>
        <w:t xml:space="preserve"> Idem.</w:t>
      </w:r>
      <w:r>
        <w:rPr>
          <w:rFonts w:ascii="Times New Roman" w:hAnsi="Times New Roman"/>
        </w:rPr>
        <w:t xml:space="preserve"> Grifos no original.</w:t>
      </w:r>
    </w:p>
  </w:footnote>
  <w:footnote w:id="379">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100-101, grifos meus.</w:t>
      </w:r>
    </w:p>
  </w:footnote>
  <w:footnote w:id="380">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SEDES (2003c). </w:t>
      </w:r>
      <w:r w:rsidRPr="004538C7">
        <w:rPr>
          <w:rFonts w:ascii="Times New Roman" w:hAnsi="Times New Roman"/>
          <w:i/>
        </w:rPr>
        <w:t>Discurso do presidente da República, Luiz Inácio Lula da Silva, na cerimônia de instalação do Conselho de Desenvolvimento Econômico e Social</w:t>
      </w:r>
      <w:r w:rsidRPr="004538C7">
        <w:rPr>
          <w:rFonts w:ascii="Times New Roman" w:hAnsi="Times New Roman"/>
        </w:rPr>
        <w:t>. Presidência da República – Secretaria de Imprensa e Divulgação. Disponível em &lt;http://www.biblioteca.presidencia.gov.br/ex-presidentes/luiz-inacio-lula-da-silva/discursos/1o-mandato/pdfs-2003/1o-semestre/13-02-2003-discurso-do-presidente-da-republica-luiz-inacio-lula-da-silva-na-cerimonia-de-instalacao-do-conselho-de-desenvolvimento-economico-e-social/view&gt;. Acesso em 07/07/2014. Grifos meus.</w:t>
      </w:r>
    </w:p>
  </w:footnote>
  <w:footnote w:id="381">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SILVA, Luis Inácio Lula da.</w:t>
      </w:r>
      <w:r w:rsidRPr="004538C7">
        <w:rPr>
          <w:rFonts w:ascii="Times New Roman" w:hAnsi="Times New Roman"/>
          <w:i/>
        </w:rPr>
        <w:t>Um Brasil para Todos</w:t>
      </w:r>
      <w:r w:rsidRPr="004538C7">
        <w:rPr>
          <w:rFonts w:ascii="Times New Roman" w:hAnsi="Times New Roman"/>
        </w:rPr>
        <w:t>. Crescimento, Emprego e Inclusão Social. Coligação Lula Presidente. Programa de Governo 2002. p. 15, grifos meus. Disponível           &lt;</w:t>
      </w:r>
      <w:r w:rsidRPr="004538C7">
        <w:rPr>
          <w:rStyle w:val="CitaoHTML"/>
          <w:rFonts w:ascii="Times New Roman" w:hAnsi="Times New Roman"/>
        </w:rPr>
        <w:t xml:space="preserve">http://virtualbooks.terra.com.br/osmelhoresautores/planodegovernoLULA.htm&gt;. </w:t>
      </w:r>
      <w:r w:rsidRPr="004538C7">
        <w:rPr>
          <w:rStyle w:val="CitaoHTML"/>
          <w:rFonts w:ascii="Times New Roman" w:hAnsi="Times New Roman"/>
          <w:i w:val="0"/>
        </w:rPr>
        <w:t>Acesso em 21/03/2011</w:t>
      </w:r>
    </w:p>
  </w:footnote>
  <w:footnote w:id="382">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Para uma profunda e refinadíssima pesquisa e análise dos documentos e artigos produzidos pelos expoentes da Nova Esquerda conferir COELHO, Eurelino. </w:t>
      </w:r>
      <w:r w:rsidRPr="004538C7">
        <w:rPr>
          <w:rFonts w:ascii="Times New Roman" w:hAnsi="Times New Roman"/>
          <w:i/>
        </w:rPr>
        <w:t>Uma esquerda para o capital</w:t>
      </w:r>
      <w:r w:rsidRPr="004538C7">
        <w:rPr>
          <w:rFonts w:ascii="Times New Roman" w:hAnsi="Times New Roman"/>
        </w:rPr>
        <w:t>. Op. Cit., pp. 278 e ss.</w:t>
      </w:r>
    </w:p>
  </w:footnote>
  <w:footnote w:id="383">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GENOÍNO, José. </w:t>
      </w:r>
      <w:r w:rsidRPr="00C95DB5">
        <w:rPr>
          <w:rFonts w:ascii="Times New Roman" w:hAnsi="Times New Roman"/>
        </w:rPr>
        <w:t>Afirmação nacional</w:t>
      </w:r>
      <w:r w:rsidRPr="004538C7">
        <w:rPr>
          <w:rFonts w:ascii="Times New Roman" w:hAnsi="Times New Roman"/>
          <w:i/>
        </w:rPr>
        <w:t>.</w:t>
      </w:r>
      <w:r w:rsidRPr="00C95DB5">
        <w:rPr>
          <w:rFonts w:ascii="Times New Roman" w:hAnsi="Times New Roman"/>
          <w:i/>
        </w:rPr>
        <w:t xml:space="preserve"> Revista Teoria e Debate</w:t>
      </w:r>
      <w:r w:rsidRPr="004538C7">
        <w:rPr>
          <w:rFonts w:ascii="Times New Roman" w:hAnsi="Times New Roman"/>
        </w:rPr>
        <w:t>, 01/02/1993, seção Debate. Disponível em &lt;http://www.teoriaedebate.org.br/materias/politica/debate-afirmacao-nacional?page=0,1#sthash.</w:t>
      </w:r>
    </w:p>
    <w:p w:rsidR="00DD31B9" w:rsidRPr="004538C7" w:rsidRDefault="00DD31B9" w:rsidP="00CD354E">
      <w:pPr>
        <w:pStyle w:val="Textodenotaderodap"/>
        <w:rPr>
          <w:rFonts w:ascii="Times New Roman" w:hAnsi="Times New Roman"/>
        </w:rPr>
      </w:pPr>
      <w:r w:rsidRPr="004538C7">
        <w:rPr>
          <w:rFonts w:ascii="Times New Roman" w:hAnsi="Times New Roman"/>
        </w:rPr>
        <w:t>RJq4UAoV.dpuf&gt;. Acesso em 07/07/2014.</w:t>
      </w:r>
    </w:p>
  </w:footnote>
  <w:footnote w:id="384">
    <w:p w:rsidR="00DD31B9" w:rsidRDefault="00DD31B9" w:rsidP="00CD354E">
      <w:pPr>
        <w:pStyle w:val="Textodenotaderodap"/>
      </w:pPr>
      <w:r w:rsidRPr="004538C7">
        <w:rPr>
          <w:rStyle w:val="Refdenotaderodap"/>
          <w:rFonts w:ascii="Times New Roman" w:hAnsi="Times New Roman"/>
        </w:rPr>
        <w:footnoteRef/>
      </w:r>
      <w:r w:rsidRPr="004538C7">
        <w:rPr>
          <w:rFonts w:ascii="Times New Roman" w:hAnsi="Times New Roman"/>
        </w:rPr>
        <w:t xml:space="preserve"> SRI. SEDES. </w:t>
      </w:r>
      <w:r w:rsidRPr="004538C7">
        <w:rPr>
          <w:rFonts w:ascii="Times New Roman" w:hAnsi="Times New Roman"/>
          <w:i/>
        </w:rPr>
        <w:t>Cartas de Concertação...</w:t>
      </w:r>
      <w:r w:rsidRPr="004538C7">
        <w:rPr>
          <w:rFonts w:ascii="Times New Roman" w:hAnsi="Times New Roman"/>
        </w:rPr>
        <w:t>op. cit. p. 19.</w:t>
      </w:r>
    </w:p>
  </w:footnote>
  <w:footnote w:id="385">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1ª Carta de Concertação, </w:t>
      </w:r>
      <w:r w:rsidRPr="004538C7">
        <w:rPr>
          <w:rFonts w:ascii="Times New Roman" w:hAnsi="Times New Roman"/>
          <w:i/>
        </w:rPr>
        <w:t xml:space="preserve">Ação Política para a Mudança e a Concertação, </w:t>
      </w:r>
      <w:r w:rsidRPr="004538C7">
        <w:rPr>
          <w:rFonts w:ascii="Times New Roman" w:hAnsi="Times New Roman"/>
        </w:rPr>
        <w:t>13/02/2003, p. 02. As Cartas de Concertação foram retiradas de &lt;http://www.cdes.gov.br/materias_aprovadas.html&gt; num documento intitulado “Cartas de Concertação do CDES”, produzido pela Sedes, s/d. Acesso em 08/07/2014. Todos os grifos em itálico contidos nos trechos citados das Cartas de Concertação são meus.</w:t>
      </w:r>
    </w:p>
  </w:footnote>
  <w:footnote w:id="386">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w:t>
      </w:r>
    </w:p>
  </w:footnote>
  <w:footnote w:id="387">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03.</w:t>
      </w:r>
    </w:p>
  </w:footnote>
  <w:footnote w:id="388">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4ª Carta de Concertação. SRI. SEDES. </w:t>
      </w:r>
      <w:r w:rsidRPr="004538C7">
        <w:rPr>
          <w:rFonts w:ascii="Times New Roman" w:hAnsi="Times New Roman"/>
          <w:i/>
        </w:rPr>
        <w:t>Cartas de Concertação...</w:t>
      </w:r>
      <w:r>
        <w:rPr>
          <w:rFonts w:ascii="Times New Roman" w:hAnsi="Times New Roman"/>
        </w:rPr>
        <w:t xml:space="preserve"> O</w:t>
      </w:r>
      <w:r w:rsidRPr="004538C7">
        <w:rPr>
          <w:rFonts w:ascii="Times New Roman" w:hAnsi="Times New Roman"/>
        </w:rPr>
        <w:t>p. cit. p. 17.</w:t>
      </w:r>
    </w:p>
  </w:footnote>
  <w:footnote w:id="389">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COSTA, Vanda Maria Ribeiro. </w:t>
      </w:r>
      <w:r w:rsidRPr="004538C7">
        <w:rPr>
          <w:rFonts w:ascii="Times New Roman" w:hAnsi="Times New Roman"/>
          <w:i/>
        </w:rPr>
        <w:t>O CDES</w:t>
      </w:r>
      <w:r w:rsidRPr="004538C7">
        <w:rPr>
          <w:rFonts w:ascii="Times New Roman" w:hAnsi="Times New Roman"/>
        </w:rPr>
        <w:t>: a aprendizagem do pacto... Op. cit., p. 145.</w:t>
      </w:r>
    </w:p>
  </w:footnote>
  <w:footnote w:id="390">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Proposta que voltará a ser defendida na 3ª e 5ª Cartas, incluindo o “mercado de capitais” no financiamento no “processo produtivo” e sua popularização por meio do “acesso do grande público às bolsas de valores e de mercadorias, (...) de sorte a criar uma nova cultura de investimentos”. Esta proposta condiz </w:t>
      </w:r>
      <w:r w:rsidRPr="004538C7">
        <w:rPr>
          <w:rFonts w:ascii="Times New Roman" w:hAnsi="Times New Roman"/>
          <w:i/>
        </w:rPr>
        <w:t>ipsis litteris</w:t>
      </w:r>
      <w:r w:rsidRPr="004538C7">
        <w:rPr>
          <w:rFonts w:ascii="Times New Roman" w:hAnsi="Times New Roman"/>
        </w:rPr>
        <w:t xml:space="preserve"> com algumas falas do conselheiro Raymundo Magliano Filho, Presidente da BM&amp;FBOVESPA, nas plenárias do CDES.</w:t>
      </w:r>
    </w:p>
  </w:footnote>
  <w:footnote w:id="391">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Apesar de constar nas diretrizes da AND, o tema da Reforma Agrária não foi um tema </w:t>
      </w:r>
      <w:r>
        <w:rPr>
          <w:rFonts w:ascii="Times New Roman" w:hAnsi="Times New Roman"/>
        </w:rPr>
        <w:t>ampla</w:t>
      </w:r>
      <w:r w:rsidRPr="004538C7">
        <w:rPr>
          <w:rFonts w:ascii="Times New Roman" w:hAnsi="Times New Roman"/>
        </w:rPr>
        <w:t>mente debatido no Conselho. Ao contrário, nas atas das reuniões plenárias, pelo menos durante o primeiro governo Lula, era difícil este tema aparecer nas discussões, menos ainda de forma consistente e aprofundada. Nenhum GT, moção ou relatório específico voltou-se ao tema, apesar da proposta (não considerada) lançada pelo conselheiro Pedro Teruel (PT-MS) sobre se constituir um GT sobre reforma agrária ainda em setembro de 2003. O ministro José Dirceu, afirmou na 11ª reunião plenária que, em 2003 e 2004, o Presidente Lula havia tomado uma “decisão corajosa” priorizando os assentamentos que estavam abandonados (“sem água, sem luz, sem estradas, sem assistência técnica, com pouco financiamento”, segundo ele). Regularizada a situação, tratava-se, ainda segundo o ministro, de realizar uma “reforma agrária que signifique um sistema capaz de agregar valor, capaz de ser cooperativo, capaz de evoluir para a agroindústria, porque nós não podemos pensar na reforma agrária como uma economia de subsistência” (ATA, 11ª Reunião Plenária, 10/03/2005, p. 22). A questão ambiental era outro tema que também não mereceu tratamento devido, sendo abordado de forma bastante subsidiária. A Amazônia, por exemplo, sequer foi mencionada na AND, propagado como principal documento produzido pelo Conselho. Sobre este assunto declarou conselheiro general Luiz Gonzaga Schroeder Lessa: “Eu mesmo critico um pouco a Agenda porque acho que eu não posso falar de uma agenda de desenvolvimento do Brasil sem falar em Amazônia e ali, praticamente, a Amazônia é letra morta” (ATA, 19ª Reunião Plenária, 10/05/2006, p. 22). No mesmo sentido, já havia se pronunciado o conselheiro Lutfala Bittar “A nossa Agenda não faz qualquer referência à Amazônia e ao verdadeiro desafio das desigualdades regionais (...)” (ATA, 13ª Reunião Plenária, 25/08/2005, p. 26).</w:t>
      </w:r>
    </w:p>
  </w:footnote>
  <w:footnote w:id="392">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SRI. SEDES. </w:t>
      </w:r>
      <w:r w:rsidRPr="004538C7">
        <w:rPr>
          <w:rFonts w:ascii="Times New Roman" w:hAnsi="Times New Roman"/>
          <w:i/>
        </w:rPr>
        <w:t>Cartas de Concertação...</w:t>
      </w:r>
      <w:r w:rsidRPr="004538C7">
        <w:rPr>
          <w:rFonts w:ascii="Times New Roman" w:hAnsi="Times New Roman"/>
        </w:rPr>
        <w:t>op. cit. p. 6-7.</w:t>
      </w:r>
    </w:p>
  </w:footnote>
  <w:footnote w:id="393">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9.</w:t>
      </w:r>
    </w:p>
  </w:footnote>
  <w:footnote w:id="394">
    <w:p w:rsidR="00DD31B9" w:rsidRPr="0015084E" w:rsidRDefault="00DD31B9">
      <w:pPr>
        <w:pStyle w:val="Textodenotaderodap"/>
        <w:rPr>
          <w:rFonts w:ascii="Times New Roman" w:hAnsi="Times New Roman"/>
        </w:rPr>
      </w:pPr>
      <w:r w:rsidRPr="0015084E">
        <w:rPr>
          <w:rStyle w:val="Refdenotaderodap"/>
          <w:rFonts w:ascii="Times New Roman" w:hAnsi="Times New Roman"/>
        </w:rPr>
        <w:footnoteRef/>
      </w:r>
      <w:r w:rsidRPr="0015084E">
        <w:rPr>
          <w:rFonts w:ascii="Times New Roman" w:hAnsi="Times New Roman"/>
        </w:rPr>
        <w:t xml:space="preserve"> Idem, p. 10.</w:t>
      </w:r>
    </w:p>
  </w:footnote>
  <w:footnote w:id="395">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Pr>
          <w:rFonts w:ascii="Times New Roman" w:hAnsi="Times New Roman"/>
        </w:rPr>
        <w:t xml:space="preserve"> Idem, p. 9.</w:t>
      </w:r>
    </w:p>
  </w:footnote>
  <w:footnote w:id="396">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w:t>
      </w:r>
    </w:p>
  </w:footnote>
  <w:footnote w:id="397">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10-11.</w:t>
      </w:r>
      <w:r>
        <w:rPr>
          <w:rFonts w:ascii="Times New Roman" w:hAnsi="Times New Roman"/>
        </w:rPr>
        <w:t xml:space="preserve">Após os primeiros anos </w:t>
      </w:r>
      <w:r w:rsidRPr="004538C7">
        <w:rPr>
          <w:rFonts w:ascii="Times New Roman" w:hAnsi="Times New Roman"/>
        </w:rPr>
        <w:t>do percurso de institucionalização do Conselho</w:t>
      </w:r>
      <w:r>
        <w:rPr>
          <w:rFonts w:ascii="Times New Roman" w:hAnsi="Times New Roman"/>
        </w:rPr>
        <w:t xml:space="preserve"> (2003-2004)</w:t>
      </w:r>
      <w:r w:rsidRPr="004538C7">
        <w:rPr>
          <w:rFonts w:ascii="Times New Roman" w:hAnsi="Times New Roman"/>
        </w:rPr>
        <w:t>, a S</w:t>
      </w:r>
      <w:r>
        <w:rPr>
          <w:rFonts w:ascii="Times New Roman" w:hAnsi="Times New Roman"/>
        </w:rPr>
        <w:t>EDES</w:t>
      </w:r>
      <w:r w:rsidRPr="004538C7">
        <w:rPr>
          <w:rFonts w:ascii="Times New Roman" w:hAnsi="Times New Roman"/>
        </w:rPr>
        <w:t xml:space="preserve"> e o governo tiveram que reconstituir suas expectativas em relação ao CDES</w:t>
      </w:r>
      <w:r>
        <w:rPr>
          <w:rFonts w:ascii="Times New Roman" w:hAnsi="Times New Roman"/>
        </w:rPr>
        <w:t>, permitindo maior ação elaborativa dos conselheiros quanto às pautas e as formas de funcionamento das plenárias.</w:t>
      </w:r>
      <w:r w:rsidRPr="004538C7">
        <w:rPr>
          <w:rFonts w:ascii="Times New Roman" w:hAnsi="Times New Roman"/>
        </w:rPr>
        <w:t xml:space="preserve"> Assim, por exemplo, no final do primeiro governo Lula, Tarso Genro reconhece os “momentos de choque, de antagonismo, com visões predominantes dentro do governo e, aliás, era exatamente essa sua finalidade. Se o Conselho, que tem um caráter consultivo de elaboração de uma agenda não estabelecer uma contradição com o Estado, com o governo, enquanto representação do Estado, ele perde a sua função! Porque daí ele passa a ser, não uma esfera pública não-estatal, de indução, de controle, de caráter propositivo, mas ele passa a ser simplesmente um novo braço do Estado, daí ele perde a sua finalidade, sua vitalidade e, perde, portanto sua riqueza” (ATA da 19ª Reunião Plenária, 24/08/2006, p. 04). Interessante observar </w:t>
      </w:r>
      <w:r>
        <w:rPr>
          <w:rFonts w:ascii="Times New Roman" w:hAnsi="Times New Roman"/>
        </w:rPr>
        <w:t xml:space="preserve">nessa intervenção de Genro </w:t>
      </w:r>
      <w:r w:rsidRPr="004538C7">
        <w:rPr>
          <w:rFonts w:ascii="Times New Roman" w:hAnsi="Times New Roman"/>
        </w:rPr>
        <w:t xml:space="preserve">que, em momentos de </w:t>
      </w:r>
      <w:r>
        <w:rPr>
          <w:rFonts w:ascii="Times New Roman" w:hAnsi="Times New Roman"/>
        </w:rPr>
        <w:t>apoio para dar legitimidade</w:t>
      </w:r>
      <w:r w:rsidRPr="004538C7">
        <w:rPr>
          <w:rFonts w:ascii="Times New Roman" w:hAnsi="Times New Roman"/>
        </w:rPr>
        <w:t xml:space="preserve">, </w:t>
      </w:r>
      <w:r>
        <w:rPr>
          <w:rFonts w:ascii="Times New Roman" w:hAnsi="Times New Roman"/>
        </w:rPr>
        <w:t xml:space="preserve">enfrentar </w:t>
      </w:r>
      <w:r w:rsidRPr="004538C7">
        <w:rPr>
          <w:rFonts w:ascii="Times New Roman" w:hAnsi="Times New Roman"/>
        </w:rPr>
        <w:t xml:space="preserve">crises ou instabilidades, como ocorreu em 2003 </w:t>
      </w:r>
      <w:r>
        <w:rPr>
          <w:rFonts w:ascii="Times New Roman" w:hAnsi="Times New Roman"/>
        </w:rPr>
        <w:t xml:space="preserve">(contrarreformas), </w:t>
      </w:r>
      <w:r w:rsidRPr="004538C7">
        <w:rPr>
          <w:rFonts w:ascii="Times New Roman" w:hAnsi="Times New Roman"/>
        </w:rPr>
        <w:t>em 2005</w:t>
      </w:r>
      <w:r>
        <w:rPr>
          <w:rFonts w:ascii="Times New Roman" w:hAnsi="Times New Roman"/>
        </w:rPr>
        <w:t xml:space="preserve"> (mensalão) e em 2008 (crise econômica)</w:t>
      </w:r>
      <w:r w:rsidRPr="004538C7">
        <w:rPr>
          <w:rFonts w:ascii="Times New Roman" w:hAnsi="Times New Roman"/>
        </w:rPr>
        <w:t xml:space="preserve"> não se </w:t>
      </w:r>
      <w:r>
        <w:rPr>
          <w:rFonts w:ascii="Times New Roman" w:hAnsi="Times New Roman"/>
        </w:rPr>
        <w:t>esperava</w:t>
      </w:r>
      <w:r w:rsidRPr="004538C7">
        <w:rPr>
          <w:rFonts w:ascii="Times New Roman" w:hAnsi="Times New Roman"/>
        </w:rPr>
        <w:t xml:space="preserve"> uma postura de “contradição” do Conselho com o Estado, não se reconhecia que “era exatamente essa sua finalidade”</w:t>
      </w:r>
      <w:r>
        <w:rPr>
          <w:rFonts w:ascii="Times New Roman" w:hAnsi="Times New Roman"/>
        </w:rPr>
        <w:t>, pois o que se buscava nestas ocasiões era o afinamento dos acordos e das pactuações</w:t>
      </w:r>
      <w:r w:rsidRPr="004538C7">
        <w:rPr>
          <w:rFonts w:ascii="Times New Roman" w:hAnsi="Times New Roman"/>
        </w:rPr>
        <w:t>.</w:t>
      </w:r>
      <w:r>
        <w:rPr>
          <w:rFonts w:ascii="Times New Roman" w:hAnsi="Times New Roman"/>
        </w:rPr>
        <w:t xml:space="preserve"> Ou seja, em “momentos de paz” admitia-se as contradições, em “momentos de guerra” esperava-se o apagamento das diferenças e a busca de soluções para enfrentar as dificuldades que o governo atravessava.</w:t>
      </w:r>
    </w:p>
  </w:footnote>
  <w:footnote w:id="398">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SRI. SEDES. </w:t>
      </w:r>
      <w:r w:rsidRPr="004538C7">
        <w:rPr>
          <w:rFonts w:ascii="Times New Roman" w:hAnsi="Times New Roman"/>
          <w:i/>
        </w:rPr>
        <w:t>Cartas de Concertação...</w:t>
      </w:r>
      <w:r w:rsidRPr="004538C7">
        <w:rPr>
          <w:rFonts w:ascii="Times New Roman" w:hAnsi="Times New Roman"/>
        </w:rPr>
        <w:t>op. cit. p. 11.</w:t>
      </w:r>
    </w:p>
  </w:footnote>
  <w:footnote w:id="399">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12.</w:t>
      </w:r>
    </w:p>
  </w:footnote>
  <w:footnote w:id="400">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14.</w:t>
      </w:r>
    </w:p>
  </w:footnote>
  <w:footnote w:id="401">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12.</w:t>
      </w:r>
    </w:p>
  </w:footnote>
  <w:footnote w:id="402">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13.</w:t>
      </w:r>
    </w:p>
  </w:footnote>
  <w:footnote w:id="403">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14.</w:t>
      </w:r>
    </w:p>
  </w:footnote>
  <w:footnote w:id="404">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17.</w:t>
      </w:r>
    </w:p>
  </w:footnote>
  <w:footnote w:id="405">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21.</w:t>
      </w:r>
    </w:p>
  </w:footnote>
  <w:footnote w:id="406">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21.</w:t>
      </w:r>
    </w:p>
  </w:footnote>
  <w:footnote w:id="407">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20.</w:t>
      </w:r>
    </w:p>
  </w:footnote>
  <w:footnote w:id="408">
    <w:p w:rsidR="00DD31B9" w:rsidRPr="002C78B3" w:rsidRDefault="00DD31B9" w:rsidP="00CD354E">
      <w:pPr>
        <w:pStyle w:val="Textodenotaderodap"/>
        <w:rPr>
          <w:rFonts w:ascii="Times New Roman" w:hAnsi="Times New Roman"/>
        </w:rPr>
      </w:pPr>
      <w:r w:rsidRPr="002C78B3">
        <w:rPr>
          <w:rStyle w:val="Refdenotaderodap"/>
          <w:rFonts w:ascii="Times New Roman" w:hAnsi="Times New Roman"/>
        </w:rPr>
        <w:footnoteRef/>
      </w:r>
      <w:r w:rsidRPr="002C78B3">
        <w:rPr>
          <w:rFonts w:ascii="Times New Roman" w:hAnsi="Times New Roman"/>
        </w:rPr>
        <w:t xml:space="preserve"> Idem, p. 21.</w:t>
      </w:r>
    </w:p>
  </w:footnote>
  <w:footnote w:id="409">
    <w:p w:rsidR="00DD31B9" w:rsidRPr="004538C7" w:rsidRDefault="00DD31B9" w:rsidP="00CD354E">
      <w:pPr>
        <w:autoSpaceDE w:val="0"/>
        <w:autoSpaceDN w:val="0"/>
        <w:adjustRightInd w:val="0"/>
        <w:spacing w:after="0" w:line="240" w:lineRule="auto"/>
        <w:rPr>
          <w:rFonts w:ascii="Times New Roman" w:hAnsi="Times New Roman"/>
          <w:sz w:val="20"/>
          <w:szCs w:val="20"/>
        </w:rPr>
      </w:pPr>
      <w:r w:rsidRPr="004538C7">
        <w:rPr>
          <w:rStyle w:val="Refdenotaderodap"/>
          <w:rFonts w:ascii="Times New Roman" w:hAnsi="Times New Roman"/>
          <w:sz w:val="20"/>
          <w:szCs w:val="20"/>
        </w:rPr>
        <w:footnoteRef/>
      </w:r>
      <w:r w:rsidRPr="004538C7">
        <w:rPr>
          <w:rFonts w:ascii="Times New Roman" w:hAnsi="Times New Roman"/>
          <w:sz w:val="20"/>
          <w:szCs w:val="20"/>
        </w:rPr>
        <w:t xml:space="preserve"> O documento “Diretrizes de Política Industrial, Tecnológica e de Comércio Exterior” foi lançado em novembro de 2003 e complementado em março de 2004 cuja cerimônia de lançamento da PITCE foi realizada na sede da CNI. O objetivo da PITCE, segundo o documento, é “o aumento da eficiência econômica e do desenvolvimento e difusão de tecnologias com maior potencial de indução do nível de atividade e de competição no comércio internacional. Ela estará focada no aumento da eficiência da estrutura produtiva, aumento da capacidade de inovação das empresas brasileiras e expansão das exportações. Esta é a base para uma maior inserção do país no comércio internacional, estimulando os setores onde o Brasil tem maior capacidade ou necessidade de desenvolver vantagens competitivas, abrindo caminhos para inserção nos setores mais dinâmicos dos fluxos de troca internacionais”. Disponível em &lt;http://www.inovacao.unicamp.br/politicact/diretrizes-pi-031212.pdf&gt;. Acesso em 09/07/2014.</w:t>
      </w:r>
    </w:p>
  </w:footnote>
  <w:footnote w:id="410">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SRI. SEDES. </w:t>
      </w:r>
      <w:r w:rsidRPr="004538C7">
        <w:rPr>
          <w:rFonts w:ascii="Times New Roman" w:hAnsi="Times New Roman"/>
          <w:i/>
        </w:rPr>
        <w:t>Cartas de Concertação...</w:t>
      </w:r>
      <w:r w:rsidRPr="004538C7">
        <w:rPr>
          <w:rFonts w:ascii="Times New Roman" w:hAnsi="Times New Roman"/>
        </w:rPr>
        <w:t>op. cit. p. 21.</w:t>
      </w:r>
    </w:p>
  </w:footnote>
  <w:footnote w:id="411">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w:t>
      </w:r>
    </w:p>
  </w:footnote>
  <w:footnote w:id="412">
    <w:p w:rsidR="00DD31B9" w:rsidRPr="004538C7" w:rsidRDefault="00DD31B9" w:rsidP="00CD354E">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Ligados ao Ministério do Desenvolvimento, Indústria e Comércio Exterior (MDIC), a Agência Brasileira de Desenvolvimento Industrial (ABDI) e o Conselho Nacional de Desenvolvimento Industrial (CNDI) foram criados pelo Decreto 11.080 de 30 de dezembro de 2004. Ambas as agências da sociedade política são compostas por grandes empresários em seus conselhos.</w:t>
      </w:r>
    </w:p>
  </w:footnote>
  <w:footnote w:id="413">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Pr>
          <w:rFonts w:ascii="Times New Roman" w:hAnsi="Times New Roman"/>
        </w:rPr>
        <w:t>SRI</w:t>
      </w:r>
      <w:r w:rsidRPr="00303FA9">
        <w:rPr>
          <w:rFonts w:ascii="Times New Roman" w:hAnsi="Times New Roman"/>
        </w:rPr>
        <w:t xml:space="preserve">. </w:t>
      </w:r>
      <w:r>
        <w:rPr>
          <w:rFonts w:ascii="Times New Roman" w:hAnsi="Times New Roman"/>
        </w:rPr>
        <w:t>SEDES</w:t>
      </w:r>
      <w:r w:rsidRPr="00303FA9">
        <w:rPr>
          <w:rFonts w:ascii="Times New Roman" w:hAnsi="Times New Roman"/>
        </w:rPr>
        <w:t xml:space="preserve">. </w:t>
      </w:r>
      <w:r w:rsidRPr="00303FA9">
        <w:rPr>
          <w:rFonts w:ascii="Times New Roman" w:hAnsi="Times New Roman"/>
          <w:i/>
        </w:rPr>
        <w:t>Mesa Redonda</w:t>
      </w:r>
      <w:r w:rsidRPr="00303FA9">
        <w:rPr>
          <w:rFonts w:ascii="Times New Roman" w:hAnsi="Times New Roman"/>
        </w:rPr>
        <w:t>: Diálogo Social... Op. cit., grifos meus, p. 21.</w:t>
      </w:r>
    </w:p>
  </w:footnote>
  <w:footnote w:id="414">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Idem, p. 21-22, grifos no original.</w:t>
      </w:r>
    </w:p>
  </w:footnote>
  <w:footnote w:id="415">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Idem, p. 23.</w:t>
      </w:r>
    </w:p>
  </w:footnote>
  <w:footnote w:id="416">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Idem, p. 24.</w:t>
      </w:r>
    </w:p>
  </w:footnote>
  <w:footnote w:id="417">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Idem, p. 22, grifos no original.</w:t>
      </w:r>
    </w:p>
  </w:footnote>
  <w:footnote w:id="418">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Idem, p. 23.</w:t>
      </w:r>
    </w:p>
  </w:footnote>
  <w:footnote w:id="419">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Idem, p. 24.</w:t>
      </w:r>
    </w:p>
  </w:footnote>
  <w:footnote w:id="420">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“Planejar o presente e o futuro do país passou a ser coisa do passado. Como você pode dirigir uma sociedade sem saber para onde vai? O mercado é que decide tudo. O país passou a ser visto como uma empresa. Isso é um absurdo” (SEDES, 2004a: 20). No documento da AND aparecem como requisitos para sua implementação: “A capacidade de ação coordenada e integrada dos governos; operação, em sintonia fina, dos Poderes da República; estratégica coordenação estatal-privada; uma política macroeconômica (monetária, cambial, fiscal – tributária) concebida e executada de forma consistente com os objetivos da Agenda” (CDES, 2010a: 16)</w:t>
      </w:r>
      <w:r>
        <w:rPr>
          <w:rFonts w:ascii="Times New Roman" w:hAnsi="Times New Roman"/>
        </w:rPr>
        <w:t>.</w:t>
      </w:r>
    </w:p>
  </w:footnote>
  <w:footnote w:id="421">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Os outros dois conselheiros foram Clemente Ganz Lúcio (Dieese) e Horácio Piva (</w:t>
      </w:r>
      <w:r>
        <w:rPr>
          <w:rFonts w:ascii="Times New Roman" w:hAnsi="Times New Roman"/>
        </w:rPr>
        <w:t>FIESP</w:t>
      </w:r>
      <w:r w:rsidRPr="00303FA9">
        <w:rPr>
          <w:rFonts w:ascii="Times New Roman" w:hAnsi="Times New Roman"/>
        </w:rPr>
        <w:t>).</w:t>
      </w:r>
    </w:p>
  </w:footnote>
  <w:footnote w:id="422">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A renegociação da dívida foi também defendida na mesma reunião pelas conselheiras Lucélia Santos e Zilda Arns e pelo conselheiro Amarílio de Macedo. Palocci rechaçou categoricamente esta alternativa, alegando que “levaria a um aumento de risco para o nosso país e das taxas de juros de mercado (...) A má gestão ou a desistência de gerir o processo da dívida piora o produto dos países (...) e aumento da pobreza” . Ou em outro momento: “(...) nenhum país do mundo conseguiu resultados positivos renegociando dívidas. Normalmente, um país deixa de pagar uma dívida quando se desorganiza. (...) O perfil da dívida melhora com a redução do gasto público, com equilíbrio fiscal. As negociações por decisão unilateral normalmente são traumáticas”. A proposta de auditoria e a renegociação da dívida foi retomada em outras ocasiões no âmbito do Conselho.</w:t>
      </w:r>
    </w:p>
  </w:footnote>
  <w:footnote w:id="423">
    <w:p w:rsidR="00DD31B9" w:rsidRPr="00C33FA2" w:rsidRDefault="00DD31B9">
      <w:pPr>
        <w:pStyle w:val="Textodenotaderodap"/>
        <w:rPr>
          <w:rFonts w:ascii="Times New Roman" w:hAnsi="Times New Roman"/>
        </w:rPr>
      </w:pPr>
      <w:r w:rsidRPr="00C33FA2">
        <w:rPr>
          <w:rStyle w:val="Refdenotaderodap"/>
          <w:rFonts w:ascii="Times New Roman" w:hAnsi="Times New Roman"/>
        </w:rPr>
        <w:footnoteRef/>
      </w:r>
      <w:r w:rsidRPr="00C33FA2">
        <w:rPr>
          <w:rFonts w:ascii="Times New Roman" w:hAnsi="Times New Roman"/>
        </w:rPr>
        <w:t xml:space="preserve"> Não eram apenas Palocci e Meirelles as figuras proeminentes do governo que apoiavam a política econômica restritiva no CDES. O próprio secretário-executivo Tarso Genro e o Presidente da República, dentre outros, diversas vezes se dirigiam aos conselheiros afirmando que as medidas estavam na direção correta, e que não se iria fazer “populismo econômico”, tal qual afirmou Lula da Silva.</w:t>
      </w:r>
    </w:p>
  </w:footnote>
  <w:footnote w:id="424">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Antonio Palocci deixou o cargo de Ministro da Fazenda do governo Lula da Silva em 27 de março de 2006.</w:t>
      </w:r>
    </w:p>
  </w:footnote>
  <w:footnote w:id="425">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Gabriel Ferreira (Unibanco), argumentou que “(...) os bancos operam de forma diversificada. </w:t>
      </w:r>
      <w:r w:rsidRPr="00303FA9">
        <w:rPr>
          <w:rFonts w:ascii="Times New Roman" w:hAnsi="Times New Roman"/>
          <w:b/>
        </w:rPr>
        <w:t>Eles não vivem apenas de crédito</w:t>
      </w:r>
      <w:r w:rsidRPr="00303FA9">
        <w:rPr>
          <w:rFonts w:ascii="Times New Roman" w:hAnsi="Times New Roman"/>
        </w:rPr>
        <w:t xml:space="preserve">. Até porque o crédito praticado na economia ainda é muito baixo. Então, os bancos têm resultados decorrentes de investimentos em outros setores como na área de seguros, na área de previdência, na área de capitalização, de gestão de recursos de terceiros, e de serviços que hoje realmente representam uma parcela importante das instituições financeiras” (ATA da 10ª Reunião Plenária, 10/11/2004, grifos meus). </w:t>
      </w:r>
    </w:p>
  </w:footnote>
  <w:footnote w:id="426">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Interessante observar que a explanação de Roberto Egydio Setúbal (Itaú) é exatamente oposta a do seu colega Gabriel Ferreira (nota acima) acerca da importância do crédito para o atual sistema financeiro: “(...) do ponto de vista do sistema financeiro, eu entendo que uma taxa de juros mais baixa vai permitir o crescimento do país, o que é muito melhor para o sistema financeiro. </w:t>
      </w:r>
      <w:r w:rsidRPr="00303FA9">
        <w:rPr>
          <w:rFonts w:ascii="Times New Roman" w:hAnsi="Times New Roman"/>
          <w:b/>
        </w:rPr>
        <w:t>Nós vivemos de crédito</w:t>
      </w:r>
      <w:r w:rsidRPr="00303FA9">
        <w:rPr>
          <w:rFonts w:ascii="Times New Roman" w:hAnsi="Times New Roman"/>
        </w:rPr>
        <w:t xml:space="preserve"> e com a taxa de juros baixa o nosso principal produto que é crédito tem um aumento expressivo de demanda, o que é muito bom para os bancos” (ATA da 12ª Reunião Plenária, 19/08/2005, grifos meus).</w:t>
      </w:r>
    </w:p>
  </w:footnote>
  <w:footnote w:id="427">
    <w:p w:rsidR="00DD31B9" w:rsidRDefault="00DD31B9" w:rsidP="00B37AE3">
      <w:pPr>
        <w:pStyle w:val="Textodenotaderodap"/>
        <w:rPr>
          <w:rFonts w:ascii="Times New Roman" w:hAnsi="Times New Roman"/>
        </w:rPr>
      </w:pPr>
      <w:r w:rsidRPr="00071EA5">
        <w:rPr>
          <w:rStyle w:val="Refdenotaderodap"/>
          <w:rFonts w:ascii="Times New Roman" w:hAnsi="Times New Roman"/>
        </w:rPr>
        <w:footnoteRef/>
      </w:r>
      <w:r w:rsidRPr="00071EA5">
        <w:rPr>
          <w:rFonts w:ascii="Times New Roman" w:hAnsi="Times New Roman"/>
        </w:rPr>
        <w:t xml:space="preserve"> Graduada em Medicina, mestre em Engenharia de Produção, doutora em Comunicação e Cultura, Coordenadora da ONG Criola, do Rio de Janeiro e integrante da Articulação de Organizações de Mulheres Negras Brasileiras/ AMNB</w:t>
      </w:r>
      <w:r>
        <w:rPr>
          <w:rFonts w:ascii="Times New Roman" w:hAnsi="Times New Roman"/>
        </w:rPr>
        <w:t>. Dados retirados em &lt;</w:t>
      </w:r>
      <w:r w:rsidRPr="00071EA5">
        <w:rPr>
          <w:rFonts w:ascii="Times New Roman" w:hAnsi="Times New Roman"/>
        </w:rPr>
        <w:t>http://www.fundodireitoshumanos.org.br/v2/</w:t>
      </w:r>
    </w:p>
    <w:p w:rsidR="00DD31B9" w:rsidRPr="00071EA5" w:rsidRDefault="00DD31B9" w:rsidP="00B37AE3">
      <w:pPr>
        <w:pStyle w:val="Textodenotaderodap"/>
        <w:rPr>
          <w:rFonts w:ascii="Times New Roman" w:hAnsi="Times New Roman"/>
        </w:rPr>
      </w:pPr>
      <w:r w:rsidRPr="00071EA5">
        <w:rPr>
          <w:rFonts w:ascii="Times New Roman" w:hAnsi="Times New Roman"/>
        </w:rPr>
        <w:t>pt/team/adviser</w:t>
      </w:r>
      <w:r>
        <w:rPr>
          <w:rFonts w:ascii="Times New Roman" w:hAnsi="Times New Roman"/>
        </w:rPr>
        <w:t>&gt;.  Acesso em 02/01/2014.</w:t>
      </w:r>
    </w:p>
  </w:footnote>
  <w:footnote w:id="428">
    <w:p w:rsidR="00DD31B9" w:rsidRPr="009A2F26" w:rsidRDefault="00DD31B9" w:rsidP="00B37AE3">
      <w:pPr>
        <w:pStyle w:val="Textodenotaderodap"/>
        <w:rPr>
          <w:rFonts w:ascii="Times New Roman" w:hAnsi="Times New Roman"/>
        </w:rPr>
      </w:pPr>
      <w:r w:rsidRPr="009A2F26">
        <w:rPr>
          <w:rStyle w:val="Refdenotaderodap"/>
          <w:rFonts w:ascii="Times New Roman" w:hAnsi="Times New Roman"/>
        </w:rPr>
        <w:footnoteRef/>
      </w:r>
      <w:r w:rsidRPr="00EF615E">
        <w:rPr>
          <w:rFonts w:ascii="Times New Roman" w:hAnsi="Times New Roman"/>
        </w:rPr>
        <w:t>GARCIA, Ronaldo C</w:t>
      </w:r>
      <w:r>
        <w:rPr>
          <w:rFonts w:ascii="Times New Roman" w:hAnsi="Times New Roman"/>
        </w:rPr>
        <w:t>.</w:t>
      </w:r>
      <w:r w:rsidRPr="00EF615E">
        <w:rPr>
          <w:rFonts w:ascii="Times New Roman" w:hAnsi="Times New Roman"/>
        </w:rPr>
        <w:t xml:space="preserve"> O CDES e a construção da Agenda Nacional de Desenvolvimento</w:t>
      </w:r>
      <w:r>
        <w:rPr>
          <w:rFonts w:ascii="Times New Roman" w:hAnsi="Times New Roman"/>
        </w:rPr>
        <w:t>... Op. cit., p. 45.</w:t>
      </w:r>
    </w:p>
  </w:footnote>
  <w:footnote w:id="429">
    <w:p w:rsidR="00DD31B9" w:rsidRPr="009A2F26" w:rsidRDefault="00DD31B9" w:rsidP="00B37AE3">
      <w:pPr>
        <w:pStyle w:val="Textodenotaderodap"/>
        <w:rPr>
          <w:rFonts w:ascii="Times New Roman" w:hAnsi="Times New Roman"/>
        </w:rPr>
      </w:pPr>
      <w:r w:rsidRPr="009A2F26">
        <w:rPr>
          <w:rStyle w:val="Refdenotaderodap"/>
          <w:rFonts w:ascii="Times New Roman" w:hAnsi="Times New Roman"/>
        </w:rPr>
        <w:footnoteRef/>
      </w:r>
      <w:r>
        <w:rPr>
          <w:rFonts w:ascii="Times New Roman" w:hAnsi="Times New Roman"/>
        </w:rPr>
        <w:t>Idem, p. 66.</w:t>
      </w:r>
    </w:p>
  </w:footnote>
  <w:footnote w:id="430">
    <w:p w:rsidR="00DD31B9" w:rsidRPr="009A2F26" w:rsidRDefault="00DD31B9" w:rsidP="00B37AE3">
      <w:pPr>
        <w:pStyle w:val="Textodenotaderodap"/>
        <w:rPr>
          <w:rFonts w:ascii="Times New Roman" w:hAnsi="Times New Roman"/>
        </w:rPr>
      </w:pPr>
      <w:r w:rsidRPr="009A2F26">
        <w:rPr>
          <w:rStyle w:val="Refdenotaderodap"/>
          <w:rFonts w:ascii="Times New Roman" w:hAnsi="Times New Roman"/>
        </w:rPr>
        <w:footnoteRef/>
      </w:r>
      <w:r>
        <w:rPr>
          <w:rFonts w:ascii="Times New Roman" w:hAnsi="Times New Roman"/>
        </w:rPr>
        <w:t xml:space="preserve">Idem. </w:t>
      </w:r>
    </w:p>
  </w:footnote>
  <w:footnote w:id="431">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i/>
        </w:rPr>
        <w:t xml:space="preserve">Spread </w:t>
      </w:r>
      <w:r w:rsidRPr="00303FA9">
        <w:rPr>
          <w:rFonts w:ascii="Times New Roman" w:hAnsi="Times New Roman"/>
        </w:rPr>
        <w:t xml:space="preserve">bancário é simplesmente a diferença entre os juros que o banco cobra ao emprestar e a taxa que ele mesmo paga ao captar dinheiro. No Brasil, mais de um terço do </w:t>
      </w:r>
      <w:r w:rsidRPr="00303FA9">
        <w:rPr>
          <w:rFonts w:ascii="Times New Roman" w:hAnsi="Times New Roman"/>
          <w:i/>
        </w:rPr>
        <w:t>spread</w:t>
      </w:r>
      <w:r w:rsidRPr="00303FA9">
        <w:rPr>
          <w:rFonts w:ascii="Times New Roman" w:hAnsi="Times New Roman"/>
        </w:rPr>
        <w:t xml:space="preserve"> é lucro dos bancos, sendo os demais itens que o compõe o custo com despesas administrativas, impostos, depósito compulsório e a inadimplência. </w:t>
      </w:r>
    </w:p>
  </w:footnote>
  <w:footnote w:id="432">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A bi-tributação bancária a que se referiu o líder sindical era realizada quando os bancos embutiam na composição do </w:t>
      </w:r>
      <w:r w:rsidRPr="00303FA9">
        <w:rPr>
          <w:rFonts w:ascii="Times New Roman" w:hAnsi="Times New Roman"/>
          <w:i/>
        </w:rPr>
        <w:t xml:space="preserve">spread </w:t>
      </w:r>
      <w:r w:rsidRPr="00303FA9">
        <w:rPr>
          <w:rFonts w:ascii="Times New Roman" w:hAnsi="Times New Roman"/>
        </w:rPr>
        <w:t xml:space="preserve">as despesas de inadimplência que, no final, conseguiam ser resgatadas a título de crédito de liquidação. Pelo risco, os bancos cobravam dos tomadores 17% daquilo que não assumiam, lucrando ainda mais na recuperação da inadimplência. Outra forma de bi-tributação aludida pelo conselheiro era a cobrança de “taxa administrativa” quando da aquisição do crédito consignado pelo cliente. Ocorre que esta despesa já estava incluída na composição do </w:t>
      </w:r>
      <w:r w:rsidRPr="00303FA9">
        <w:rPr>
          <w:rFonts w:ascii="Times New Roman" w:hAnsi="Times New Roman"/>
          <w:i/>
        </w:rPr>
        <w:t>spread</w:t>
      </w:r>
      <w:r w:rsidRPr="00303FA9">
        <w:rPr>
          <w:rFonts w:ascii="Times New Roman" w:hAnsi="Times New Roman"/>
        </w:rPr>
        <w:t xml:space="preserve"> bancário.</w:t>
      </w:r>
    </w:p>
  </w:footnote>
  <w:footnote w:id="433">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color w:val="000000"/>
        </w:rPr>
        <w:t>Diretor da E. Johnston Representação e Participações S.A, holding que controlava o Unibanco, além de ter sido Presidente da Febraban e de outras entidades do setor financeiro, como a CNF – Confederação Nacional das Instituições Financeiras e a CONSIF – Confederação Nacional do Sistema Financeiro.</w:t>
      </w:r>
    </w:p>
  </w:footnote>
  <w:footnote w:id="434">
    <w:p w:rsidR="00DD31B9" w:rsidRPr="00303FA9" w:rsidRDefault="00DD31B9" w:rsidP="00303FA9">
      <w:pPr>
        <w:autoSpaceDE w:val="0"/>
        <w:autoSpaceDN w:val="0"/>
        <w:adjustRightInd w:val="0"/>
        <w:spacing w:after="0" w:line="240" w:lineRule="auto"/>
        <w:rPr>
          <w:rFonts w:ascii="Times New Roman" w:hAnsi="Times New Roman"/>
        </w:rPr>
      </w:pPr>
      <w:r w:rsidRPr="00303FA9">
        <w:rPr>
          <w:rStyle w:val="Refdenotaderodap"/>
          <w:rFonts w:ascii="Times New Roman" w:hAnsi="Times New Roman"/>
          <w:sz w:val="20"/>
          <w:szCs w:val="20"/>
        </w:rPr>
        <w:footnoteRef/>
      </w:r>
      <w:r w:rsidRPr="00303FA9">
        <w:rPr>
          <w:rFonts w:ascii="Times New Roman" w:hAnsi="Times New Roman"/>
          <w:sz w:val="20"/>
          <w:szCs w:val="20"/>
        </w:rPr>
        <w:t xml:space="preserve"> A moção final, objeto de deliberação pelo pleno e publicada no site do CDES não trouxe estas considerações iniciais que, na verdade, foram elaboradas pela conselheira Sonia Fleury em debate com o GTFED.</w:t>
      </w:r>
    </w:p>
  </w:footnote>
  <w:footnote w:id="435">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CARCANHOLO, Marcelo Dias. Inserção externa e vulnerabilidade da economia brasileira no governo Lula. In: </w:t>
      </w:r>
      <w:r w:rsidRPr="00303FA9">
        <w:rPr>
          <w:rFonts w:ascii="Times New Roman" w:hAnsi="Times New Roman"/>
          <w:i/>
        </w:rPr>
        <w:t>Os anos Lula</w:t>
      </w:r>
      <w:r w:rsidRPr="00303FA9">
        <w:rPr>
          <w:rFonts w:ascii="Times New Roman" w:hAnsi="Times New Roman"/>
        </w:rPr>
        <w:t>: contribuições para um balanço crítico 2003-2010. RJ: Garamond, 2010, p. 109.</w:t>
      </w:r>
    </w:p>
  </w:footnote>
  <w:footnote w:id="436">
    <w:p w:rsidR="00DD31B9" w:rsidRPr="00303FA9" w:rsidRDefault="00DD31B9" w:rsidP="00303FA9">
      <w:pPr>
        <w:autoSpaceDE w:val="0"/>
        <w:autoSpaceDN w:val="0"/>
        <w:adjustRightInd w:val="0"/>
        <w:spacing w:after="0" w:line="240" w:lineRule="auto"/>
        <w:rPr>
          <w:rFonts w:ascii="Times New Roman" w:hAnsi="Times New Roman"/>
          <w:sz w:val="20"/>
          <w:szCs w:val="20"/>
        </w:rPr>
      </w:pPr>
      <w:r w:rsidRPr="00303FA9">
        <w:rPr>
          <w:rStyle w:val="Refdenotaderodap"/>
          <w:rFonts w:ascii="Times New Roman" w:hAnsi="Times New Roman"/>
          <w:sz w:val="20"/>
          <w:szCs w:val="20"/>
        </w:rPr>
        <w:footnoteRef/>
      </w:r>
      <w:r w:rsidRPr="00303FA9">
        <w:rPr>
          <w:rFonts w:ascii="Times New Roman" w:hAnsi="Times New Roman"/>
          <w:sz w:val="20"/>
          <w:szCs w:val="20"/>
        </w:rPr>
        <w:t xml:space="preserve"> Secretaria de Relações Institucionais. Secretaria do Conselho de Desenvolvimento Econômico e Social.</w:t>
      </w:r>
      <w:r w:rsidRPr="00303FA9">
        <w:rPr>
          <w:rFonts w:ascii="Times New Roman" w:hAnsi="Times New Roman"/>
          <w:i/>
          <w:sz w:val="20"/>
          <w:szCs w:val="20"/>
        </w:rPr>
        <w:t xml:space="preserve"> Agenda Nacional de Desenvolvimento – AND</w:t>
      </w:r>
      <w:r w:rsidRPr="00303FA9">
        <w:rPr>
          <w:rFonts w:ascii="Times New Roman" w:hAnsi="Times New Roman"/>
          <w:sz w:val="20"/>
          <w:szCs w:val="20"/>
        </w:rPr>
        <w:t>. 3. ed. Brasília: Conselho de Desenvolvimento Econômico e Social – CDES, 2010a, p. 16, grifos meus.</w:t>
      </w:r>
      <w:r>
        <w:rPr>
          <w:rFonts w:ascii="Times New Roman" w:hAnsi="Times New Roman"/>
          <w:sz w:val="20"/>
          <w:szCs w:val="20"/>
        </w:rPr>
        <w:t xml:space="preserve"> A 3ª edição da AND é de 2010.</w:t>
      </w:r>
    </w:p>
  </w:footnote>
  <w:footnote w:id="437">
    <w:p w:rsidR="00DD31B9" w:rsidRPr="00303FA9" w:rsidRDefault="00DD31B9" w:rsidP="00303FA9">
      <w:pPr>
        <w:tabs>
          <w:tab w:val="left" w:pos="2418"/>
        </w:tabs>
        <w:spacing w:after="0"/>
        <w:jc w:val="both"/>
        <w:rPr>
          <w:rFonts w:ascii="Times New Roman" w:hAnsi="Times New Roman"/>
          <w:sz w:val="20"/>
          <w:szCs w:val="20"/>
        </w:rPr>
      </w:pPr>
      <w:r w:rsidRPr="00303FA9">
        <w:rPr>
          <w:rStyle w:val="Refdenotaderodap"/>
          <w:rFonts w:ascii="Times New Roman" w:hAnsi="Times New Roman"/>
          <w:sz w:val="20"/>
          <w:szCs w:val="20"/>
        </w:rPr>
        <w:footnoteRef/>
      </w:r>
      <w:r w:rsidRPr="00303FA9">
        <w:rPr>
          <w:rFonts w:ascii="Times New Roman" w:hAnsi="Times New Roman"/>
          <w:sz w:val="20"/>
          <w:szCs w:val="20"/>
        </w:rPr>
        <w:t xml:space="preserve"> PALOCCI, Antonio. </w:t>
      </w:r>
      <w:r w:rsidRPr="00303FA9">
        <w:rPr>
          <w:rFonts w:ascii="Times New Roman" w:hAnsi="Times New Roman"/>
          <w:i/>
          <w:sz w:val="20"/>
          <w:szCs w:val="20"/>
        </w:rPr>
        <w:t>Sobre formigas e cigarras</w:t>
      </w:r>
      <w:r w:rsidRPr="00303FA9">
        <w:rPr>
          <w:rFonts w:ascii="Times New Roman" w:hAnsi="Times New Roman"/>
          <w:sz w:val="20"/>
          <w:szCs w:val="20"/>
        </w:rPr>
        <w:t>. RJ: Objetiva, 2007, p. 149.</w:t>
      </w:r>
    </w:p>
  </w:footnote>
  <w:footnote w:id="438">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Intitulado como “fogo amigo” pela imprensa, Palocci traz ao longo de seu livro conversas ocorridas com alguns críticos da austeridade da política econômica tais como Marco Aurélio Garcia (Assessor Especial da Presidência), José Dirceu (Ministro da Casa Civil), José de Alencar (Vice-presidente), José Genoíno (presidente do PT), Luiz Furlan (ministro do MDIC) e Dilma Rousseff (ministra das Minas e Energia, assumindo a Casa Civil após a saída de José Dirceu). A última classificou como “rudimentar” a proposta de ajuste de longo prazo, ganhando grande repercussão na mídia. Por outro lado, lideranças como “a prefeita de São Paulo, Marta Suplicy, o prefeito de Belo Horizonte, Fernando Pimentel, e o governador do Acre, Jorge Viana, além de muitos outros, sempre vieram em socorro à política econômica, mesmo nas horas mais difíceis” (C</w:t>
      </w:r>
      <w:r>
        <w:rPr>
          <w:rFonts w:ascii="Times New Roman" w:hAnsi="Times New Roman"/>
        </w:rPr>
        <w:t>f.</w:t>
      </w:r>
      <w:r w:rsidRPr="00303FA9">
        <w:rPr>
          <w:rFonts w:ascii="Times New Roman" w:hAnsi="Times New Roman"/>
        </w:rPr>
        <w:t xml:space="preserve"> PALOCCI, Antonio. </w:t>
      </w:r>
      <w:r w:rsidRPr="00303FA9">
        <w:rPr>
          <w:rFonts w:ascii="Times New Roman" w:hAnsi="Times New Roman"/>
          <w:i/>
        </w:rPr>
        <w:t>Sobre formigas e cigarras</w:t>
      </w:r>
      <w:r w:rsidRPr="00303FA9">
        <w:rPr>
          <w:rFonts w:ascii="Times New Roman" w:hAnsi="Times New Roman"/>
        </w:rPr>
        <w:t>... Op. cit., p. 94). Aloizio Mercadante (Senador), Paulo Bernardo (ministro do Planejamento), Luiz Gushiken (ministro da Secretaria de Assuntos Estratégicos e Comunicação da Presidência) e Glauco Arbix (presidente do IPEA) também eram considerados importantes aliados, assumindo “atuação importante no debate inicial desta proposta do ajuste fiscal de longo prazo” (idem: 149). No bloco político não alinhado, o autor identifica como colaboradores os senadores Rodolfo Tourinho (DEM) e Tasso</w:t>
      </w:r>
      <w:r>
        <w:rPr>
          <w:rFonts w:ascii="Times New Roman" w:hAnsi="Times New Roman"/>
        </w:rPr>
        <w:t xml:space="preserve"> Jereissati (PSDB), e, ainda,</w:t>
      </w:r>
      <w:r w:rsidRPr="00303FA9">
        <w:rPr>
          <w:rFonts w:ascii="Times New Roman" w:hAnsi="Times New Roman"/>
        </w:rPr>
        <w:t xml:space="preserve"> pesquisadores como Fábio Giambiagi e Paulo Levy, eo economista e ex-ministro do planejamento no regime ditatorial, Delfim Netto. Segundo Palocci (idem: 86), através dos senadores Aloisio Mercadante e Tião Viana, ele conseguiu manter “longas negociações com as lideranças da oposição”, como Tasso Jereissati, Arthur Virgílio, Heráclito Fortes e José Agripino, os quais se mostravam “interlocutores frequentes sobre política econômica (...) sempre dispostos a apoiar o esforço pelo reequilíbrio da economia”.</w:t>
      </w:r>
    </w:p>
  </w:footnote>
  <w:footnote w:id="439">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Idem, </w:t>
      </w:r>
      <w:r>
        <w:rPr>
          <w:rFonts w:ascii="Times New Roman" w:hAnsi="Times New Roman"/>
        </w:rPr>
        <w:t xml:space="preserve">p. </w:t>
      </w:r>
      <w:r w:rsidRPr="00303FA9">
        <w:rPr>
          <w:rFonts w:ascii="Times New Roman" w:hAnsi="Times New Roman"/>
        </w:rPr>
        <w:t>148.</w:t>
      </w:r>
    </w:p>
  </w:footnote>
  <w:footnote w:id="440">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Idem, </w:t>
      </w:r>
      <w:r>
        <w:rPr>
          <w:rFonts w:ascii="Times New Roman" w:hAnsi="Times New Roman"/>
        </w:rPr>
        <w:t xml:space="preserve">p. </w:t>
      </w:r>
      <w:r w:rsidRPr="00303FA9">
        <w:rPr>
          <w:rFonts w:ascii="Times New Roman" w:hAnsi="Times New Roman"/>
        </w:rPr>
        <w:t>124-125.</w:t>
      </w:r>
    </w:p>
  </w:footnote>
  <w:footnote w:id="441">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Delfim Netto foi nomeado conselheiro do CDES apenas em 2007, entretanto participava de vários eventos promovidos pelo Conselho na condição de palestrante, analista econômico, convidado especial</w:t>
      </w:r>
      <w:r>
        <w:rPr>
          <w:rFonts w:ascii="Times New Roman" w:hAnsi="Times New Roman"/>
        </w:rPr>
        <w:t>,</w:t>
      </w:r>
      <w:r w:rsidRPr="00303FA9">
        <w:rPr>
          <w:rFonts w:ascii="Times New Roman" w:hAnsi="Times New Roman"/>
        </w:rPr>
        <w:t xml:space="preserve"> etc. Desde 2003 havia muita disposição de Tarso Genro de incorporá-lo ao Conselho, juntamente com Armando Monteiro Neto (CNI). Em relação à macroeconomia, a proposta de Delfim Netto era a do “déficit nominal zero” que, na prática, consistia em redução drástica de cortes governamentais, aprofundamento de privatizações e redução das vinculações orçamentárias. O “choque de gestão” que o Estado deveria submeter-se teria como meta “o equilíbrio fiscal que vai levar o mercado a reduzir a taxa de juros real”. Cf. Delfim Netto, Antonio. </w:t>
      </w:r>
      <w:r w:rsidRPr="00303FA9">
        <w:rPr>
          <w:rFonts w:ascii="Times New Roman" w:hAnsi="Times New Roman"/>
          <w:i/>
        </w:rPr>
        <w:t>Déficit Nominal Zero</w:t>
      </w:r>
      <w:r w:rsidRPr="00303FA9">
        <w:rPr>
          <w:rFonts w:ascii="Times New Roman" w:hAnsi="Times New Roman"/>
        </w:rPr>
        <w:t xml:space="preserve">.Boletim de Conjuntura Economia e Tecnologia. Ano 01, Vol. 02, jul/ago de 2005. Disponível em &lt;http://www.economiaetecnologia.ufpr.br/revista/2%20Capa/Antonio%20Delfim%20Netto.pdf&gt;. Alguns analistas afirmam que enquanto a busca pelo superávit fiscal prioriza a obtenção de receitas, o déficit nominal zero focaliza o corte de gastos correntes. Palocci assevera que “tivemos boas conversas sobre os dois caminhos e resolvemos, então, estabelecer uma agenda em comum. Concluímos ser preferível assegurar o esforço fiscal de longo prazo que levaria (...) ao déficit nominal zero”. PALOCCI, Antonio. </w:t>
      </w:r>
      <w:r w:rsidRPr="00303FA9">
        <w:rPr>
          <w:rFonts w:ascii="Times New Roman" w:hAnsi="Times New Roman"/>
          <w:i/>
        </w:rPr>
        <w:t>Sobre formigas e cigarras</w:t>
      </w:r>
      <w:r>
        <w:rPr>
          <w:rFonts w:ascii="Times New Roman" w:hAnsi="Times New Roman"/>
        </w:rPr>
        <w:t>... Op. cit., p. 150.</w:t>
      </w:r>
    </w:p>
  </w:footnote>
  <w:footnote w:id="442">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Pr>
          <w:rFonts w:ascii="Times New Roman" w:hAnsi="Times New Roman"/>
        </w:rPr>
        <w:t>Idem, p. 151. G</w:t>
      </w:r>
      <w:r w:rsidRPr="00303FA9">
        <w:rPr>
          <w:rFonts w:ascii="Times New Roman" w:hAnsi="Times New Roman"/>
        </w:rPr>
        <w:t>rifos meus salientando os conselheiros do CDES.</w:t>
      </w:r>
    </w:p>
  </w:footnote>
  <w:footnote w:id="443">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Disponível em &lt;http://www.cdes.gov.br/evento/1/pleno-do-cdes-reuniao-ordinaria-n-15.html&gt;. Acesso em 11/08/2014.</w:t>
      </w:r>
    </w:p>
  </w:footnote>
  <w:footnote w:id="444">
    <w:p w:rsidR="00DD31B9" w:rsidRPr="00C33FA2" w:rsidRDefault="00DD31B9">
      <w:pPr>
        <w:pStyle w:val="Textodenotaderodap"/>
        <w:rPr>
          <w:rFonts w:ascii="Times New Roman" w:hAnsi="Times New Roman"/>
        </w:rPr>
      </w:pPr>
      <w:r w:rsidRPr="00C33FA2">
        <w:rPr>
          <w:rStyle w:val="Refdenotaderodap"/>
          <w:rFonts w:ascii="Times New Roman" w:hAnsi="Times New Roman"/>
        </w:rPr>
        <w:footnoteRef/>
      </w:r>
      <w:r w:rsidRPr="00C33FA2">
        <w:rPr>
          <w:rFonts w:ascii="Times New Roman" w:hAnsi="Times New Roman"/>
        </w:rPr>
        <w:t xml:space="preserve"> É claro que o alvo não era “o” ministro Palocci, mas o conjunto de medidas adotadas pela equipe econômica que ele dirigia e, principalmente, os agentes econômicos (frações de classe) que mais se beneficiavam da política econômica até então empreendida. As disputas </w:t>
      </w:r>
      <w:r w:rsidRPr="00C33FA2">
        <w:rPr>
          <w:rFonts w:ascii="Times New Roman" w:hAnsi="Times New Roman"/>
          <w:i/>
        </w:rPr>
        <w:t>nas instâncias superestruturais organizativas da sociedade civil</w:t>
      </w:r>
      <w:r w:rsidRPr="00C33FA2">
        <w:rPr>
          <w:rFonts w:ascii="Times New Roman" w:hAnsi="Times New Roman"/>
        </w:rPr>
        <w:t xml:space="preserve"> refletiam-se, entre frações dominantes, pela apropriação da massa de mais valor que o Estado brasileiro acumulava, sob vários mecanismos e instrumentos, e o direcionamento dos recursos do fundo público para o atendimento e satisfação das demandas de ampliação </w:t>
      </w:r>
      <w:r>
        <w:rPr>
          <w:rFonts w:ascii="Times New Roman" w:hAnsi="Times New Roman"/>
        </w:rPr>
        <w:t>de reprodução do capital produt</w:t>
      </w:r>
      <w:r w:rsidRPr="00C33FA2">
        <w:rPr>
          <w:rFonts w:ascii="Times New Roman" w:hAnsi="Times New Roman"/>
        </w:rPr>
        <w:t>o</w:t>
      </w:r>
      <w:r>
        <w:rPr>
          <w:rFonts w:ascii="Times New Roman" w:hAnsi="Times New Roman"/>
        </w:rPr>
        <w:t>r</w:t>
      </w:r>
      <w:r w:rsidRPr="00C33FA2">
        <w:rPr>
          <w:rFonts w:ascii="Times New Roman" w:hAnsi="Times New Roman"/>
        </w:rPr>
        <w:t xml:space="preserve"> de valor, mesmo na condição de s</w:t>
      </w:r>
      <w:r>
        <w:rPr>
          <w:rFonts w:ascii="Times New Roman" w:hAnsi="Times New Roman"/>
        </w:rPr>
        <w:t>o</w:t>
      </w:r>
      <w:r w:rsidRPr="00C33FA2">
        <w:rPr>
          <w:rFonts w:ascii="Times New Roman" w:hAnsi="Times New Roman"/>
        </w:rPr>
        <w:t xml:space="preserve">ciosdependentes do capital portador de juros (ou monetário). A promessa “neodesenvolvimentista” era justamente calcada na possibilidade de crescentes apropriações do fundo público para as atividades que possibilitassem a reprodução ampliada do capital produtor de valor. Esta disputa exprime parte da totalidade do processo reprodução do capital, mas, encarnada apenas como “parte “, camufla e distorce a totalidade das relações. Ocorre que, como querem fazer acreditar, a reprodução ampliada do capital produtor de valor de forma alguma oblitera as formas de reprodução ampliada do capital monetário, muito pelo contrário: “Para refluir como capital, a soma de valor adiantada [pelo capital portador de juros] deve, além de conservar-se, ter-se valorizado, acrescido no curso do movimento; retornar com mais-valia, como D + Δ D, e esse Δ D é aqui o juro ou do lucro médio a parte que não fica nas mãos do capitalista ativo, mas toca ao capitalista financeiro”. MARX, Karl, </w:t>
      </w:r>
      <w:r w:rsidRPr="00C33FA2">
        <w:rPr>
          <w:rFonts w:ascii="Times New Roman" w:hAnsi="Times New Roman"/>
          <w:i/>
        </w:rPr>
        <w:t>O capital</w:t>
      </w:r>
      <w:r w:rsidRPr="00C33FA2">
        <w:rPr>
          <w:rFonts w:ascii="Times New Roman" w:hAnsi="Times New Roman"/>
        </w:rPr>
        <w:t xml:space="preserve">. Livro III. O processo global de produção capitalista. v. 2. Cap.XXI: O capital produtor de juros. Rio de Janeiro, Civilização Brasileira, 2008, p. 466. </w:t>
      </w:r>
      <w:r w:rsidRPr="00C33FA2">
        <w:rPr>
          <w:rFonts w:ascii="Times New Roman" w:hAnsi="Times New Roman"/>
          <w:i/>
        </w:rPr>
        <w:t>A expansão da reprodução ampliada do capital produtor de valor corresponde justamente ao atendimento das expectativas do capital monetário</w:t>
      </w:r>
      <w:r w:rsidRPr="00C33FA2">
        <w:rPr>
          <w:rFonts w:ascii="Times New Roman" w:hAnsi="Times New Roman"/>
        </w:rPr>
        <w:t>. As disputas pelo fundo público entre estes capitais não representam um jogo de soma zero, ou seja, entre eles não há perdedores. Contudo, as entidades patronais expressam as necessidades superestruturais das demandas empresariais advindas da divisão social do trabalho existente entre os capitais e não acompanham a dinâmica das interpenetrações de capitais no âmbito das relações de produção.</w:t>
      </w:r>
    </w:p>
  </w:footnote>
  <w:footnote w:id="445">
    <w:p w:rsidR="00DD31B9" w:rsidRPr="000C18E5" w:rsidRDefault="00DD31B9">
      <w:pPr>
        <w:pStyle w:val="Textodenotaderodap"/>
        <w:rPr>
          <w:rFonts w:ascii="Times New Roman" w:hAnsi="Times New Roman"/>
        </w:rPr>
      </w:pPr>
      <w:r w:rsidRPr="000C18E5">
        <w:rPr>
          <w:rStyle w:val="Refdenotaderodap"/>
          <w:rFonts w:ascii="Times New Roman" w:hAnsi="Times New Roman"/>
        </w:rPr>
        <w:footnoteRef/>
      </w:r>
      <w:r>
        <w:rPr>
          <w:rFonts w:ascii="Times New Roman" w:hAnsi="Times New Roman"/>
        </w:rPr>
        <w:t>HADLER</w:t>
      </w:r>
      <w:r w:rsidRPr="000C18E5">
        <w:rPr>
          <w:rFonts w:ascii="Times New Roman" w:hAnsi="Times New Roman"/>
        </w:rPr>
        <w:t xml:space="preserve">, João Paulo de Toledo Camargo. </w:t>
      </w:r>
      <w:r w:rsidRPr="000C18E5">
        <w:rPr>
          <w:rFonts w:ascii="Times New Roman" w:hAnsi="Times New Roman"/>
          <w:i/>
        </w:rPr>
        <w:t>Dependência e subdesenvolvimento</w:t>
      </w:r>
      <w:r w:rsidRPr="000C18E5">
        <w:rPr>
          <w:rFonts w:ascii="Times New Roman" w:hAnsi="Times New Roman"/>
        </w:rPr>
        <w:t>: a transnacionalização do capital e a crise do desenvolvimento nacional em Celso Furtado. Dissertação (mestrado) – Universidade Estadual de Campinas, Instituto de Economia, 2009, p. 19.</w:t>
      </w:r>
    </w:p>
  </w:footnote>
  <w:footnote w:id="446">
    <w:p w:rsidR="00DD31B9" w:rsidRPr="00C33FA2" w:rsidRDefault="00DD31B9">
      <w:pPr>
        <w:pStyle w:val="Textodenotaderodap"/>
        <w:rPr>
          <w:rFonts w:ascii="Times New Roman" w:hAnsi="Times New Roman"/>
        </w:rPr>
      </w:pPr>
      <w:r w:rsidRPr="00C33FA2">
        <w:rPr>
          <w:rStyle w:val="Refdenotaderodap"/>
          <w:rFonts w:ascii="Times New Roman" w:hAnsi="Times New Roman"/>
        </w:rPr>
        <w:footnoteRef/>
      </w:r>
      <w:r w:rsidRPr="00C33FA2">
        <w:rPr>
          <w:rFonts w:ascii="Times New Roman" w:hAnsi="Times New Roman"/>
        </w:rPr>
        <w:t xml:space="preserve"> É preciso reconhecer que havia um grupo de conselheiros não empresariais que primava pelo atendimento às questões sociais. Esses conselheiros carregavam uma “sensibilidade” distributiva e enfatizavam que o desenvolvimento deveria elevar o padrão de vida das parcelas mais pobres da população. Como eram minoritários no Conselho, o debate acerca do desenvolvimento era, quase sempre, igualado às estratégias para se alcançar o crescimento econômico. Nas leituras das atas percebemos mais as tensões existentes entre estes grupos, mas nos documentos estratégicos, frutos da “concertação”, compareciam em peso as demandas empresariais de crescimento econômico, como veremos adiante. Eram por meio destes documentos, afinal, que o empresariado no CDES disseminava sua visão de mundo.</w:t>
      </w:r>
    </w:p>
  </w:footnote>
  <w:footnote w:id="447">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Criado em 31 de dezembro de 1964, o Conselho Monetário Nacional (CMN), integrado desde 1994 apenaspelo Ministro da Fazenda, do Planejamento e pelo Presidente do Banco Central, é o órgão máximo do Sistema Financeiro Nacional e definidor da meta de inflação. O Copom, órgão do Banco Central, define a taxa de juros tentando cumprir a meta estabelecida pelo CMN. O estabelecimento de metas inflacionárias é apenas uma das muitas outras funções do CMN, tais como “adaptar o volume dos meios de pagamento às reais necessidades da economia; regular o valor interno e externo da moeda e o equilíbrio do balanço de pagamentos; orientar a aplicação dos recursos das instituições financeiras; propiciar o aperfeiçoamento das instituições e dos instrumentos financeiros; zelar pela liquidez e solvência das instituições financeiras; coordenar as políticas monetária, creditícia, orçamentária e da dívida pública interna e externa”. Retirado de &lt;http://www.bcb.gov.br/pre/composicao/cmn.asp&gt;. Acesso em 15/08/2014.</w:t>
      </w:r>
    </w:p>
  </w:footnote>
  <w:footnote w:id="448">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O empresário Rodrigo Loures foi fundador da empresa Nutrimental e circula em várias outras associações empresariais, voltadas desde as questões da qualidade, competitividade, tecnologia e inovação industriais à promoção da “cidadania”, “solidariedade”, “sustentabilidade”. É autor de dois livros na área educacional, envolvendo os últimos temas referidos. Trata-se de um genuíno intelectual orgânico da burguesia brasileira, inclusive com forte presença em alguns órgãos estatais, além do CDES, claro.</w:t>
      </w:r>
    </w:p>
  </w:footnote>
  <w:footnote w:id="449">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Disponível em &lt; http://www.cdes.gov.br/evento/48/pleno-do-cdes-reuniao-ordinaria-n-10.html&gt;. Acesso em 21/08/2014.</w:t>
      </w:r>
    </w:p>
  </w:footnote>
  <w:footnote w:id="450">
    <w:p w:rsidR="00DD31B9" w:rsidRPr="00303FA9" w:rsidRDefault="00DD31B9" w:rsidP="00303FA9">
      <w:pPr>
        <w:autoSpaceDE w:val="0"/>
        <w:autoSpaceDN w:val="0"/>
        <w:adjustRightInd w:val="0"/>
        <w:spacing w:after="0" w:line="240" w:lineRule="auto"/>
        <w:rPr>
          <w:rFonts w:ascii="Times New Roman" w:hAnsi="Times New Roman"/>
          <w:sz w:val="20"/>
          <w:szCs w:val="20"/>
        </w:rPr>
      </w:pPr>
      <w:r w:rsidRPr="00303FA9">
        <w:rPr>
          <w:rStyle w:val="Refdenotaderodap"/>
          <w:rFonts w:ascii="Times New Roman" w:hAnsi="Times New Roman"/>
          <w:sz w:val="20"/>
          <w:szCs w:val="20"/>
        </w:rPr>
        <w:footnoteRef/>
      </w:r>
      <w:r w:rsidRPr="00303FA9">
        <w:rPr>
          <w:rFonts w:ascii="Times New Roman" w:hAnsi="Times New Roman"/>
          <w:sz w:val="20"/>
          <w:szCs w:val="20"/>
        </w:rPr>
        <w:t xml:space="preserve"> Os autores deste trabalho foram Fábio Dória Scatolin, Marcelo Curado, José Luís Oreiro e Marcelo de Oliveira Passos. Futuros trabalhos foram produzidos por alguns destes autores para a FIEP, sempre no mesmo tema, constando agradecimentos ao próprio Rodrigo Loures pelos comentários, assim como a Bresser Pereira, Luiz Fernando de Paula, dentre outros: OREIRO, José Luis e PASSOS. </w:t>
      </w:r>
      <w:r w:rsidRPr="00303FA9">
        <w:rPr>
          <w:rFonts w:ascii="Times New Roman" w:hAnsi="Times New Roman"/>
          <w:i/>
          <w:sz w:val="20"/>
          <w:szCs w:val="20"/>
        </w:rPr>
        <w:t xml:space="preserve">A governança da política monetária brasileira: </w:t>
      </w:r>
      <w:r w:rsidRPr="00303FA9">
        <w:rPr>
          <w:rFonts w:ascii="Times New Roman" w:hAnsi="Times New Roman"/>
          <w:sz w:val="20"/>
          <w:szCs w:val="20"/>
        </w:rPr>
        <w:t xml:space="preserve">análise e proposta de mudança. Porto Alegre, Revista FEE, v. 33, n. 1, p. 157-168, jun. 2005; OREIRO, José Luis e LEMOS, Breno P. e PADILHA, Rodrigo A. </w:t>
      </w:r>
      <w:r w:rsidRPr="00303FA9">
        <w:rPr>
          <w:rFonts w:ascii="Times New Roman" w:hAnsi="Times New Roman"/>
          <w:i/>
          <w:sz w:val="20"/>
          <w:szCs w:val="20"/>
        </w:rPr>
        <w:t xml:space="preserve">O Regime de Metas de Inflação e a Política Monetária no Brasil: </w:t>
      </w:r>
      <w:r w:rsidRPr="00303FA9">
        <w:rPr>
          <w:rFonts w:ascii="Times New Roman" w:hAnsi="Times New Roman"/>
          <w:sz w:val="20"/>
          <w:szCs w:val="20"/>
        </w:rPr>
        <w:t>análise e proposta de mudança.</w:t>
      </w:r>
    </w:p>
  </w:footnote>
  <w:footnote w:id="451">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Disponível em &lt;http://www.agenciafiep.com.br/noticia/empresarios-vao-sugerir-mudancas-a-jose-alencar/&gt;. Acesso em 13/08/2014.</w:t>
      </w:r>
    </w:p>
  </w:footnote>
  <w:footnote w:id="452">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A Carta 156 afirma haver um “dilema” sobre a proposta: “</w:t>
      </w:r>
      <w:r w:rsidRPr="00303FA9">
        <w:rPr>
          <w:rFonts w:ascii="Times New Roman" w:hAnsi="Times New Roman"/>
          <w:color w:val="000000"/>
        </w:rPr>
        <w:t>A dúvida reside no amadurecimento de nossos dirigentes de Banco Central em termos de desenvolverem uma isenta e equilibrada visão do conjunto da economia e não uma visão excessivamente financeira da atividade econômica”. Ver &lt;http://www.iedi.org.br/cartas/carta_iedi_n_156_politica_monetaria_pro_desenvolvimento_contribuicoes_da_fiep.html&gt;. Acesso em 13/08/2014.</w:t>
      </w:r>
    </w:p>
  </w:footnote>
  <w:footnote w:id="453">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A divulgação de documentos acerca da política monetária pelas entida</w:t>
      </w:r>
      <w:r>
        <w:rPr>
          <w:rFonts w:ascii="Times New Roman" w:hAnsi="Times New Roman"/>
        </w:rPr>
        <w:t>des patronais da indústria ganhou</w:t>
      </w:r>
      <w:r w:rsidRPr="00303FA9">
        <w:rPr>
          <w:rFonts w:ascii="Times New Roman" w:hAnsi="Times New Roman"/>
        </w:rPr>
        <w:t xml:space="preserve"> fôlego entre os meses de março a maio de 2005, mas a concatenação da mobilização empresarial inicia-se a partir do 2º semestre de 2004. Várias foram as linhas de ação das lideranças deste empresariado, as quais destacamos: declarações, entrevistas e artigos publicados na grande mídia, atos públicos, promoção de debates e divulgação de estudos e pesquisas. Em março de 2005, a CNI lançou um documento denominado “A condução da política monetária e o regime de metas de inflação”, originalmente publicado em 2004. O documento foi produzido pelo economista Paulo Augusto P. de Britto.</w:t>
      </w:r>
    </w:p>
  </w:footnote>
  <w:footnote w:id="454">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Carta IEDI 156.</w:t>
      </w:r>
    </w:p>
  </w:footnote>
  <w:footnote w:id="455">
    <w:p w:rsidR="00DD31B9" w:rsidRPr="00C33FA2" w:rsidRDefault="00DD31B9" w:rsidP="00303FA9">
      <w:pPr>
        <w:pStyle w:val="Ttulo1"/>
        <w:shd w:val="clear" w:color="auto" w:fill="F2F2F3"/>
        <w:spacing w:before="0" w:beforeAutospacing="0" w:after="0" w:afterAutospacing="0"/>
        <w:rPr>
          <w:b w:val="0"/>
          <w:sz w:val="20"/>
          <w:szCs w:val="20"/>
        </w:rPr>
      </w:pPr>
      <w:r w:rsidRPr="00303FA9">
        <w:rPr>
          <w:rStyle w:val="Refdenotaderodap"/>
          <w:b w:val="0"/>
          <w:sz w:val="20"/>
          <w:szCs w:val="20"/>
        </w:rPr>
        <w:footnoteRef/>
      </w:r>
      <w:r w:rsidRPr="00303FA9">
        <w:rPr>
          <w:b w:val="0"/>
          <w:sz w:val="20"/>
          <w:szCs w:val="20"/>
        </w:rPr>
        <w:t xml:space="preserve"> “Chega de prato pronto”. Novo presidente da </w:t>
      </w:r>
      <w:r>
        <w:rPr>
          <w:b w:val="0"/>
          <w:sz w:val="20"/>
          <w:szCs w:val="20"/>
        </w:rPr>
        <w:t>FIESP</w:t>
      </w:r>
      <w:r w:rsidRPr="00303FA9">
        <w:rPr>
          <w:b w:val="0"/>
          <w:sz w:val="20"/>
          <w:szCs w:val="20"/>
        </w:rPr>
        <w:t xml:space="preserve"> diz que vai criar um movimento pelo crescimento, quer marcar presença em Brasília e promete buscar alianças para influir no processo de decisão econômica.Entrevista com a IstoÉDinheiro em 06/10/2004. Disponível em &lt;http://www.istoedinheiro.com.br/noticias/entrevistas/20041006/chega-prato-pronto/147623.shtml&gt;. Acesso em 14/08/2014</w:t>
      </w:r>
      <w:r w:rsidRPr="00F45E52">
        <w:rPr>
          <w:b w:val="0"/>
          <w:color w:val="FF0000"/>
          <w:sz w:val="20"/>
          <w:szCs w:val="20"/>
        </w:rPr>
        <w:t xml:space="preserve">. </w:t>
      </w:r>
      <w:r w:rsidRPr="00C33FA2">
        <w:rPr>
          <w:b w:val="0"/>
          <w:sz w:val="20"/>
          <w:szCs w:val="20"/>
        </w:rPr>
        <w:t xml:space="preserve">Deve-se ressaltar que a noção de “autoridade produtiva” cunhada por Skaf alarga o que costumeiramente se autodenominava no CDES como “setor produtivo”, pois abarcava as entidades organizativas dos trabalhadores. Tal estratégia procurava obter o consenso ativo das demandas das cúpulas da burocracia sindical à montagem da hegemonia do </w:t>
      </w:r>
      <w:r>
        <w:rPr>
          <w:b w:val="0"/>
          <w:sz w:val="20"/>
          <w:szCs w:val="20"/>
        </w:rPr>
        <w:t xml:space="preserve">grande </w:t>
      </w:r>
      <w:r w:rsidRPr="00C33FA2">
        <w:rPr>
          <w:b w:val="0"/>
          <w:sz w:val="20"/>
          <w:szCs w:val="20"/>
        </w:rPr>
        <w:t xml:space="preserve">capital produtor de valor. </w:t>
      </w:r>
    </w:p>
  </w:footnote>
  <w:footnote w:id="456">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Disponível em &lt;http://www.dieese.org.br/dieese/esp/estpesq07_cmn05.pdf&gt;. Acesso em 14/08/2014.</w:t>
      </w:r>
    </w:p>
  </w:footnote>
  <w:footnote w:id="457">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CUT e DIEESE. </w:t>
      </w:r>
      <w:r w:rsidRPr="00303FA9">
        <w:rPr>
          <w:rFonts w:ascii="Times New Roman" w:hAnsi="Times New Roman"/>
          <w:i/>
        </w:rPr>
        <w:t xml:space="preserve">Conselho Monetário Nacional </w:t>
      </w:r>
      <w:r w:rsidRPr="00303FA9">
        <w:rPr>
          <w:rFonts w:ascii="Times New Roman" w:hAnsi="Times New Roman"/>
        </w:rPr>
        <w:t xml:space="preserve">– proposta para ampliação e democratização do CMN. Estudos e Pesquisas, </w:t>
      </w:r>
      <w:r w:rsidRPr="00303FA9">
        <w:rPr>
          <w:rFonts w:ascii="Times New Roman" w:hAnsi="Times New Roman"/>
          <w:bCs/>
        </w:rPr>
        <w:t>Número 7 – Ano I – Março de 2005, p. 22.</w:t>
      </w:r>
    </w:p>
  </w:footnote>
  <w:footnote w:id="458">
    <w:p w:rsidR="00DD31B9" w:rsidRPr="003B4C01" w:rsidRDefault="00DD31B9">
      <w:pPr>
        <w:pStyle w:val="Textodenotaderodap"/>
        <w:rPr>
          <w:rFonts w:ascii="Times New Roman" w:hAnsi="Times New Roman"/>
        </w:rPr>
      </w:pPr>
      <w:r w:rsidRPr="003B4C01">
        <w:rPr>
          <w:rStyle w:val="Refdenotaderodap"/>
          <w:rFonts w:ascii="Times New Roman" w:hAnsi="Times New Roman"/>
        </w:rPr>
        <w:footnoteRef/>
      </w:r>
      <w:r>
        <w:rPr>
          <w:rFonts w:ascii="Times New Roman" w:hAnsi="Times New Roman"/>
        </w:rPr>
        <w:t>Idem.</w:t>
      </w:r>
    </w:p>
  </w:footnote>
  <w:footnote w:id="459">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Idem, p. 18.</w:t>
      </w:r>
    </w:p>
  </w:footnote>
  <w:footnote w:id="460">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Disponível em &lt;http://afubesp.org.br/index.php?option=com_content&amp;view=article&amp;id=2098</w:t>
      </w:r>
    </w:p>
    <w:p w:rsidR="00DD31B9" w:rsidRPr="00303FA9" w:rsidRDefault="00DD31B9" w:rsidP="00303FA9">
      <w:pPr>
        <w:pStyle w:val="Textodenotaderodap"/>
        <w:rPr>
          <w:rFonts w:ascii="Times New Roman" w:hAnsi="Times New Roman"/>
        </w:rPr>
      </w:pPr>
      <w:r w:rsidRPr="00303FA9">
        <w:rPr>
          <w:rFonts w:ascii="Times New Roman" w:hAnsi="Times New Roman"/>
        </w:rPr>
        <w:t>:campanha-pela-ampliacao-e-democratizacao-do-cmn-e-lancada-em-sao-paulo&amp;catid=10:noticias&amp;</w:t>
      </w:r>
    </w:p>
    <w:p w:rsidR="00DD31B9" w:rsidRPr="00303FA9" w:rsidRDefault="00DD31B9" w:rsidP="00303FA9">
      <w:pPr>
        <w:pStyle w:val="Textodenotaderodap"/>
        <w:rPr>
          <w:rFonts w:ascii="Times New Roman" w:hAnsi="Times New Roman"/>
        </w:rPr>
      </w:pPr>
      <w:r w:rsidRPr="00303FA9">
        <w:rPr>
          <w:rFonts w:ascii="Times New Roman" w:hAnsi="Times New Roman"/>
        </w:rPr>
        <w:t>Itemid=79&gt;. Acesso em 14/08/2014. Grifos meus destacando os conselheiros e entidades representadas no CDES.</w:t>
      </w:r>
    </w:p>
  </w:footnote>
  <w:footnote w:id="461">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Pela ampliação do CMN. </w:t>
      </w:r>
      <w:r w:rsidRPr="00303FA9">
        <w:rPr>
          <w:rFonts w:ascii="Times New Roman" w:hAnsi="Times New Roman"/>
          <w:bCs/>
          <w:color w:val="000000"/>
        </w:rPr>
        <w:t xml:space="preserve">Armando Monteiro Neto, Luiz Marinho e Paulo Skaf. São Paulo, 13 de março de 2005. </w:t>
      </w:r>
      <w:r w:rsidRPr="00303FA9">
        <w:rPr>
          <w:rFonts w:ascii="Times New Roman" w:hAnsi="Times New Roman"/>
        </w:rPr>
        <w:t>Disponível em &lt;http://www1.folha.uol.com.br/fsp/dinheiro/fi1303200505.htm&gt;. Acesso em 14/08/2014.</w:t>
      </w:r>
    </w:p>
  </w:footnote>
  <w:footnote w:id="462">
    <w:p w:rsidR="00DD31B9" w:rsidRPr="00135C8A" w:rsidRDefault="00DD31B9" w:rsidP="00303FA9">
      <w:pPr>
        <w:autoSpaceDE w:val="0"/>
        <w:autoSpaceDN w:val="0"/>
        <w:adjustRightInd w:val="0"/>
        <w:spacing w:after="0" w:line="240" w:lineRule="auto"/>
        <w:rPr>
          <w:rFonts w:ascii="Times New Roman" w:hAnsi="Times New Roman"/>
          <w:sz w:val="24"/>
          <w:szCs w:val="24"/>
        </w:rPr>
      </w:pPr>
      <w:r w:rsidRPr="00135C8A">
        <w:rPr>
          <w:rStyle w:val="Refdenotaderodap"/>
          <w:rFonts w:ascii="Times New Roman" w:hAnsi="Times New Roman"/>
          <w:sz w:val="20"/>
          <w:szCs w:val="20"/>
        </w:rPr>
        <w:footnoteRef/>
      </w:r>
      <w:r w:rsidRPr="00135C8A">
        <w:rPr>
          <w:rFonts w:ascii="Times New Roman" w:hAnsi="Times New Roman"/>
          <w:sz w:val="20"/>
          <w:szCs w:val="20"/>
        </w:rPr>
        <w:t xml:space="preserve"> VIZEU, Fábio e BIN, Daniel. </w:t>
      </w:r>
      <w:r w:rsidRPr="00135C8A">
        <w:rPr>
          <w:rFonts w:ascii="Times New Roman" w:hAnsi="Times New Roman"/>
          <w:i/>
          <w:sz w:val="20"/>
          <w:szCs w:val="20"/>
        </w:rPr>
        <w:t>Democracia deliberativa</w:t>
      </w:r>
      <w:r w:rsidRPr="00135C8A">
        <w:rPr>
          <w:rFonts w:ascii="Times New Roman" w:hAnsi="Times New Roman"/>
          <w:sz w:val="20"/>
          <w:szCs w:val="20"/>
        </w:rPr>
        <w:t xml:space="preserve">: leitura crítica do caso CDES à luz da teoria do discurso. Rio de Janeiro, Revista de Administração Pública, 42(1), </w:t>
      </w:r>
      <w:r>
        <w:rPr>
          <w:rFonts w:ascii="Times New Roman" w:hAnsi="Times New Roman"/>
          <w:sz w:val="20"/>
          <w:szCs w:val="20"/>
        </w:rPr>
        <w:t>2008, p. 104.Dis</w:t>
      </w:r>
      <w:r w:rsidRPr="00135C8A">
        <w:rPr>
          <w:rFonts w:ascii="Times New Roman" w:hAnsi="Times New Roman"/>
          <w:sz w:val="20"/>
          <w:szCs w:val="20"/>
        </w:rPr>
        <w:t>ponível em &lt;http://bibliotecadigital.fgv.br/ojs/index.php/rap/article/viewFile/6626/5210&gt;. Acesso em 20/08/2014.</w:t>
      </w:r>
    </w:p>
  </w:footnote>
  <w:footnote w:id="463">
    <w:p w:rsidR="00DD31B9" w:rsidRPr="00303FA9" w:rsidRDefault="00DD31B9" w:rsidP="00303FA9">
      <w:pPr>
        <w:pStyle w:val="NormalWeb"/>
        <w:spacing w:before="0" w:beforeAutospacing="0" w:after="0" w:afterAutospacing="0"/>
        <w:rPr>
          <w:sz w:val="20"/>
          <w:szCs w:val="20"/>
        </w:rPr>
      </w:pPr>
      <w:r w:rsidRPr="00303FA9">
        <w:rPr>
          <w:rStyle w:val="Refdenotaderodap"/>
          <w:sz w:val="20"/>
          <w:szCs w:val="20"/>
        </w:rPr>
        <w:footnoteRef/>
      </w:r>
      <w:r w:rsidRPr="00303FA9">
        <w:rPr>
          <w:sz w:val="20"/>
          <w:szCs w:val="20"/>
        </w:rPr>
        <w:t xml:space="preserve"> Junto ao CMN funciona a Comissão Técnica da Moeda e do Crédito (Comoc) como órgão de assessoramento técnico na formulação da política da moeda e do crédito do País. A Comoc manifesta-se previamente sobre os assuntos de competência do CMN. Além da Comoc,</w:t>
      </w:r>
      <w:r w:rsidRPr="00303FA9">
        <w:rPr>
          <w:bCs/>
          <w:sz w:val="20"/>
          <w:szCs w:val="20"/>
        </w:rPr>
        <w:t>o artigo 11 d</w:t>
      </w:r>
      <w:hyperlink r:id="rId14" w:history="1"/>
      <w:r w:rsidRPr="00303FA9">
        <w:rPr>
          <w:bCs/>
          <w:sz w:val="20"/>
          <w:szCs w:val="20"/>
        </w:rPr>
        <w:t>a</w:t>
      </w:r>
      <w:r w:rsidRPr="00303FA9">
        <w:rPr>
          <w:sz w:val="20"/>
          <w:szCs w:val="20"/>
        </w:rPr>
        <w:t xml:space="preserve"> lei 9.069 de 29 de junho de 1995 prevê o funcionamento de mais sete comissões consultivas. São elas: I - de Normas e Organização do Sistema Financeiro; II - de Mercado de Valores Mobiliários e de Futuros; III - de Crédito Rural; IV - de Crédito Industrial; V - de Crédito Habitacional, e para Saneamento e Infra-Estrutura Urbana; VI - de Endividamento Público; VII - de Política Monetária e Cambial. O § 1º da lei diz que “A organização, a composição e o funcionamento das Comissões Consultivas serão objeto de regimento interno, a ser aprovado por Decreto do Presidente da República”. </w:t>
      </w:r>
      <w:r>
        <w:rPr>
          <w:sz w:val="20"/>
          <w:szCs w:val="20"/>
        </w:rPr>
        <w:t>Foram</w:t>
      </w:r>
      <w:r w:rsidRPr="00303FA9">
        <w:rPr>
          <w:sz w:val="20"/>
          <w:szCs w:val="20"/>
        </w:rPr>
        <w:t xml:space="preserve"> a estas comissões que os conselheiros do setor financeiro se referi</w:t>
      </w:r>
      <w:r>
        <w:rPr>
          <w:sz w:val="20"/>
          <w:szCs w:val="20"/>
        </w:rPr>
        <w:t>r</w:t>
      </w:r>
      <w:r w:rsidRPr="00303FA9">
        <w:rPr>
          <w:sz w:val="20"/>
          <w:szCs w:val="20"/>
        </w:rPr>
        <w:t>am, mas inexiste</w:t>
      </w:r>
      <w:r>
        <w:rPr>
          <w:sz w:val="20"/>
          <w:szCs w:val="20"/>
        </w:rPr>
        <w:t>m</w:t>
      </w:r>
      <w:r w:rsidRPr="00303FA9">
        <w:rPr>
          <w:sz w:val="20"/>
          <w:szCs w:val="20"/>
        </w:rPr>
        <w:t xml:space="preserve"> até hoje decreto presidencial regulamentando-as. </w:t>
      </w:r>
      <w:r w:rsidRPr="00303FA9">
        <w:rPr>
          <w:sz w:val="20"/>
          <w:szCs w:val="20"/>
          <w:lang w:val="en-US"/>
        </w:rPr>
        <w:t xml:space="preserve">Cf. &lt;http://www.planalto.gov.br/ccivil_03/LEIS/L9069.htm&gt;. </w:t>
      </w:r>
      <w:r w:rsidRPr="00303FA9">
        <w:rPr>
          <w:sz w:val="20"/>
          <w:szCs w:val="20"/>
        </w:rPr>
        <w:t>Acesso em 15/08/2014.</w:t>
      </w:r>
    </w:p>
  </w:footnote>
  <w:footnote w:id="464">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A palavra “sensibilidade”, inclusive, consta na moção final.</w:t>
      </w:r>
    </w:p>
  </w:footnote>
  <w:footnote w:id="465">
    <w:p w:rsidR="00DD31B9" w:rsidRPr="00303FA9" w:rsidRDefault="00DD31B9" w:rsidP="00303FA9">
      <w:pPr>
        <w:spacing w:after="0" w:line="240" w:lineRule="auto"/>
        <w:rPr>
          <w:rFonts w:ascii="Times New Roman" w:hAnsi="Times New Roman"/>
          <w:sz w:val="20"/>
          <w:szCs w:val="20"/>
        </w:rPr>
      </w:pPr>
      <w:r w:rsidRPr="00303FA9">
        <w:rPr>
          <w:rStyle w:val="Refdenotaderodap"/>
          <w:rFonts w:ascii="Times New Roman" w:hAnsi="Times New Roman"/>
          <w:sz w:val="20"/>
          <w:szCs w:val="20"/>
        </w:rPr>
        <w:footnoteRef/>
      </w:r>
      <w:r w:rsidRPr="00303FA9">
        <w:rPr>
          <w:rFonts w:ascii="Times New Roman" w:hAnsi="Times New Roman"/>
          <w:sz w:val="20"/>
          <w:szCs w:val="20"/>
        </w:rPr>
        <w:t xml:space="preserve"> FLEURY, Sonia. O Conselho de Desenvolvimento Econômico e Social do Governo Lula – Texto entregue aos conselheiros em agosto de 2005. In: BRASIL, Secretaria de Relações Institucionais. </w:t>
      </w:r>
      <w:r w:rsidRPr="00303FA9">
        <w:rPr>
          <w:rFonts w:ascii="Times New Roman" w:hAnsi="Times New Roman"/>
          <w:i/>
          <w:sz w:val="20"/>
          <w:szCs w:val="20"/>
        </w:rPr>
        <w:t>Reflexões sobre o CDES.</w:t>
      </w:r>
      <w:r w:rsidRPr="00303FA9">
        <w:rPr>
          <w:rFonts w:ascii="Times New Roman" w:hAnsi="Times New Roman"/>
          <w:sz w:val="20"/>
          <w:szCs w:val="20"/>
        </w:rPr>
        <w:t>2006, p. 36.</w:t>
      </w:r>
    </w:p>
  </w:footnote>
  <w:footnote w:id="466">
    <w:p w:rsidR="00DD31B9" w:rsidRPr="00303FA9" w:rsidRDefault="00DD31B9" w:rsidP="00303FA9">
      <w:pPr>
        <w:pStyle w:val="Textodenotaderodap"/>
        <w:rPr>
          <w:rFonts w:ascii="Times New Roman" w:hAnsi="Times New Roman"/>
        </w:rPr>
      </w:pPr>
      <w:r w:rsidRPr="00303FA9">
        <w:rPr>
          <w:rStyle w:val="Refdenotaderodap"/>
          <w:rFonts w:ascii="Times New Roman" w:hAnsi="Times New Roman"/>
        </w:rPr>
        <w:footnoteRef/>
      </w:r>
      <w:r w:rsidRPr="00303FA9">
        <w:rPr>
          <w:rFonts w:ascii="Times New Roman" w:hAnsi="Times New Roman"/>
        </w:rPr>
        <w:t xml:space="preserve"> Secretaria de Relações Internacionais. Conselho de Desenvolvimento Econômico e Social. </w:t>
      </w:r>
      <w:r w:rsidRPr="00303FA9">
        <w:rPr>
          <w:rFonts w:ascii="Times New Roman" w:hAnsi="Times New Roman"/>
          <w:i/>
        </w:rPr>
        <w:t>Moção ao Presidente da República sobre a composição do Conselho Monetário Nacional</w:t>
      </w:r>
      <w:r w:rsidRPr="00303FA9">
        <w:rPr>
          <w:rFonts w:ascii="Times New Roman" w:hAnsi="Times New Roman"/>
        </w:rPr>
        <w:t>. Brasília: 2005b. Retirado de &lt; http://www.cdes.gov.br/evento/50/pleno-do-cdes-reuniao-ordinaria-n-12.html&gt; . Acesso em 18/08/2014. Grifos no original.</w:t>
      </w:r>
    </w:p>
  </w:footnote>
  <w:footnote w:id="467">
    <w:p w:rsidR="00DD31B9" w:rsidRPr="009663F8" w:rsidRDefault="00DD31B9" w:rsidP="00303FA9">
      <w:pPr>
        <w:spacing w:after="0" w:line="240" w:lineRule="auto"/>
        <w:rPr>
          <w:rFonts w:ascii="Times New Roman" w:hAnsi="Times New Roman"/>
          <w:sz w:val="20"/>
          <w:szCs w:val="20"/>
        </w:rPr>
      </w:pPr>
      <w:r w:rsidRPr="009663F8">
        <w:rPr>
          <w:rStyle w:val="Refdenotaderodap"/>
          <w:rFonts w:ascii="Times New Roman" w:hAnsi="Times New Roman"/>
          <w:sz w:val="20"/>
          <w:szCs w:val="20"/>
        </w:rPr>
        <w:footnoteRef/>
      </w:r>
      <w:r>
        <w:rPr>
          <w:rFonts w:ascii="Times New Roman" w:hAnsi="Times New Roman"/>
          <w:sz w:val="20"/>
          <w:szCs w:val="20"/>
        </w:rPr>
        <w:t xml:space="preserve">DEMARCHI, Celia e VIEIRA, Maria Cândida. </w:t>
      </w:r>
      <w:r w:rsidRPr="00F86EA0">
        <w:rPr>
          <w:rFonts w:ascii="Times New Roman" w:hAnsi="Times New Roman"/>
          <w:sz w:val="20"/>
          <w:szCs w:val="20"/>
        </w:rPr>
        <w:t>Novo comando, mudanças possíveis</w:t>
      </w:r>
      <w:r>
        <w:rPr>
          <w:rFonts w:ascii="Times New Roman" w:hAnsi="Times New Roman"/>
          <w:i/>
          <w:sz w:val="20"/>
          <w:szCs w:val="20"/>
        </w:rPr>
        <w:t xml:space="preserve">. </w:t>
      </w:r>
      <w:r w:rsidRPr="00F86EA0">
        <w:rPr>
          <w:rFonts w:ascii="Times New Roman" w:hAnsi="Times New Roman"/>
          <w:i/>
          <w:sz w:val="20"/>
          <w:szCs w:val="20"/>
        </w:rPr>
        <w:t>Revista da Indústria</w:t>
      </w:r>
      <w:r w:rsidRPr="009663F8">
        <w:rPr>
          <w:rFonts w:ascii="Times New Roman" w:hAnsi="Times New Roman"/>
          <w:sz w:val="20"/>
          <w:szCs w:val="20"/>
        </w:rPr>
        <w:t xml:space="preserve"> - Publicação mensal da Federação das Indústrias do Estado de São Paulo. Ano 6, nº 117, abril/maio de 2006, p. 20.</w:t>
      </w:r>
    </w:p>
    <w:p w:rsidR="00DD31B9" w:rsidRDefault="00DD31B9" w:rsidP="00303FA9">
      <w:pPr>
        <w:pStyle w:val="Textodenotaderodap"/>
      </w:pPr>
    </w:p>
  </w:footnote>
  <w:footnote w:id="468">
    <w:p w:rsidR="00DD31B9" w:rsidRPr="004538C7" w:rsidRDefault="00DD31B9" w:rsidP="004538C7">
      <w:pPr>
        <w:spacing w:after="0" w:line="240" w:lineRule="auto"/>
        <w:rPr>
          <w:rFonts w:ascii="Times New Roman" w:hAnsi="Times New Roman"/>
          <w:sz w:val="20"/>
          <w:szCs w:val="20"/>
        </w:rPr>
      </w:pPr>
      <w:r w:rsidRPr="00ED0BF8">
        <w:rPr>
          <w:rStyle w:val="Refdenotaderodap"/>
          <w:rFonts w:ascii="Times New Roman" w:hAnsi="Times New Roman"/>
          <w:sz w:val="20"/>
          <w:szCs w:val="20"/>
        </w:rPr>
        <w:footnoteRef/>
      </w:r>
      <w:r w:rsidRPr="00ED0BF8">
        <w:rPr>
          <w:rFonts w:ascii="Times New Roman" w:hAnsi="Times New Roman"/>
          <w:sz w:val="20"/>
          <w:szCs w:val="20"/>
        </w:rPr>
        <w:t xml:space="preserve"> Para uma apresentação detalhada das fases e métodos utilizados para a construção da AND no âmbito do CDES ver TAPIA, Jorge R. Biton. Conselho de Desenvolvimento Econômico e Social: os desafios da construção institucional. In: DINIZ, Eli (org.).</w:t>
      </w:r>
      <w:r w:rsidRPr="00ED0BF8">
        <w:rPr>
          <w:rFonts w:ascii="Times New Roman" w:hAnsi="Times New Roman"/>
          <w:i/>
          <w:sz w:val="20"/>
          <w:szCs w:val="20"/>
        </w:rPr>
        <w:t>Globalização, Estado e desenvolvimento</w:t>
      </w:r>
      <w:r w:rsidRPr="00ED0BF8">
        <w:rPr>
          <w:rFonts w:ascii="Times New Roman" w:hAnsi="Times New Roman"/>
          <w:sz w:val="20"/>
          <w:szCs w:val="20"/>
        </w:rPr>
        <w:t xml:space="preserve">: dilemas do </w:t>
      </w:r>
      <w:r w:rsidRPr="004538C7">
        <w:rPr>
          <w:rFonts w:ascii="Times New Roman" w:hAnsi="Times New Roman"/>
          <w:sz w:val="20"/>
          <w:szCs w:val="20"/>
        </w:rPr>
        <w:t xml:space="preserve">Brasil no novo milênio. RJ: FGV, 2007; KUNRATH, Romerio Jair. </w:t>
      </w:r>
      <w:r w:rsidRPr="004538C7">
        <w:rPr>
          <w:rFonts w:ascii="Times New Roman" w:hAnsi="Times New Roman"/>
          <w:i/>
          <w:sz w:val="20"/>
          <w:szCs w:val="20"/>
        </w:rPr>
        <w:t xml:space="preserve">Os Conselhos Econômicos e Sociais em perspectiva comparada... </w:t>
      </w:r>
      <w:r w:rsidRPr="004538C7">
        <w:rPr>
          <w:rFonts w:ascii="Times New Roman" w:hAnsi="Times New Roman"/>
          <w:sz w:val="20"/>
          <w:szCs w:val="20"/>
        </w:rPr>
        <w:t xml:space="preserve">Op. cit. e , especialmente, GARCIA, Ronaldo C. O CDES e a construção da Agenda Nacional de Desenvolvimento: um relato particular. In CARDOSO JR., José Celso, SANTOS, José Celso e ALENCAR, Joana. </w:t>
      </w:r>
      <w:r w:rsidRPr="004538C7">
        <w:rPr>
          <w:rFonts w:ascii="Times New Roman" w:hAnsi="Times New Roman"/>
          <w:i/>
          <w:sz w:val="20"/>
          <w:szCs w:val="20"/>
        </w:rPr>
        <w:t xml:space="preserve">Diálogos para o desenvolvimento: </w:t>
      </w:r>
      <w:r w:rsidRPr="004538C7">
        <w:rPr>
          <w:rFonts w:ascii="Times New Roman" w:hAnsi="Times New Roman"/>
          <w:sz w:val="20"/>
          <w:szCs w:val="20"/>
        </w:rPr>
        <w:t>a experiência do Conselho de Desenvolvimento Econômico e Social sob o governo Lula. Brasília: IPEA, vol. 2, 2010.</w:t>
      </w:r>
    </w:p>
  </w:footnote>
  <w:footnote w:id="469">
    <w:p w:rsidR="00DD31B9" w:rsidRPr="004538C7" w:rsidRDefault="00DD31B9" w:rsidP="004538C7">
      <w:pPr>
        <w:autoSpaceDE w:val="0"/>
        <w:autoSpaceDN w:val="0"/>
        <w:adjustRightInd w:val="0"/>
        <w:spacing w:after="0" w:line="240" w:lineRule="auto"/>
        <w:rPr>
          <w:rFonts w:ascii="Times New Roman" w:hAnsi="Times New Roman"/>
          <w:sz w:val="20"/>
          <w:szCs w:val="20"/>
        </w:rPr>
      </w:pPr>
      <w:r w:rsidRPr="004538C7">
        <w:rPr>
          <w:rStyle w:val="Refdenotaderodap"/>
          <w:rFonts w:ascii="Times New Roman" w:hAnsi="Times New Roman"/>
          <w:sz w:val="20"/>
          <w:szCs w:val="20"/>
        </w:rPr>
        <w:footnoteRef/>
      </w:r>
      <w:r w:rsidRPr="004538C7">
        <w:rPr>
          <w:rFonts w:ascii="Times New Roman" w:hAnsi="Times New Roman"/>
          <w:sz w:val="20"/>
          <w:szCs w:val="20"/>
        </w:rPr>
        <w:t xml:space="preserve"> Secretaria de Relações Institucionais. Secretaria do Conselho de Desenvolvimento Econômico e Social.</w:t>
      </w:r>
      <w:r w:rsidRPr="004538C7">
        <w:rPr>
          <w:rFonts w:ascii="Times New Roman" w:hAnsi="Times New Roman"/>
          <w:i/>
          <w:sz w:val="20"/>
          <w:szCs w:val="20"/>
        </w:rPr>
        <w:t xml:space="preserve"> Agenda Nacional de Desenvolvimento – AND</w:t>
      </w:r>
      <w:r w:rsidRPr="004538C7">
        <w:rPr>
          <w:rFonts w:ascii="Times New Roman" w:hAnsi="Times New Roman"/>
          <w:sz w:val="20"/>
          <w:szCs w:val="20"/>
        </w:rPr>
        <w:t>. 3. ed. Brasília: Presidência da República, Conselho de Desenvolvimento Econômico e Social – CDES, 2010a, p. 12.</w:t>
      </w:r>
    </w:p>
  </w:footnote>
  <w:footnote w:id="470">
    <w:p w:rsidR="00DD31B9" w:rsidRPr="004538C7" w:rsidRDefault="00DD31B9" w:rsidP="004538C7">
      <w:pPr>
        <w:autoSpaceDE w:val="0"/>
        <w:autoSpaceDN w:val="0"/>
        <w:adjustRightInd w:val="0"/>
        <w:spacing w:after="0" w:line="240" w:lineRule="auto"/>
        <w:rPr>
          <w:rFonts w:ascii="Times New Roman" w:hAnsi="Times New Roman"/>
          <w:sz w:val="20"/>
          <w:szCs w:val="20"/>
        </w:rPr>
      </w:pPr>
      <w:r w:rsidRPr="004538C7">
        <w:rPr>
          <w:rStyle w:val="Refdenotaderodap"/>
          <w:rFonts w:ascii="Times New Roman" w:hAnsi="Times New Roman"/>
          <w:sz w:val="20"/>
          <w:szCs w:val="20"/>
        </w:rPr>
        <w:footnoteRef/>
      </w:r>
      <w:r w:rsidRPr="004538C7">
        <w:rPr>
          <w:rFonts w:ascii="Times New Roman" w:hAnsi="Times New Roman"/>
          <w:sz w:val="20"/>
          <w:szCs w:val="20"/>
        </w:rPr>
        <w:t xml:space="preserve"> A visão de futuro proposta pela AND foi incorporada pelo governo federal como orientação estratégica do Plano Plurianual 2008-2011. Ver em &lt;http://www.cdes.gov.br/linha-do-tempo.html&gt;. Acesso em 14/01/2014. Segue a visão de futuro elaborada: “Um País democrático e coeso, no qual a iniquidade foi superada, todas as brasileiras e todos os brasileiros têm plena capacidade de exercer sua cidadania, a paz social e a segurança pública foram alcançadas, o desenvolvimentosustentado e sustentável encontrou o seu curso, a diversidade, em particular a cultural, é valorizada. Uma nação respeitada e que se insere soberanamente no cenário internacional, comprometida com a paz mundial e a união entre os povos” (</w:t>
      </w:r>
      <w:r w:rsidRPr="004538C7">
        <w:rPr>
          <w:rFonts w:ascii="Times New Roman" w:hAnsi="Times New Roman"/>
        </w:rPr>
        <w:t>SRI. SEDES.</w:t>
      </w:r>
      <w:r w:rsidRPr="004538C7">
        <w:rPr>
          <w:rFonts w:ascii="Times New Roman" w:hAnsi="Times New Roman"/>
          <w:i/>
        </w:rPr>
        <w:t xml:space="preserve"> Agenda Nacional de Desenvolvimento, </w:t>
      </w:r>
      <w:r>
        <w:rPr>
          <w:rFonts w:ascii="Times New Roman" w:hAnsi="Times New Roman"/>
        </w:rPr>
        <w:t>2010a, Op. cit., p. 1</w:t>
      </w:r>
      <w:r w:rsidRPr="004538C7">
        <w:rPr>
          <w:rFonts w:ascii="Times New Roman" w:hAnsi="Times New Roman"/>
          <w:sz w:val="20"/>
          <w:szCs w:val="20"/>
        </w:rPr>
        <w:t>3).</w:t>
      </w:r>
    </w:p>
  </w:footnote>
  <w:footnote w:id="471">
    <w:p w:rsidR="00DD31B9" w:rsidRPr="004538C7" w:rsidRDefault="00DD31B9" w:rsidP="004538C7">
      <w:pPr>
        <w:autoSpaceDE w:val="0"/>
        <w:autoSpaceDN w:val="0"/>
        <w:adjustRightInd w:val="0"/>
        <w:spacing w:after="0" w:line="240" w:lineRule="auto"/>
        <w:rPr>
          <w:rFonts w:ascii="Times New Roman" w:hAnsi="Times New Roman"/>
          <w:sz w:val="20"/>
          <w:szCs w:val="20"/>
        </w:rPr>
      </w:pPr>
      <w:r w:rsidRPr="004538C7">
        <w:rPr>
          <w:rStyle w:val="Refdenotaderodap"/>
          <w:rFonts w:ascii="Times New Roman" w:hAnsi="Times New Roman"/>
          <w:sz w:val="20"/>
          <w:szCs w:val="20"/>
        </w:rPr>
        <w:footnoteRef/>
      </w:r>
      <w:r w:rsidRPr="004538C7">
        <w:rPr>
          <w:rFonts w:ascii="Times New Roman" w:hAnsi="Times New Roman"/>
          <w:sz w:val="20"/>
          <w:szCs w:val="20"/>
        </w:rPr>
        <w:t xml:space="preserve"> Os valores orientadores da AND eram: “</w:t>
      </w:r>
      <w:r w:rsidRPr="004538C7">
        <w:rPr>
          <w:rFonts w:ascii="Times New Roman" w:hAnsi="Times New Roman"/>
          <w:iCs/>
          <w:sz w:val="20"/>
          <w:szCs w:val="20"/>
        </w:rPr>
        <w:t>Democracia - Liberdade – Equidade - Identidade nacional – Sustentabilidade - Respeito à diversidade sociocultural – Soberania” (</w:t>
      </w:r>
      <w:r>
        <w:rPr>
          <w:rFonts w:ascii="Times New Roman" w:hAnsi="Times New Roman"/>
          <w:iCs/>
          <w:sz w:val="20"/>
          <w:szCs w:val="20"/>
        </w:rPr>
        <w:t>idem</w:t>
      </w:r>
      <w:r w:rsidRPr="004538C7">
        <w:rPr>
          <w:rFonts w:ascii="Times New Roman" w:hAnsi="Times New Roman"/>
          <w:iCs/>
          <w:sz w:val="20"/>
          <w:szCs w:val="20"/>
        </w:rPr>
        <w:t>).</w:t>
      </w:r>
    </w:p>
  </w:footnote>
  <w:footnote w:id="472">
    <w:p w:rsidR="00DD31B9" w:rsidRPr="004538C7" w:rsidRDefault="00DD31B9" w:rsidP="004538C7">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GARCIA, Ronaldo C. O CDES e a construção da Agenda Nacional de Desenvolvimento: um relato particular... Op. cit., p. 85.</w:t>
      </w:r>
    </w:p>
  </w:footnote>
  <w:footnote w:id="473">
    <w:p w:rsidR="00DD31B9" w:rsidRPr="004538C7" w:rsidRDefault="00DD31B9" w:rsidP="004538C7">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SRI. SEDES.</w:t>
      </w:r>
      <w:r w:rsidRPr="004538C7">
        <w:rPr>
          <w:rFonts w:ascii="Times New Roman" w:hAnsi="Times New Roman"/>
          <w:i/>
        </w:rPr>
        <w:t xml:space="preserve"> Agenda Nacional de Desenvolvimento, </w:t>
      </w:r>
      <w:r w:rsidRPr="004538C7">
        <w:rPr>
          <w:rFonts w:ascii="Times New Roman" w:hAnsi="Times New Roman"/>
        </w:rPr>
        <w:t>2010a, Op. cit., p. 14.</w:t>
      </w:r>
    </w:p>
  </w:footnote>
  <w:footnote w:id="474">
    <w:p w:rsidR="00DD31B9" w:rsidRPr="004538C7" w:rsidRDefault="00DD31B9" w:rsidP="004538C7">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13.</w:t>
      </w:r>
    </w:p>
  </w:footnote>
  <w:footnote w:id="475">
    <w:p w:rsidR="00DD31B9" w:rsidRPr="004538C7" w:rsidRDefault="00DD31B9" w:rsidP="004538C7">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TAPIA, Jorge R. Biton. Conselho de Desenvolvimento Econômico e Social... Op. cit., p. 211-212.</w:t>
      </w:r>
    </w:p>
  </w:footnote>
  <w:footnote w:id="476">
    <w:p w:rsidR="00DD31B9" w:rsidRPr="004538C7" w:rsidRDefault="00DD31B9" w:rsidP="004538C7">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O conselheiro responsável pela exposição do âmbito problemático III foi o empresário Antoninho Trevisan e do âmbito problemático IV foi outro empresário Daniel Feffer. O âmbito problemático II foi apresentado pelo subsecretário da SEDES à época Ronaldo Couto Garcia, devido à ausência de um conselheiro (provavelmente mais um empresário), mas seus argumentos não os desapontaram.</w:t>
      </w:r>
    </w:p>
  </w:footnote>
  <w:footnote w:id="477">
    <w:p w:rsidR="00DD31B9" w:rsidRPr="004538C7" w:rsidRDefault="00DD31B9" w:rsidP="004538C7">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GARCIA, Ronaldo C. O CDES e a construção da Agenda Nacional de Desenvolvimento: um relato particular... Op. cit., p. 87-88. Grifos no original.</w:t>
      </w:r>
    </w:p>
  </w:footnote>
  <w:footnote w:id="478">
    <w:p w:rsidR="00DD31B9" w:rsidRPr="004538C7" w:rsidRDefault="00DD31B9" w:rsidP="004538C7">
      <w:pPr>
        <w:pStyle w:val="Textodenotaderodap"/>
        <w:rPr>
          <w:rFonts w:ascii="Times New Roman" w:hAnsi="Times New Roman"/>
        </w:rPr>
      </w:pPr>
      <w:r w:rsidRPr="004538C7">
        <w:rPr>
          <w:rStyle w:val="Refdenotaderodap"/>
          <w:rFonts w:ascii="Times New Roman" w:hAnsi="Times New Roman"/>
        </w:rPr>
        <w:footnoteRef/>
      </w:r>
      <w:r w:rsidRPr="004538C7">
        <w:rPr>
          <w:rFonts w:ascii="Times New Roman" w:hAnsi="Times New Roman"/>
        </w:rPr>
        <w:t xml:space="preserve"> Idem, p. 88.</w:t>
      </w:r>
    </w:p>
  </w:footnote>
  <w:footnote w:id="479">
    <w:p w:rsidR="00DD31B9" w:rsidRPr="00317850" w:rsidRDefault="00DD31B9" w:rsidP="004538C7">
      <w:pPr>
        <w:pStyle w:val="Textodenotaderodap"/>
        <w:rPr>
          <w:rFonts w:ascii="Times New Roman" w:hAnsi="Times New Roman"/>
        </w:rPr>
      </w:pPr>
      <w:r w:rsidRPr="00317850">
        <w:rPr>
          <w:rStyle w:val="Refdenotaderodap"/>
          <w:rFonts w:ascii="Times New Roman" w:hAnsi="Times New Roman"/>
        </w:rPr>
        <w:footnoteRef/>
      </w:r>
      <w:r w:rsidRPr="00317850">
        <w:rPr>
          <w:rFonts w:ascii="Times New Roman" w:hAnsi="Times New Roman"/>
        </w:rPr>
        <w:t xml:space="preserve"> Idem, 90.</w:t>
      </w:r>
    </w:p>
  </w:footnote>
  <w:footnote w:id="480">
    <w:p w:rsidR="00DD31B9" w:rsidRPr="00317850" w:rsidRDefault="00DD31B9" w:rsidP="004538C7">
      <w:pPr>
        <w:pStyle w:val="Textodenotaderodap"/>
        <w:rPr>
          <w:rFonts w:ascii="Times New Roman" w:hAnsi="Times New Roman"/>
        </w:rPr>
      </w:pPr>
      <w:r w:rsidRPr="00317850">
        <w:rPr>
          <w:rStyle w:val="Refdenotaderodap"/>
          <w:rFonts w:ascii="Times New Roman" w:hAnsi="Times New Roman"/>
        </w:rPr>
        <w:footnoteRef/>
      </w:r>
      <w:r w:rsidRPr="00317850">
        <w:rPr>
          <w:rFonts w:ascii="Times New Roman" w:hAnsi="Times New Roman"/>
        </w:rPr>
        <w:t xml:space="preserve"> Esta diretriz foi antecipadamente defendida nas plenárias do CDES pelos conselheiros Clemente Ganz Lúcio (DIEESE) e Oded Grajew (Instituto Ethos).</w:t>
      </w:r>
    </w:p>
  </w:footnote>
  <w:footnote w:id="481">
    <w:p w:rsidR="00DD31B9" w:rsidRPr="00317850" w:rsidRDefault="00DD31B9" w:rsidP="004538C7">
      <w:pPr>
        <w:pStyle w:val="Textodenotaderodap"/>
        <w:rPr>
          <w:rFonts w:ascii="Times New Roman" w:hAnsi="Times New Roman"/>
        </w:rPr>
      </w:pPr>
      <w:r w:rsidRPr="00317850">
        <w:rPr>
          <w:rStyle w:val="Refdenotaderodap"/>
          <w:rFonts w:ascii="Times New Roman" w:hAnsi="Times New Roman"/>
        </w:rPr>
        <w:footnoteRef/>
      </w:r>
      <w:r w:rsidRPr="00317850">
        <w:rPr>
          <w:rFonts w:ascii="Times New Roman" w:hAnsi="Times New Roman"/>
        </w:rPr>
        <w:t xml:space="preserve"> Conta em nota na AND: “trata-se da plena mobilização das capacidades produtivas em termos de terra, trabalho e capital”.</w:t>
      </w:r>
    </w:p>
  </w:footnote>
  <w:footnote w:id="482">
    <w:p w:rsidR="00DD31B9" w:rsidRPr="00317850" w:rsidRDefault="00DD31B9" w:rsidP="004538C7">
      <w:pPr>
        <w:pStyle w:val="Textodenotaderodap"/>
        <w:rPr>
          <w:rFonts w:ascii="Times New Roman" w:hAnsi="Times New Roman"/>
        </w:rPr>
      </w:pPr>
      <w:r w:rsidRPr="00317850">
        <w:rPr>
          <w:rStyle w:val="Refdenotaderodap"/>
          <w:rFonts w:ascii="Times New Roman" w:hAnsi="Times New Roman"/>
        </w:rPr>
        <w:footnoteRef/>
      </w:r>
      <w:r w:rsidRPr="00317850">
        <w:rPr>
          <w:rFonts w:ascii="Times New Roman" w:hAnsi="Times New Roman"/>
        </w:rPr>
        <w:t xml:space="preserve"> Nas atas das reuniões plenárias provavelmente a única voz que tocava no tema da Reforma Agrária era a do conselheiro Pedro de Assis Ribeiro de Oliveira, das Comunidades Eclesiais de Base (CEBs).</w:t>
      </w:r>
    </w:p>
  </w:footnote>
  <w:footnote w:id="483">
    <w:p w:rsidR="00DD31B9" w:rsidRPr="00317850" w:rsidRDefault="00DD31B9" w:rsidP="004538C7">
      <w:pPr>
        <w:pStyle w:val="Textodenotaderodap"/>
        <w:rPr>
          <w:rFonts w:ascii="Times New Roman" w:hAnsi="Times New Roman"/>
        </w:rPr>
      </w:pPr>
      <w:r w:rsidRPr="00317850">
        <w:rPr>
          <w:rStyle w:val="Refdenotaderodap"/>
          <w:rFonts w:ascii="Times New Roman" w:hAnsi="Times New Roman"/>
        </w:rPr>
        <w:footnoteRef/>
      </w:r>
      <w:r w:rsidRPr="00317850">
        <w:rPr>
          <w:rFonts w:ascii="Times New Roman" w:hAnsi="Times New Roman"/>
        </w:rPr>
        <w:t xml:space="preserve"> Proposições nesta direção eram suscitadas nas reuniões plenárias pelo conselheiro Jorge Gerdau.</w:t>
      </w:r>
    </w:p>
  </w:footnote>
  <w:footnote w:id="484">
    <w:p w:rsidR="00DD31B9" w:rsidRPr="00317850" w:rsidRDefault="00DD31B9" w:rsidP="004538C7">
      <w:pPr>
        <w:pStyle w:val="Textodenotaderodap"/>
        <w:rPr>
          <w:rFonts w:ascii="Times New Roman" w:hAnsi="Times New Roman"/>
        </w:rPr>
      </w:pPr>
      <w:r w:rsidRPr="00317850">
        <w:rPr>
          <w:rStyle w:val="Refdenotaderodap"/>
          <w:rFonts w:ascii="Times New Roman" w:hAnsi="Times New Roman"/>
        </w:rPr>
        <w:footnoteRef/>
      </w:r>
      <w:r w:rsidRPr="00317850">
        <w:rPr>
          <w:rFonts w:ascii="Times New Roman" w:hAnsi="Times New Roman"/>
        </w:rPr>
        <w:t xml:space="preserve"> CIDE significa “Contribuição Interventiva no Domínio Econômico” e trata-se de tributo para financiar as atividades de intervenção da União na economia a fim de realizar uma série de atividades voltadas ao aprimoramento ou expansão de um segmento econômico.  Os conselheiros se referiam, na AND, à CIDE-Combustíveis, instituída pela lei 10.336/01 com a finalidade de assegurar um volume mínimo de recursos para investimento em infraestrutura de transporte. Exigiam que </w:t>
      </w:r>
      <w:r w:rsidRPr="00317850">
        <w:rPr>
          <w:rFonts w:ascii="Times New Roman" w:hAnsi="Times New Roman"/>
          <w:i/>
        </w:rPr>
        <w:t>a totalidade dos recursos</w:t>
      </w:r>
      <w:r w:rsidRPr="00317850">
        <w:rPr>
          <w:rFonts w:ascii="Times New Roman" w:hAnsi="Times New Roman"/>
        </w:rPr>
        <w:t xml:space="preserve"> angariados pela CIDE-Combustíveis fosse aplicada, em caráter emergencial, na recuperação da malha rodoviária federal. Do total arrecadado pela CIDE, 20% são destinados para o fundo de Desvinculação de Receitas da União (</w:t>
      </w:r>
      <w:hyperlink r:id="rId15" w:tgtFrame="_self" w:history="1">
        <w:r w:rsidRPr="000834BC">
          <w:rPr>
            <w:rStyle w:val="Hyperlink"/>
            <w:rFonts w:ascii="Times New Roman" w:hAnsi="Times New Roman"/>
            <w:color w:val="auto"/>
            <w:u w:val="none"/>
          </w:rPr>
          <w:t>DRU</w:t>
        </w:r>
      </w:hyperlink>
      <w:r w:rsidRPr="00317850">
        <w:rPr>
          <w:rFonts w:ascii="Times New Roman" w:hAnsi="Times New Roman"/>
        </w:rPr>
        <w:t>) e, com a reforma tributária, 25% passaram a ser transferidos aos estados, que repassam 25% de suas cotas aos municípios. Veja em &lt; http://www12.senado.gov.br/noticias/entenda-o-assunto/cide&gt;. Acesso em 11/07/2014. Há um erro crasso nas duas edições da AND, afirmando que a CIDE significa “Centro de Informações da Cidade do Rio de Janeiro” o que destoa completamente com o texto da diretriz.</w:t>
      </w:r>
    </w:p>
  </w:footnote>
  <w:footnote w:id="485">
    <w:p w:rsidR="00DD31B9" w:rsidRPr="00941848" w:rsidRDefault="00DD31B9" w:rsidP="004538C7">
      <w:pPr>
        <w:pStyle w:val="Textodenotaderodap"/>
        <w:rPr>
          <w:rFonts w:ascii="Times New Roman" w:hAnsi="Times New Roman"/>
        </w:rPr>
      </w:pPr>
      <w:r w:rsidRPr="00941848">
        <w:rPr>
          <w:rStyle w:val="Refdenotaderodap"/>
          <w:rFonts w:ascii="Times New Roman" w:hAnsi="Times New Roman"/>
        </w:rPr>
        <w:footnoteRef/>
      </w:r>
      <w:r w:rsidRPr="00941848">
        <w:rPr>
          <w:rFonts w:ascii="Times New Roman" w:hAnsi="Times New Roman"/>
        </w:rPr>
        <w:t xml:space="preserve"> Proposto inicialmente em Projeto de Lei 1937/06 e reeditado pelo PL 3734/12,</w:t>
      </w:r>
      <w:r w:rsidRPr="00941848">
        <w:rPr>
          <w:rFonts w:ascii="Times New Roman" w:hAnsi="Times New Roman"/>
          <w:color w:val="333333"/>
        </w:rPr>
        <w:t xml:space="preserve"> o </w:t>
      </w:r>
      <w:r w:rsidRPr="00941848">
        <w:rPr>
          <w:rFonts w:ascii="Times New Roman" w:hAnsi="Times New Roman"/>
        </w:rPr>
        <w:t xml:space="preserve">Sistema Único de Segurança Pública (SUSP) ainda não foi aprovado pelo Congresso Nacional. </w:t>
      </w:r>
      <w:r w:rsidRPr="00941848">
        <w:rPr>
          <w:rFonts w:ascii="Times New Roman" w:hAnsi="Times New Roman"/>
          <w:color w:val="000000"/>
        </w:rPr>
        <w:t xml:space="preserve">Preconiza que os órgãos mencionados no art. 144 da CF/88 atuarão, nos limites de suas competências, de forma cooperativa, sistêmica e harmônica, por meio de: operações combinadas, planejadas e desencadeadas em equipe; aceitação mútua dos registros de ocorrências e dos procedimentos apuratórios; compartilhamento de informações; e intercâmbio de conhecimentos técnicos e científicos. Trata-se, em resumo, do aperfeiçoamento do aparato preventivo-coercitivo do Estado, por meio da disponibilização imediata de contingente especializado, bem treinado e armado, do aparato repressivo frente às mobilizações de forças populares. </w:t>
      </w:r>
    </w:p>
  </w:footnote>
  <w:footnote w:id="486">
    <w:p w:rsidR="00DD31B9" w:rsidRPr="00941848" w:rsidRDefault="00DD31B9" w:rsidP="004538C7">
      <w:pPr>
        <w:pStyle w:val="Textodenotaderodap"/>
        <w:rPr>
          <w:rFonts w:ascii="Times New Roman" w:hAnsi="Times New Roman"/>
        </w:rPr>
      </w:pPr>
      <w:r w:rsidRPr="00941848">
        <w:rPr>
          <w:rStyle w:val="Refdenotaderodap"/>
          <w:rFonts w:ascii="Times New Roman" w:hAnsi="Times New Roman"/>
        </w:rPr>
        <w:footnoteRef/>
      </w:r>
      <w:r w:rsidRPr="00941848">
        <w:rPr>
          <w:rFonts w:ascii="Times New Roman" w:hAnsi="Times New Roman"/>
        </w:rPr>
        <w:t xml:space="preserve"> Tramita no Legislativo Federal, desde 2007, um Projeto de Lei Complementar (PLP 261/2007), de proposição do deputado federal Silvinho Peccioli (DEM/SP), que “dispõe sobre o Conselho Monetário Nacional e dá outras providências”. O conteúdo do projeto de lei identifica-se, no que tange à composição, integralmente à proposta da FIEP. Repare que em ambas as propostas não figura o presidente do Banco Central entre os membros do CMN. </w:t>
      </w:r>
    </w:p>
  </w:footnote>
  <w:footnote w:id="487">
    <w:p w:rsidR="00DD31B9" w:rsidRPr="00941848" w:rsidRDefault="00DD31B9" w:rsidP="004538C7">
      <w:pPr>
        <w:pStyle w:val="Textodenotaderodap"/>
        <w:rPr>
          <w:rFonts w:ascii="Times New Roman" w:hAnsi="Times New Roman"/>
        </w:rPr>
      </w:pPr>
      <w:r w:rsidRPr="00941848">
        <w:rPr>
          <w:rStyle w:val="Refdenotaderodap"/>
          <w:rFonts w:ascii="Times New Roman" w:hAnsi="Times New Roman"/>
        </w:rPr>
        <w:footnoteRef/>
      </w:r>
      <w:r w:rsidRPr="00941848">
        <w:rPr>
          <w:rFonts w:ascii="Times New Roman" w:hAnsi="Times New Roman"/>
        </w:rPr>
        <w:t xml:space="preserve"> Este item consta na Carta do IEDI endereçada a Lula da Silva em 2003. Cf. PINTO, Celso. </w:t>
      </w:r>
      <w:r w:rsidRPr="00941848">
        <w:rPr>
          <w:rFonts w:ascii="Times New Roman" w:hAnsi="Times New Roman"/>
          <w:i/>
        </w:rPr>
        <w:t xml:space="preserve">IEDI oferece a Lula plano emergencial. </w:t>
      </w:r>
      <w:r w:rsidRPr="00941848">
        <w:rPr>
          <w:rFonts w:ascii="Times New Roman" w:hAnsi="Times New Roman"/>
        </w:rPr>
        <w:t>FSP, 06/03/2003. Disponível em &lt;http://www1.folha.uol.com.br/fsp/brasil/fc0603200311.htm&gt;. Acesso em 21/08/2014.</w:t>
      </w:r>
    </w:p>
  </w:footnote>
  <w:footnote w:id="488">
    <w:p w:rsidR="00DD31B9" w:rsidRPr="0009772B" w:rsidRDefault="00DD31B9" w:rsidP="0009772B">
      <w:pPr>
        <w:pStyle w:val="Textodenotaderodap"/>
        <w:rPr>
          <w:rFonts w:ascii="Times New Roman" w:hAnsi="Times New Roman"/>
        </w:rPr>
      </w:pPr>
      <w:r w:rsidRPr="0009772B">
        <w:rPr>
          <w:rStyle w:val="Refdenotaderodap"/>
          <w:rFonts w:ascii="Times New Roman" w:hAnsi="Times New Roman"/>
        </w:rPr>
        <w:footnoteRef/>
      </w:r>
      <w:r w:rsidRPr="0009772B">
        <w:rPr>
          <w:rFonts w:ascii="Times New Roman" w:hAnsi="Times New Roman"/>
        </w:rPr>
        <w:t xml:space="preserve"> SRI. SEDES.</w:t>
      </w:r>
      <w:r w:rsidRPr="0009772B">
        <w:rPr>
          <w:rFonts w:ascii="Times New Roman" w:hAnsi="Times New Roman"/>
          <w:i/>
        </w:rPr>
        <w:t xml:space="preserve"> Enunciados estratégicos para o desenvolvimento</w:t>
      </w:r>
      <w:r w:rsidRPr="0009772B">
        <w:rPr>
          <w:rFonts w:ascii="Times New Roman" w:hAnsi="Times New Roman"/>
        </w:rPr>
        <w:t>. Brasília: Presidência da República, CDES, 2006, p. 07.</w:t>
      </w:r>
    </w:p>
  </w:footnote>
  <w:footnote w:id="489">
    <w:p w:rsidR="00DD31B9" w:rsidRPr="0009772B" w:rsidRDefault="00DD31B9" w:rsidP="0009772B">
      <w:pPr>
        <w:pStyle w:val="Textodenotaderodap"/>
        <w:rPr>
          <w:rFonts w:ascii="Times New Roman" w:hAnsi="Times New Roman"/>
        </w:rPr>
      </w:pPr>
      <w:r w:rsidRPr="0009772B">
        <w:rPr>
          <w:rStyle w:val="Refdenotaderodap"/>
          <w:rFonts w:ascii="Times New Roman" w:hAnsi="Times New Roman"/>
        </w:rPr>
        <w:footnoteRef/>
      </w:r>
      <w:r w:rsidRPr="0009772B">
        <w:rPr>
          <w:rFonts w:ascii="Times New Roman" w:hAnsi="Times New Roman"/>
        </w:rPr>
        <w:t xml:space="preserve"> Na 18ª Reunião Plenária (29/06/2006), o convidado Carlos Leal (Presidente da FGV-RJ) declarou que “quando o Ministro Tarso Genro pediu há três anos que nós ajudássemos a montar o funcionamento inicial do CDES nós ficamos entusiasmados com a ideia e acompanhamos esse trabalho inicial”. Curioso constatar que nenhum documento ou depoimento em relação à formulação do marco legal que trata do funcionamento do CDES trazia menção ao papel da FGV</w:t>
      </w:r>
      <w:r>
        <w:rPr>
          <w:rFonts w:ascii="Times New Roman" w:hAnsi="Times New Roman"/>
        </w:rPr>
        <w:t>-RJ</w:t>
      </w:r>
      <w:r w:rsidRPr="0009772B">
        <w:rPr>
          <w:rFonts w:ascii="Times New Roman" w:hAnsi="Times New Roman"/>
        </w:rPr>
        <w:t>. Carlos Ivan Simonsen Leal é presidente da FGV</w:t>
      </w:r>
      <w:r>
        <w:rPr>
          <w:rFonts w:ascii="Times New Roman" w:hAnsi="Times New Roman"/>
        </w:rPr>
        <w:t>-RJ</w:t>
      </w:r>
      <w:r w:rsidRPr="0009772B">
        <w:rPr>
          <w:rFonts w:ascii="Times New Roman" w:hAnsi="Times New Roman"/>
        </w:rPr>
        <w:t xml:space="preserve"> desde 2000 e sobrinho do falecido economista Mario Henrique Simonsen. Obteve o título de Ph. D. em economia pela Universidade de Princeton (EUA) em 1986 e seguiu carreira dentro da FGV</w:t>
      </w:r>
      <w:r>
        <w:rPr>
          <w:rFonts w:ascii="Times New Roman" w:hAnsi="Times New Roman"/>
        </w:rPr>
        <w:t>-RJ</w:t>
      </w:r>
      <w:r w:rsidRPr="0009772B">
        <w:rPr>
          <w:rFonts w:ascii="Times New Roman" w:hAnsi="Times New Roman"/>
        </w:rPr>
        <w:t xml:space="preserve"> nos cargos de professor, diretor e vice-presidente. Retirado de &lt;http://epge.fgv.br/pt/professor/carlos-ivan-simonsen-leal&gt;. Acesso em 21/07/2014.</w:t>
      </w:r>
    </w:p>
  </w:footnote>
  <w:footnote w:id="490">
    <w:p w:rsidR="00DD31B9" w:rsidRPr="00F20A37" w:rsidRDefault="00DD31B9" w:rsidP="000B7C36">
      <w:pPr>
        <w:pStyle w:val="Textodenotaderodap"/>
        <w:rPr>
          <w:rFonts w:ascii="Times New Roman" w:hAnsi="Times New Roman"/>
        </w:rPr>
      </w:pPr>
      <w:r w:rsidRPr="0001388A">
        <w:rPr>
          <w:rStyle w:val="Refdenotaderodap"/>
          <w:rFonts w:ascii="Times New Roman" w:hAnsi="Times New Roman"/>
        </w:rPr>
        <w:footnoteRef/>
      </w:r>
      <w:r w:rsidRPr="0009772B">
        <w:rPr>
          <w:rFonts w:ascii="Times New Roman" w:hAnsi="Times New Roman"/>
        </w:rPr>
        <w:t xml:space="preserve">Fundação Getúlio Vargas (2006). </w:t>
      </w:r>
      <w:r w:rsidRPr="0009772B">
        <w:rPr>
          <w:rFonts w:ascii="Times New Roman" w:hAnsi="Times New Roman"/>
          <w:i/>
        </w:rPr>
        <w:t>Temas para o desenvolvimento com equidade</w:t>
      </w:r>
      <w:r w:rsidRPr="0009772B">
        <w:rPr>
          <w:rFonts w:ascii="Times New Roman" w:hAnsi="Times New Roman"/>
        </w:rPr>
        <w:t>. Disponível em &lt;</w:t>
      </w:r>
      <w:hyperlink r:id="rId16" w:history="1">
        <w:r w:rsidRPr="00DA6866">
          <w:rPr>
            <w:rStyle w:val="Hyperlink"/>
            <w:rFonts w:ascii="Times New Roman" w:hAnsi="Times New Roman"/>
            <w:color w:val="auto"/>
            <w:u w:val="none"/>
          </w:rPr>
          <w:t>http://www.cdes.gov.br/documento/282190/fgv-temas-para-o-desenvolvimento-com-equidade.html</w:t>
        </w:r>
      </w:hyperlink>
      <w:r w:rsidRPr="0009772B">
        <w:rPr>
          <w:rFonts w:ascii="Times New Roman" w:hAnsi="Times New Roman"/>
        </w:rPr>
        <w:t xml:space="preserve">&gt;. Acesso em 17/07/2004, </w:t>
      </w:r>
      <w:r w:rsidRPr="00F20A37">
        <w:rPr>
          <w:rFonts w:ascii="Times New Roman" w:hAnsi="Times New Roman"/>
        </w:rPr>
        <w:t>p. 15.</w:t>
      </w:r>
    </w:p>
  </w:footnote>
  <w:footnote w:id="491">
    <w:p w:rsidR="00DD31B9" w:rsidRPr="00F20A37" w:rsidRDefault="00DD31B9" w:rsidP="000B7C36">
      <w:pPr>
        <w:pStyle w:val="Textodenotaderodap"/>
        <w:rPr>
          <w:rFonts w:ascii="Times New Roman" w:hAnsi="Times New Roman"/>
        </w:rPr>
      </w:pPr>
      <w:r w:rsidRPr="0001388A">
        <w:rPr>
          <w:rStyle w:val="Refdenotaderodap"/>
          <w:rFonts w:ascii="Times New Roman" w:hAnsi="Times New Roman"/>
        </w:rPr>
        <w:footnoteRef/>
      </w:r>
      <w:r>
        <w:rPr>
          <w:rFonts w:ascii="Times New Roman" w:hAnsi="Times New Roman"/>
        </w:rPr>
        <w:t xml:space="preserve"> Idem</w:t>
      </w:r>
      <w:r w:rsidRPr="00F20A37">
        <w:rPr>
          <w:rFonts w:ascii="Times New Roman" w:hAnsi="Times New Roman"/>
        </w:rPr>
        <w:t>.</w:t>
      </w:r>
    </w:p>
  </w:footnote>
  <w:footnote w:id="492">
    <w:p w:rsidR="00DD31B9" w:rsidRPr="0009772B" w:rsidRDefault="00DD31B9" w:rsidP="0009772B">
      <w:pPr>
        <w:autoSpaceDE w:val="0"/>
        <w:autoSpaceDN w:val="0"/>
        <w:adjustRightInd w:val="0"/>
        <w:spacing w:after="0" w:line="240" w:lineRule="auto"/>
        <w:rPr>
          <w:rFonts w:ascii="Times New Roman" w:hAnsi="Times New Roman"/>
          <w:sz w:val="20"/>
          <w:szCs w:val="20"/>
        </w:rPr>
      </w:pPr>
      <w:r w:rsidRPr="0009772B">
        <w:rPr>
          <w:rStyle w:val="Refdenotaderodap"/>
          <w:rFonts w:ascii="Times New Roman" w:hAnsi="Times New Roman"/>
          <w:sz w:val="20"/>
          <w:szCs w:val="20"/>
        </w:rPr>
        <w:footnoteRef/>
      </w:r>
      <w:r>
        <w:rPr>
          <w:rFonts w:ascii="Times New Roman" w:hAnsi="Times New Roman"/>
          <w:sz w:val="20"/>
          <w:szCs w:val="20"/>
        </w:rPr>
        <w:t xml:space="preserve">Idem, </w:t>
      </w:r>
      <w:r w:rsidRPr="0009772B">
        <w:rPr>
          <w:rFonts w:ascii="Times New Roman" w:hAnsi="Times New Roman"/>
          <w:sz w:val="20"/>
          <w:szCs w:val="20"/>
        </w:rPr>
        <w:t>p. 05.</w:t>
      </w:r>
    </w:p>
  </w:footnote>
  <w:footnote w:id="493">
    <w:p w:rsidR="00DD31B9" w:rsidRPr="0009772B" w:rsidRDefault="00DD31B9" w:rsidP="00245001">
      <w:pPr>
        <w:spacing w:after="0" w:line="240" w:lineRule="auto"/>
        <w:rPr>
          <w:rFonts w:ascii="Times New Roman" w:hAnsi="Times New Roman"/>
        </w:rPr>
      </w:pPr>
      <w:r w:rsidRPr="00245001">
        <w:rPr>
          <w:rStyle w:val="Refdenotaderodap"/>
          <w:rFonts w:ascii="Times New Roman" w:hAnsi="Times New Roman"/>
          <w:sz w:val="20"/>
          <w:szCs w:val="20"/>
        </w:rPr>
        <w:footnoteRef/>
      </w:r>
      <w:r w:rsidRPr="00245001">
        <w:rPr>
          <w:rFonts w:ascii="Times New Roman" w:hAnsi="Times New Roman"/>
          <w:sz w:val="20"/>
          <w:szCs w:val="20"/>
        </w:rPr>
        <w:t xml:space="preserve"> Idem, p. 12. Carlos Leal tentou explicar na 18ª reunião plenária o que seria esta “árvore de adição de valor”, segundo ele “uma metodologia muito comum em administração privada, mais recentemente aplicada em administração pública”: “(...) nós pegamos aquelas demandas estratégicas e táticas que nós identificamos na leitura das atas do CDES e chegamos a uma árvore de adição de valor que é (...) a visão de alguém que está de fora, que não está na pretensão de palpitar, mas sim de dar uma informação do que foi um bocado discutido aqui” (ATA, 18ª reunião plenária, 29/06/2006, p. 7-8). </w:t>
      </w:r>
      <w:r>
        <w:rPr>
          <w:rFonts w:ascii="Times New Roman" w:hAnsi="Times New Roman"/>
          <w:sz w:val="20"/>
          <w:szCs w:val="20"/>
        </w:rPr>
        <w:t xml:space="preserve">Outros elementos trazidos pelo no documento da FGV podem clarear melhor “a adição de valor”: </w:t>
      </w:r>
      <w:r w:rsidRPr="00245001">
        <w:rPr>
          <w:rFonts w:ascii="Times New Roman" w:hAnsi="Times New Roman"/>
          <w:sz w:val="20"/>
          <w:szCs w:val="20"/>
        </w:rPr>
        <w:t>“</w:t>
      </w:r>
      <w:r w:rsidRPr="00245001">
        <w:rPr>
          <w:rFonts w:ascii="Times New Roman" w:hAnsi="Times New Roman"/>
          <w:sz w:val="20"/>
          <w:szCs w:val="20"/>
          <w:lang w:eastAsia="pt-BR"/>
        </w:rPr>
        <w:t>Ao planejador estratégico cabe levar a estrutura de informações extraídas do CDES a um processo de adição de valor, no qual suas propostas são hierarquizadas dentr</w:t>
      </w:r>
      <w:r>
        <w:rPr>
          <w:rFonts w:ascii="Times New Roman" w:hAnsi="Times New Roman"/>
          <w:sz w:val="20"/>
          <w:szCs w:val="20"/>
          <w:lang w:eastAsia="pt-BR"/>
        </w:rPr>
        <w:t>o</w:t>
      </w:r>
      <w:r w:rsidRPr="00245001">
        <w:rPr>
          <w:rFonts w:ascii="Times New Roman" w:hAnsi="Times New Roman"/>
          <w:sz w:val="20"/>
          <w:szCs w:val="20"/>
          <w:lang w:eastAsia="pt-BR"/>
        </w:rPr>
        <w:t xml:space="preserve"> de uma lógica causal (...). A articulação dessas informações em tipologias mais refinadas possibilita, dessa maneira, que o potencial institucional do CDES seja ampliado, o que permitiria uma m</w:t>
      </w:r>
      <w:r>
        <w:rPr>
          <w:rFonts w:ascii="Times New Roman" w:hAnsi="Times New Roman"/>
          <w:sz w:val="20"/>
          <w:szCs w:val="20"/>
          <w:lang w:eastAsia="pt-BR"/>
        </w:rPr>
        <w:t>aior adição de valor à sua ação”.</w:t>
      </w:r>
      <w:r>
        <w:rPr>
          <w:rFonts w:ascii="Times New Roman" w:hAnsi="Times New Roman"/>
          <w:sz w:val="20"/>
          <w:szCs w:val="20"/>
        </w:rPr>
        <w:t>FGV</w:t>
      </w:r>
      <w:r w:rsidRPr="0009772B">
        <w:rPr>
          <w:rFonts w:ascii="Times New Roman" w:hAnsi="Times New Roman"/>
          <w:sz w:val="20"/>
          <w:szCs w:val="20"/>
        </w:rPr>
        <w:t xml:space="preserve"> (2006). </w:t>
      </w:r>
      <w:r w:rsidRPr="0009772B">
        <w:rPr>
          <w:rFonts w:ascii="Times New Roman" w:hAnsi="Times New Roman"/>
          <w:i/>
          <w:sz w:val="20"/>
          <w:szCs w:val="20"/>
        </w:rPr>
        <w:t>Temas para o desenvolvimento com equidade</w:t>
      </w:r>
      <w:r>
        <w:rPr>
          <w:rFonts w:ascii="Times New Roman" w:hAnsi="Times New Roman"/>
          <w:sz w:val="20"/>
          <w:szCs w:val="20"/>
        </w:rPr>
        <w:t>... Op. cit., p. 12.</w:t>
      </w:r>
      <w:r w:rsidRPr="00245001">
        <w:rPr>
          <w:rFonts w:ascii="Times New Roman" w:hAnsi="Times New Roman"/>
          <w:sz w:val="20"/>
          <w:szCs w:val="20"/>
        </w:rPr>
        <w:t>A metodologia utilizada pela FGV pode ser resumida na seguinte passagem: “(...) a equipe da FGV fez um trabalho de análise técnica dos elementos estratégicos debatidos pelo conselho. Dentre as atividades realizadas, podem-se elencar as seguintes: a) leitura qualitativa e discussão crítica das Cartas de Concertação, Agenda Nacional de Desenvolvimento e demais documentos originados no CDES; b) reorganização temática das propostas constantes desses documentos, com a definição das ações estratégicas e táticas ali inseridas; c) relação entre os itens levantados e a árvore de valor; d) composição de diagrama dos grandes eixos temáticos debatidos pelo CDES e sua respectiva distribuição em termos</w:t>
      </w:r>
      <w:r>
        <w:rPr>
          <w:rFonts w:ascii="Times New Roman" w:hAnsi="Times New Roman"/>
          <w:sz w:val="20"/>
          <w:szCs w:val="20"/>
        </w:rPr>
        <w:t xml:space="preserve"> estratégicos e táticos (...)”. Idem, p.</w:t>
      </w:r>
      <w:r w:rsidRPr="00245001">
        <w:rPr>
          <w:rFonts w:ascii="Times New Roman" w:hAnsi="Times New Roman"/>
          <w:sz w:val="20"/>
          <w:szCs w:val="20"/>
        </w:rPr>
        <w:t xml:space="preserve"> 15.</w:t>
      </w:r>
    </w:p>
  </w:footnote>
  <w:footnote w:id="494">
    <w:p w:rsidR="00DD31B9" w:rsidRPr="00BA0F77" w:rsidRDefault="00DD31B9">
      <w:pPr>
        <w:pStyle w:val="Textodenotaderodap"/>
        <w:rPr>
          <w:rFonts w:ascii="Times New Roman" w:hAnsi="Times New Roman"/>
        </w:rPr>
      </w:pPr>
      <w:r w:rsidRPr="00BA0F77">
        <w:rPr>
          <w:rStyle w:val="Refdenotaderodap"/>
          <w:rFonts w:ascii="Times New Roman" w:hAnsi="Times New Roman"/>
        </w:rPr>
        <w:footnoteRef/>
      </w:r>
      <w:r w:rsidRPr="00BA0F77">
        <w:rPr>
          <w:rFonts w:ascii="Times New Roman" w:hAnsi="Times New Roman"/>
        </w:rPr>
        <w:t xml:space="preserve"> Informação colhida dos slides apresentados por Leal à plenária do CDES. Disponível em &lt; http://www.cdes.gov.br/evento/481/pleno-do-cdes-reuniao-ordinaria-n-18.html&gt;. Acesso em 10/03/2015.</w:t>
      </w:r>
    </w:p>
  </w:footnote>
  <w:footnote w:id="495">
    <w:p w:rsidR="00DD31B9" w:rsidRPr="0009772B" w:rsidRDefault="00DD31B9" w:rsidP="0009772B">
      <w:pPr>
        <w:pStyle w:val="Textodenotaderodap"/>
        <w:rPr>
          <w:rFonts w:ascii="Times New Roman" w:hAnsi="Times New Roman"/>
        </w:rPr>
      </w:pPr>
      <w:r w:rsidRPr="0009772B">
        <w:rPr>
          <w:rStyle w:val="Refdenotaderodap"/>
          <w:rFonts w:ascii="Times New Roman" w:hAnsi="Times New Roman"/>
        </w:rPr>
        <w:footnoteRef/>
      </w:r>
      <w:r w:rsidRPr="0009772B">
        <w:rPr>
          <w:rFonts w:ascii="Times New Roman" w:hAnsi="Times New Roman"/>
        </w:rPr>
        <w:t xml:space="preserve"> Idem, p. 05.</w:t>
      </w:r>
    </w:p>
  </w:footnote>
  <w:footnote w:id="496">
    <w:p w:rsidR="00DD31B9" w:rsidRPr="0009772B" w:rsidRDefault="00DD31B9" w:rsidP="0009772B">
      <w:pPr>
        <w:pStyle w:val="Textodenotaderodap"/>
        <w:rPr>
          <w:rFonts w:ascii="Times New Roman" w:hAnsi="Times New Roman"/>
        </w:rPr>
      </w:pPr>
      <w:r w:rsidRPr="0009772B">
        <w:rPr>
          <w:rStyle w:val="Refdenotaderodap"/>
          <w:rFonts w:ascii="Times New Roman" w:hAnsi="Times New Roman"/>
        </w:rPr>
        <w:footnoteRef/>
      </w:r>
      <w:r w:rsidRPr="0009772B">
        <w:rPr>
          <w:rFonts w:ascii="Times New Roman" w:hAnsi="Times New Roman"/>
        </w:rPr>
        <w:t xml:space="preserve"> TAPIA, Jorge R. Biton. Conselho de Desenvolvimento Econômico e Social... Op. cit., p. 215.</w:t>
      </w:r>
    </w:p>
  </w:footnote>
  <w:footnote w:id="497">
    <w:p w:rsidR="00DD31B9" w:rsidRPr="0009772B" w:rsidRDefault="00DD31B9" w:rsidP="0009772B">
      <w:pPr>
        <w:pStyle w:val="Textodenotaderodap"/>
        <w:rPr>
          <w:rFonts w:ascii="Times New Roman" w:hAnsi="Times New Roman"/>
        </w:rPr>
      </w:pPr>
      <w:r w:rsidRPr="0009772B">
        <w:rPr>
          <w:rStyle w:val="Refdenotaderodap"/>
          <w:rFonts w:ascii="Times New Roman" w:hAnsi="Times New Roman"/>
        </w:rPr>
        <w:footnoteRef/>
      </w:r>
      <w:r>
        <w:rPr>
          <w:rFonts w:ascii="Times New Roman" w:hAnsi="Times New Roman"/>
        </w:rPr>
        <w:t xml:space="preserve"> Idem, p. 215</w:t>
      </w:r>
    </w:p>
  </w:footnote>
  <w:footnote w:id="498">
    <w:p w:rsidR="00DD31B9" w:rsidRPr="009A7824" w:rsidRDefault="00DD31B9">
      <w:pPr>
        <w:pStyle w:val="Textodenotaderodap"/>
        <w:rPr>
          <w:rFonts w:ascii="Times New Roman" w:hAnsi="Times New Roman"/>
        </w:rPr>
      </w:pPr>
      <w:r w:rsidRPr="009A7824">
        <w:rPr>
          <w:rStyle w:val="Refdenotaderodap"/>
          <w:rFonts w:ascii="Times New Roman" w:hAnsi="Times New Roman"/>
        </w:rPr>
        <w:footnoteRef/>
      </w:r>
      <w:r w:rsidRPr="009A7824">
        <w:rPr>
          <w:rFonts w:ascii="Times New Roman" w:hAnsi="Times New Roman"/>
        </w:rPr>
        <w:t xml:space="preserve"> Idem, p. </w:t>
      </w:r>
      <w:r>
        <w:rPr>
          <w:rFonts w:ascii="Times New Roman" w:hAnsi="Times New Roman"/>
        </w:rPr>
        <w:t xml:space="preserve">213, grifos meus. </w:t>
      </w:r>
    </w:p>
  </w:footnote>
  <w:footnote w:id="499">
    <w:p w:rsidR="00DD31B9" w:rsidRPr="00696A38" w:rsidRDefault="00DD31B9">
      <w:pPr>
        <w:pStyle w:val="Textodenotaderodap"/>
        <w:rPr>
          <w:rFonts w:ascii="Times New Roman" w:hAnsi="Times New Roman"/>
        </w:rPr>
      </w:pPr>
      <w:r w:rsidRPr="00696A38">
        <w:rPr>
          <w:rStyle w:val="Refdenotaderodap"/>
          <w:rFonts w:ascii="Times New Roman" w:hAnsi="Times New Roman"/>
        </w:rPr>
        <w:footnoteRef/>
      </w:r>
      <w:r w:rsidRPr="00696A38">
        <w:rPr>
          <w:rFonts w:ascii="Times New Roman" w:hAnsi="Times New Roman"/>
        </w:rPr>
        <w:t xml:space="preserve"> Três reflexões importantes podem ser trazidas a partir da abordagem de Tápia sobre as insatisfações dos conselheiros com relação à convocação da FGV-RJ pela SEDES para construção dos Enunciados: a) Tápia pode estar dando pistas importantes, mas não as explora, sobre as tensões interacadêmicas originárias entre professores do departamento de Economia da Unicamp (do qual o conselheiro Braga fazia parte) e a FGV-RJ, ou seja, entre a sustentação de um projeto social-democrata e outro historicamente liberal; b) o argumento utilizado por Tápia para mostrar a insatisfação dos conselheiros se fez através da exposição de um debate que opõe posições distintas acerca do padrão de desenvolvimento do país e não de um rechaço explícito e direto de qualquer conselheiro quanto à ingerência da FGV-RJ nos Enunciados; c) muito embora seja bastante plausível ocorrências de insatisfações de parcela dos conselheiros em relação à SEDES pela convocação da FGV-RJ - aliás, foi durante a primeira gestão de Tarso Genro como secretário-executivo que os conselheiros criticavam o centralismo da SEDES quanto ao modo de funcionamento e à composição das pautas, como vimos no capítulo 1 -, não encontramos nenhum vestígio de reclamações </w:t>
      </w:r>
      <w:r w:rsidRPr="00696A38">
        <w:rPr>
          <w:rFonts w:ascii="Times New Roman" w:hAnsi="Times New Roman"/>
          <w:i/>
        </w:rPr>
        <w:t>nas Atas das Reuniões Plenárias</w:t>
      </w:r>
      <w:r w:rsidRPr="00696A38">
        <w:rPr>
          <w:rFonts w:ascii="Times New Roman" w:hAnsi="Times New Roman"/>
        </w:rPr>
        <w:t xml:space="preserve"> que respaldem tais desconfortos. Ao contrário, conselheiros-empresários como Paulo Simão e Maurílio Biagi declararam manifestação de apoio e mesmo de elogio às propostas da FGV-RJ, na mesma reunião plenária em que Carlos Leal realizou sua apresentação.</w:t>
      </w:r>
    </w:p>
  </w:footnote>
  <w:footnote w:id="500">
    <w:p w:rsidR="00DD31B9" w:rsidRPr="0009772B" w:rsidRDefault="00DD31B9" w:rsidP="0009772B">
      <w:pPr>
        <w:pStyle w:val="Textodenotaderodap"/>
        <w:rPr>
          <w:rFonts w:ascii="Times New Roman" w:hAnsi="Times New Roman"/>
        </w:rPr>
      </w:pPr>
      <w:r w:rsidRPr="0009772B">
        <w:rPr>
          <w:rStyle w:val="Refdenotaderodap"/>
          <w:rFonts w:ascii="Times New Roman" w:hAnsi="Times New Roman"/>
        </w:rPr>
        <w:footnoteRef/>
      </w:r>
      <w:r w:rsidRPr="0009772B">
        <w:rPr>
          <w:rFonts w:ascii="Times New Roman" w:hAnsi="Times New Roman"/>
        </w:rPr>
        <w:t xml:space="preserve"> Em outra passagem assevera Leal “</w:t>
      </w:r>
      <w:r w:rsidRPr="0009772B">
        <w:rPr>
          <w:rFonts w:ascii="Times New Roman" w:hAnsi="Times New Roman"/>
          <w:b/>
        </w:rPr>
        <w:t>Não vamos confundir igualitarismo com equidade</w:t>
      </w:r>
      <w:r w:rsidRPr="0009772B">
        <w:rPr>
          <w:rFonts w:ascii="Times New Roman" w:hAnsi="Times New Roman"/>
        </w:rPr>
        <w:t>, mas um coeficiente Gini extremamente alto é nefasto e um processo de redução do coeficiente Gini geralmente está associado a um processo de desenvolvimento econômico” (ATA, 18ª Reunião Plenária, p. 05, grifos meus).</w:t>
      </w:r>
    </w:p>
  </w:footnote>
  <w:footnote w:id="501">
    <w:p w:rsidR="00DD31B9" w:rsidRPr="0009772B" w:rsidRDefault="00DD31B9" w:rsidP="0009772B">
      <w:pPr>
        <w:autoSpaceDE w:val="0"/>
        <w:autoSpaceDN w:val="0"/>
        <w:adjustRightInd w:val="0"/>
        <w:spacing w:after="0" w:line="240" w:lineRule="auto"/>
        <w:rPr>
          <w:rFonts w:ascii="Times New Roman" w:hAnsi="Times New Roman"/>
          <w:sz w:val="20"/>
          <w:szCs w:val="20"/>
        </w:rPr>
      </w:pPr>
      <w:r w:rsidRPr="0009772B">
        <w:rPr>
          <w:rStyle w:val="Refdenotaderodap"/>
          <w:rFonts w:ascii="Times New Roman" w:hAnsi="Times New Roman"/>
          <w:sz w:val="20"/>
          <w:szCs w:val="20"/>
        </w:rPr>
        <w:footnoteRef/>
      </w:r>
      <w:r w:rsidRPr="0009772B">
        <w:rPr>
          <w:rFonts w:ascii="Times New Roman" w:hAnsi="Times New Roman"/>
          <w:sz w:val="20"/>
          <w:szCs w:val="20"/>
        </w:rPr>
        <w:t xml:space="preserve"> Os mecanismos legais que hoje constituem a Desvinculação das Receitas da União (DRU) foram criados em 1994 por ocasião da implantação do Plano Real. Naquela época, a DRU era denominada de Fundo Social de Emergência (FSE), em 1997 passou a se chamar de Fundo de Estabilização Fiscal (FEF) e, a partir de 2000, DRU. A DRU afeta radicalmente o financiamento das políticas s</w:t>
      </w:r>
      <w:r>
        <w:rPr>
          <w:rFonts w:ascii="Times New Roman" w:hAnsi="Times New Roman"/>
          <w:sz w:val="20"/>
          <w:szCs w:val="20"/>
        </w:rPr>
        <w:t xml:space="preserve">ociais como um todo, sobretudo </w:t>
      </w:r>
      <w:r w:rsidRPr="0009772B">
        <w:rPr>
          <w:rFonts w:ascii="Times New Roman" w:hAnsi="Times New Roman"/>
          <w:sz w:val="20"/>
          <w:szCs w:val="20"/>
        </w:rPr>
        <w:t>as políticas de seguridade social, uma vez que ela autoriza a desvinculação de 20% das receitas destinadas às áreas sociais para a geração de superávits primários, liberando recursos para o gasto com o pagamento de juros da dívida pública.</w:t>
      </w:r>
    </w:p>
  </w:footnote>
  <w:footnote w:id="502">
    <w:p w:rsidR="00DD31B9" w:rsidRPr="0001388A" w:rsidRDefault="00DD31B9" w:rsidP="0009772B">
      <w:pPr>
        <w:pStyle w:val="Textodenotaderodap"/>
        <w:rPr>
          <w:rFonts w:ascii="Times New Roman" w:hAnsi="Times New Roman"/>
        </w:rPr>
      </w:pPr>
      <w:r w:rsidRPr="0001388A">
        <w:rPr>
          <w:rStyle w:val="Refdenotaderodap"/>
          <w:rFonts w:ascii="Times New Roman" w:hAnsi="Times New Roman"/>
        </w:rPr>
        <w:footnoteRef/>
      </w:r>
      <w:r w:rsidRPr="0001388A">
        <w:rPr>
          <w:rFonts w:ascii="Times New Roman" w:hAnsi="Times New Roman"/>
        </w:rPr>
        <w:t xml:space="preserve"> PINTO, Eduardo Costa e CARDOSO Jr., José Celso. A Experiência do Conselho de Desenvolvimento Econômico e Social como espaço de concertação nacional para o desenvolvimento. In: IPEA. </w:t>
      </w:r>
      <w:r w:rsidRPr="0001388A">
        <w:rPr>
          <w:rFonts w:ascii="Times New Roman" w:hAnsi="Times New Roman"/>
          <w:i/>
        </w:rPr>
        <w:t>Estado, instituições e democracia</w:t>
      </w:r>
      <w:r w:rsidRPr="0001388A">
        <w:rPr>
          <w:rFonts w:ascii="Times New Roman" w:hAnsi="Times New Roman"/>
        </w:rPr>
        <w:t>: desenvolvimento. Brasília: IPEA, 2010, p. 188.</w:t>
      </w:r>
    </w:p>
  </w:footnote>
  <w:footnote w:id="503">
    <w:p w:rsidR="00DD31B9" w:rsidRPr="009A5ABF" w:rsidRDefault="00DD31B9">
      <w:pPr>
        <w:pStyle w:val="Textodenotaderodap"/>
        <w:rPr>
          <w:rFonts w:ascii="Times New Roman" w:hAnsi="Times New Roman"/>
        </w:rPr>
      </w:pPr>
      <w:r w:rsidRPr="009A5ABF">
        <w:rPr>
          <w:rStyle w:val="Refdenotaderodap"/>
          <w:rFonts w:ascii="Times New Roman" w:hAnsi="Times New Roman"/>
        </w:rPr>
        <w:footnoteRef/>
      </w:r>
      <w:r>
        <w:rPr>
          <w:rFonts w:ascii="Times New Roman" w:hAnsi="Times New Roman"/>
        </w:rPr>
        <w:t xml:space="preserve">O documento “Enunciados Estratégicos para o Desenvolvimento” afirma conter 24 Enunciados. Ocorre que muitos deles estão subdivididos em itens e subitens sobre dada questão, aumentando o número de metas e objetivos para 38, incluindo o Enunciado Político (o último do quadro abaixo). Em suma, no quadro estão expostos 36 metas e objetivos equivalentes aos 24 Enunciados. </w:t>
      </w:r>
    </w:p>
  </w:footnote>
  <w:footnote w:id="504">
    <w:p w:rsidR="00DD31B9" w:rsidRPr="0001388A" w:rsidRDefault="00DD31B9" w:rsidP="0009772B">
      <w:pPr>
        <w:autoSpaceDE w:val="0"/>
        <w:autoSpaceDN w:val="0"/>
        <w:adjustRightInd w:val="0"/>
        <w:spacing w:after="0" w:line="240" w:lineRule="auto"/>
        <w:rPr>
          <w:rFonts w:ascii="Times New Roman" w:hAnsi="Times New Roman"/>
          <w:sz w:val="20"/>
          <w:szCs w:val="20"/>
        </w:rPr>
      </w:pPr>
      <w:r w:rsidRPr="0001388A">
        <w:rPr>
          <w:rStyle w:val="Refdenotaderodap"/>
          <w:rFonts w:ascii="Times New Roman" w:hAnsi="Times New Roman"/>
          <w:sz w:val="20"/>
          <w:szCs w:val="20"/>
        </w:rPr>
        <w:footnoteRef/>
      </w:r>
      <w:r w:rsidRPr="0001388A">
        <w:rPr>
          <w:rFonts w:ascii="Times New Roman" w:hAnsi="Times New Roman"/>
          <w:sz w:val="20"/>
          <w:szCs w:val="20"/>
        </w:rPr>
        <w:t xml:space="preserve"> Na apresentação dos objetivos I e II da AND, na plenária do Conselho, Clemente Ganz Lúcio articula a realização de algumas políticas sociais com a criação de empregos e é nesta perspectiva que as relacionamos à diretriz I.3 e I.4. “E é possível termos uma política de inclusão que articule simultaneamente o enfrentamento estrutural de alguns estrangulamentos sociais que permitem a homogeneização social, entre elas, a questão da Reforma Agrária e da política agrária, um investimento pesado em habitação e infra-estrutura, investimento pesado em saneamento, escola e educação, elevação de escolaridade, na questão da saúde e do transporte público. Todas essas políticas são intensivas no uso de </w:t>
      </w:r>
      <w:r>
        <w:rPr>
          <w:rFonts w:ascii="Times New Roman" w:hAnsi="Times New Roman"/>
          <w:sz w:val="20"/>
          <w:szCs w:val="20"/>
        </w:rPr>
        <w:t>mão de obra</w:t>
      </w:r>
      <w:r w:rsidRPr="0001388A">
        <w:rPr>
          <w:rFonts w:ascii="Times New Roman" w:hAnsi="Times New Roman"/>
          <w:sz w:val="20"/>
          <w:szCs w:val="20"/>
        </w:rPr>
        <w:t xml:space="preserve"> e são pré-condições para um desenvolvimento (...)” (SRI. SEDES.</w:t>
      </w:r>
      <w:r w:rsidRPr="0001388A">
        <w:rPr>
          <w:rFonts w:ascii="Times New Roman" w:hAnsi="Times New Roman"/>
          <w:i/>
          <w:sz w:val="20"/>
          <w:szCs w:val="20"/>
        </w:rPr>
        <w:t xml:space="preserve"> Agenda Nacional de Desenvolvimento, </w:t>
      </w:r>
      <w:r w:rsidRPr="0001388A">
        <w:rPr>
          <w:rFonts w:ascii="Times New Roman" w:hAnsi="Times New Roman"/>
          <w:sz w:val="20"/>
          <w:szCs w:val="20"/>
        </w:rPr>
        <w:t>2010a, Op. cit., p. 41).</w:t>
      </w:r>
    </w:p>
  </w:footnote>
  <w:footnote w:id="505">
    <w:p w:rsidR="00DD31B9" w:rsidRPr="0001388A" w:rsidRDefault="00DD31B9" w:rsidP="0009772B">
      <w:pPr>
        <w:pStyle w:val="Textodenotaderodap"/>
        <w:rPr>
          <w:rFonts w:ascii="Times New Roman" w:hAnsi="Times New Roman"/>
        </w:rPr>
      </w:pPr>
      <w:r w:rsidRPr="0001388A">
        <w:rPr>
          <w:rStyle w:val="Refdenotaderodap"/>
          <w:rFonts w:ascii="Times New Roman" w:hAnsi="Times New Roman"/>
        </w:rPr>
        <w:footnoteRef/>
      </w:r>
      <w:r w:rsidRPr="0001388A">
        <w:rPr>
          <w:rFonts w:ascii="Times New Roman" w:hAnsi="Times New Roman"/>
        </w:rPr>
        <w:t xml:space="preserve"> A conselheira Jussara Dutra (presidente da CNTE) afirmou na IV Reunião Regional em Brasília: “As políticas públicas devem estar voltadas à inclusão social e inserção no mercado de trabalho. A educação precisa de um investimento de pelo menos 6% do PIB, investir em qualidade e no ensino profissionalizante” (SRI. SEDES.</w:t>
      </w:r>
      <w:r w:rsidRPr="0001388A">
        <w:rPr>
          <w:rFonts w:ascii="Times New Roman" w:hAnsi="Times New Roman"/>
          <w:i/>
        </w:rPr>
        <w:t xml:space="preserve"> Enunciados estratégicos... </w:t>
      </w:r>
      <w:r w:rsidRPr="0001388A">
        <w:rPr>
          <w:rFonts w:ascii="Times New Roman" w:hAnsi="Times New Roman"/>
        </w:rPr>
        <w:t>Op. cit, p. 29).</w:t>
      </w:r>
      <w:r>
        <w:rPr>
          <w:rFonts w:ascii="Times New Roman" w:hAnsi="Times New Roman"/>
        </w:rPr>
        <w:t xml:space="preserve"> Apenas para observar que as reivindicações dos trabalhadores e profissionais da educação lutam pela aplicação de 10% do PIB. </w:t>
      </w:r>
    </w:p>
  </w:footnote>
  <w:footnote w:id="506">
    <w:p w:rsidR="00DD31B9" w:rsidRPr="0001388A" w:rsidRDefault="00DD31B9" w:rsidP="0009772B">
      <w:pPr>
        <w:pStyle w:val="Textodenotaderodap"/>
        <w:rPr>
          <w:rFonts w:ascii="Times New Roman" w:hAnsi="Times New Roman"/>
        </w:rPr>
      </w:pPr>
      <w:r w:rsidRPr="0001388A">
        <w:rPr>
          <w:rStyle w:val="Refdenotaderodap"/>
          <w:rFonts w:ascii="Times New Roman" w:hAnsi="Times New Roman"/>
        </w:rPr>
        <w:footnoteRef/>
      </w:r>
      <w:r w:rsidRPr="0001388A">
        <w:rPr>
          <w:rFonts w:ascii="Times New Roman" w:hAnsi="Times New Roman"/>
        </w:rPr>
        <w:t xml:space="preserve"> SEDES.</w:t>
      </w:r>
      <w:r w:rsidRPr="0001388A">
        <w:rPr>
          <w:rFonts w:ascii="Times New Roman" w:hAnsi="Times New Roman"/>
          <w:i/>
        </w:rPr>
        <w:t xml:space="preserve"> Enunciados estratégicos... </w:t>
      </w:r>
      <w:r w:rsidRPr="0001388A">
        <w:rPr>
          <w:rFonts w:ascii="Times New Roman" w:hAnsi="Times New Roman"/>
        </w:rPr>
        <w:t>Op. cit, p. 12; 18.</w:t>
      </w:r>
    </w:p>
  </w:footnote>
  <w:footnote w:id="507">
    <w:p w:rsidR="00DD31B9" w:rsidRPr="0001388A" w:rsidRDefault="00DD31B9" w:rsidP="0009772B">
      <w:pPr>
        <w:autoSpaceDE w:val="0"/>
        <w:autoSpaceDN w:val="0"/>
        <w:adjustRightInd w:val="0"/>
        <w:spacing w:after="0" w:line="240" w:lineRule="auto"/>
        <w:rPr>
          <w:rFonts w:ascii="Times New Roman" w:hAnsi="Times New Roman"/>
          <w:sz w:val="20"/>
          <w:szCs w:val="20"/>
        </w:rPr>
      </w:pPr>
      <w:r w:rsidRPr="0001388A">
        <w:rPr>
          <w:rStyle w:val="Refdenotaderodap"/>
          <w:rFonts w:ascii="Times New Roman" w:hAnsi="Times New Roman"/>
          <w:sz w:val="20"/>
          <w:szCs w:val="20"/>
        </w:rPr>
        <w:footnoteRef/>
      </w:r>
      <w:r w:rsidRPr="0001388A">
        <w:rPr>
          <w:rFonts w:ascii="Times New Roman" w:hAnsi="Times New Roman"/>
          <w:sz w:val="20"/>
          <w:szCs w:val="20"/>
        </w:rPr>
        <w:t xml:space="preserve"> A infra-estrutura hídrica foi contemplada no enunciado 18.3: “Aumentar a oferta de água para consumo humano e para a produção, garantindo a distribuição equilibrada de água e priorizando as regiões de maior criticidade como o semi-árido. Desenvolver novos mecanismos de financiamento dos investimentos em infra-estrutura hídrica, incluindo Parcerias Público-Privadas e outras formas de concessão pública, garantindo um patamar em torno de R$ 10 bilhões/ano</w:t>
      </w:r>
      <w:r>
        <w:rPr>
          <w:rFonts w:ascii="Times New Roman" w:hAnsi="Times New Roman"/>
          <w:sz w:val="20"/>
          <w:szCs w:val="20"/>
        </w:rPr>
        <w:t xml:space="preserve"> para o investimento no setor” </w:t>
      </w:r>
      <w:r w:rsidRPr="0001388A">
        <w:rPr>
          <w:rFonts w:ascii="Times New Roman" w:hAnsi="Times New Roman"/>
          <w:sz w:val="20"/>
          <w:szCs w:val="20"/>
        </w:rPr>
        <w:t>SEDES.</w:t>
      </w:r>
      <w:r w:rsidRPr="0001388A">
        <w:rPr>
          <w:rFonts w:ascii="Times New Roman" w:hAnsi="Times New Roman"/>
          <w:i/>
          <w:sz w:val="20"/>
          <w:szCs w:val="20"/>
        </w:rPr>
        <w:t xml:space="preserve"> Enunciados estratégicos... </w:t>
      </w:r>
      <w:r w:rsidRPr="0001388A">
        <w:rPr>
          <w:rFonts w:ascii="Times New Roman" w:hAnsi="Times New Roman"/>
          <w:sz w:val="20"/>
          <w:szCs w:val="20"/>
        </w:rPr>
        <w:t>Op. cit, p. 24.</w:t>
      </w:r>
    </w:p>
  </w:footnote>
  <w:footnote w:id="508">
    <w:p w:rsidR="00DD31B9" w:rsidRPr="0001388A" w:rsidRDefault="00DD31B9" w:rsidP="0009772B">
      <w:pPr>
        <w:pStyle w:val="Textodenotaderodap"/>
        <w:rPr>
          <w:rFonts w:ascii="Times New Roman" w:hAnsi="Times New Roman"/>
        </w:rPr>
      </w:pPr>
      <w:r w:rsidRPr="0001388A">
        <w:rPr>
          <w:rStyle w:val="Refdenotaderodap"/>
          <w:rFonts w:ascii="Times New Roman" w:hAnsi="Times New Roman"/>
        </w:rPr>
        <w:footnoteRef/>
      </w:r>
      <w:r w:rsidRPr="0001388A">
        <w:rPr>
          <w:rFonts w:ascii="Times New Roman" w:hAnsi="Times New Roman"/>
        </w:rPr>
        <w:t xml:space="preserve"> Este assunto foi pauta da 14ª Reunião Plenária em 05/10/2005, cujo relator foi o conselheiro-empresário Luiz Carlos Delben Leite, integrante de um GT Desindexação da Economia, designado pelo Grupo de Acompanhamento da Conjuntura Econômica (GACE).</w:t>
      </w:r>
    </w:p>
  </w:footnote>
  <w:footnote w:id="509">
    <w:p w:rsidR="00DD31B9" w:rsidRPr="0001388A" w:rsidRDefault="00DD31B9" w:rsidP="0009772B">
      <w:pPr>
        <w:pStyle w:val="Textodenotaderodap"/>
        <w:rPr>
          <w:rFonts w:ascii="Times New Roman" w:hAnsi="Times New Roman"/>
        </w:rPr>
      </w:pPr>
      <w:r w:rsidRPr="0001388A">
        <w:rPr>
          <w:rStyle w:val="Refdenotaderodap"/>
          <w:rFonts w:ascii="Times New Roman" w:hAnsi="Times New Roman"/>
        </w:rPr>
        <w:footnoteRef/>
      </w:r>
      <w:r w:rsidRPr="0001388A">
        <w:rPr>
          <w:rFonts w:ascii="Times New Roman" w:hAnsi="Times New Roman"/>
        </w:rPr>
        <w:t xml:space="preserve"> FGV. </w:t>
      </w:r>
      <w:r w:rsidRPr="0001388A">
        <w:rPr>
          <w:rFonts w:ascii="Times New Roman" w:hAnsi="Times New Roman"/>
          <w:i/>
        </w:rPr>
        <w:t>Temas para o desenvolvimento com equidade</w:t>
      </w:r>
      <w:r w:rsidRPr="0001388A">
        <w:rPr>
          <w:rFonts w:ascii="Times New Roman" w:hAnsi="Times New Roman"/>
        </w:rPr>
        <w:t>. Op. cit., p. 15.</w:t>
      </w:r>
    </w:p>
  </w:footnote>
  <w:footnote w:id="510">
    <w:p w:rsidR="00DD31B9" w:rsidRPr="0001388A" w:rsidRDefault="00DD31B9" w:rsidP="0009772B">
      <w:pPr>
        <w:pStyle w:val="Textodenotaderodap"/>
        <w:rPr>
          <w:rFonts w:ascii="Times New Roman" w:hAnsi="Times New Roman"/>
        </w:rPr>
      </w:pPr>
      <w:r w:rsidRPr="0001388A">
        <w:rPr>
          <w:rStyle w:val="Refdenotaderodap"/>
          <w:rFonts w:ascii="Times New Roman" w:hAnsi="Times New Roman"/>
        </w:rPr>
        <w:footnoteRef/>
      </w:r>
      <w:r w:rsidRPr="0001388A">
        <w:rPr>
          <w:rFonts w:ascii="Times New Roman" w:hAnsi="Times New Roman"/>
        </w:rPr>
        <w:t xml:space="preserve"> Debate exposto na ATA da 9ª Reunião Plenária, 02/09/2004.</w:t>
      </w:r>
    </w:p>
  </w:footnote>
  <w:footnote w:id="511">
    <w:p w:rsidR="00DD31B9" w:rsidRPr="003636D0" w:rsidRDefault="00DD31B9">
      <w:pPr>
        <w:pStyle w:val="Textodenotaderodap"/>
        <w:rPr>
          <w:rFonts w:ascii="Times New Roman" w:hAnsi="Times New Roman"/>
        </w:rPr>
      </w:pPr>
      <w:r w:rsidRPr="003636D0">
        <w:rPr>
          <w:rStyle w:val="Refdenotaderodap"/>
          <w:rFonts w:ascii="Times New Roman" w:hAnsi="Times New Roman"/>
        </w:rPr>
        <w:footnoteRef/>
      </w:r>
      <w:r w:rsidRPr="003636D0">
        <w:rPr>
          <w:rFonts w:ascii="Times New Roman" w:hAnsi="Times New Roman"/>
        </w:rPr>
        <w:t xml:space="preserve"> “A verdade é que o nosso discurso sobre a reforma tributária não avançou porque cada um de nós tem uma política tributária na cabeça, cada segmento econômico, cada segmento de trabalhador, cada instituição, cada deputado, cada senador, cada um tem a sua reforma tributária na cabeça, que é resultado do corporativismo que nós vivemos antes de chegar às entidades que vão deliberar. E as coisas não andam” (Presidente Lula da Silva, Ata da 31ª reunião plenária, 27/08/2010, p. 19).</w:t>
      </w:r>
    </w:p>
  </w:footnote>
  <w:footnote w:id="512">
    <w:p w:rsidR="00DD31B9" w:rsidRPr="0001388A" w:rsidRDefault="00DD31B9" w:rsidP="008938AD">
      <w:pPr>
        <w:pStyle w:val="Textodenotaderodap"/>
        <w:rPr>
          <w:rFonts w:ascii="Times New Roman" w:hAnsi="Times New Roman"/>
        </w:rPr>
      </w:pPr>
      <w:r w:rsidRPr="0001388A">
        <w:rPr>
          <w:rStyle w:val="Refdenotaderodap"/>
          <w:rFonts w:ascii="Times New Roman" w:hAnsi="Times New Roman"/>
        </w:rPr>
        <w:footnoteRef/>
      </w:r>
      <w:r w:rsidRPr="0001388A">
        <w:rPr>
          <w:rFonts w:ascii="Times New Roman" w:hAnsi="Times New Roman"/>
        </w:rPr>
        <w:t xml:space="preserve"> GRAMSCI, Antonio. </w:t>
      </w:r>
      <w:r w:rsidRPr="0001388A">
        <w:rPr>
          <w:rFonts w:ascii="Times New Roman" w:hAnsi="Times New Roman"/>
          <w:i/>
        </w:rPr>
        <w:t>Cadernos do Cárcere</w:t>
      </w:r>
      <w:r w:rsidRPr="0001388A">
        <w:rPr>
          <w:rFonts w:ascii="Times New Roman" w:hAnsi="Times New Roman"/>
        </w:rPr>
        <w:t>. v.2. Os intelectuais. O princípio educativo</w:t>
      </w:r>
      <w:r>
        <w:rPr>
          <w:rFonts w:ascii="Times New Roman" w:hAnsi="Times New Roman"/>
        </w:rPr>
        <w:t>. O jornalismo. Op. cit., p. 22, grifos meus.</w:t>
      </w:r>
    </w:p>
  </w:footnote>
  <w:footnote w:id="513">
    <w:p w:rsidR="00DD31B9" w:rsidRPr="0001388A" w:rsidRDefault="00DD31B9" w:rsidP="008938AD">
      <w:pPr>
        <w:pStyle w:val="Textodenotaderodap"/>
        <w:rPr>
          <w:rFonts w:ascii="Times New Roman" w:hAnsi="Times New Roman"/>
        </w:rPr>
      </w:pPr>
      <w:r w:rsidRPr="0001388A">
        <w:rPr>
          <w:rStyle w:val="Refdenotaderodap"/>
          <w:rFonts w:ascii="Times New Roman" w:hAnsi="Times New Roman"/>
        </w:rPr>
        <w:footnoteRef/>
      </w:r>
      <w:r w:rsidRPr="0001388A">
        <w:rPr>
          <w:rFonts w:ascii="Times New Roman" w:hAnsi="Times New Roman"/>
        </w:rPr>
        <w:t xml:space="preserve"> BOURDIEU, Pierre. </w:t>
      </w:r>
      <w:r w:rsidRPr="0001388A">
        <w:rPr>
          <w:rFonts w:ascii="Times New Roman" w:hAnsi="Times New Roman"/>
          <w:i/>
        </w:rPr>
        <w:t>Contrafogos</w:t>
      </w:r>
      <w:r w:rsidRPr="0001388A">
        <w:rPr>
          <w:rFonts w:ascii="Times New Roman" w:hAnsi="Times New Roman"/>
        </w:rPr>
        <w:t>: táticas para enfrentar a invasão neoliberal. RJ: Zahar, 1998, p. 111.</w:t>
      </w:r>
    </w:p>
  </w:footnote>
  <w:footnote w:id="514">
    <w:p w:rsidR="00DD31B9" w:rsidRPr="0001388A" w:rsidRDefault="00DD31B9" w:rsidP="008938AD">
      <w:pPr>
        <w:pStyle w:val="Textodenotaderodap"/>
        <w:rPr>
          <w:rFonts w:ascii="Times New Roman" w:hAnsi="Times New Roman"/>
        </w:rPr>
      </w:pPr>
      <w:r w:rsidRPr="0001388A">
        <w:rPr>
          <w:rStyle w:val="Refdenotaderodap"/>
          <w:rFonts w:ascii="Times New Roman" w:hAnsi="Times New Roman"/>
        </w:rPr>
        <w:footnoteRef/>
      </w:r>
      <w:r w:rsidRPr="0001388A">
        <w:rPr>
          <w:rFonts w:ascii="Times New Roman" w:hAnsi="Times New Roman"/>
        </w:rPr>
        <w:t xml:space="preserve"> Uma passagem da conselheira Sonia Fleury nos parece reveladora do que queremos abordar: “(...) hoje eu estava passando um bilhete para o Paulo Velinho com uma sugestão de que, em vez de falar em mentes iguais [o empresário havia anteriormente falado de “desigualdades mentais”], falassem em oportunidades de desenvolvimento mental iguais para todos, oportunidades e não as mentes iguais. Isso é </w:t>
      </w:r>
      <w:r w:rsidRPr="0001388A">
        <w:rPr>
          <w:rFonts w:ascii="Times New Roman" w:hAnsi="Times New Roman"/>
          <w:i/>
        </w:rPr>
        <w:t>construção de capital social, é construção de confiança que temos entre nós</w:t>
      </w:r>
      <w:r w:rsidRPr="0001388A">
        <w:rPr>
          <w:rFonts w:ascii="Times New Roman" w:hAnsi="Times New Roman"/>
        </w:rPr>
        <w:t xml:space="preserve">. Há três anos atrás se eu ouvisse um empresário falando em mentes iguais eu ia achar que ele era um conservador, eu sei que ele não é, então </w:t>
      </w:r>
      <w:r w:rsidRPr="0001388A">
        <w:rPr>
          <w:rFonts w:ascii="Times New Roman" w:hAnsi="Times New Roman"/>
          <w:i/>
        </w:rPr>
        <w:t>eu sei que ele está do mesmo lado que eu, tentando as mesmas coisas</w:t>
      </w:r>
      <w:r w:rsidRPr="0001388A">
        <w:rPr>
          <w:rFonts w:ascii="Times New Roman" w:hAnsi="Times New Roman"/>
        </w:rPr>
        <w:t>” (ATA, 17ª Reunião Plenária, 10/05/2006, p. 24, grifos meus).</w:t>
      </w:r>
    </w:p>
  </w:footnote>
  <w:footnote w:id="515">
    <w:p w:rsidR="00DD31B9" w:rsidRPr="0001388A" w:rsidRDefault="00DD31B9" w:rsidP="008938AD">
      <w:pPr>
        <w:pStyle w:val="Textodenotaderodap"/>
        <w:rPr>
          <w:rFonts w:ascii="Times New Roman" w:hAnsi="Times New Roman"/>
        </w:rPr>
      </w:pPr>
      <w:r w:rsidRPr="0001388A">
        <w:rPr>
          <w:rStyle w:val="Refdenotaderodap"/>
          <w:rFonts w:ascii="Times New Roman" w:hAnsi="Times New Roman"/>
        </w:rPr>
        <w:footnoteRef/>
      </w:r>
      <w:r w:rsidRPr="0001388A">
        <w:rPr>
          <w:rFonts w:ascii="Times New Roman" w:hAnsi="Times New Roman"/>
        </w:rPr>
        <w:t xml:space="preserve"> CASTELO, Rodrigo. </w:t>
      </w:r>
      <w:r>
        <w:rPr>
          <w:rFonts w:ascii="Times New Roman" w:hAnsi="Times New Roman"/>
          <w:i/>
        </w:rPr>
        <w:t xml:space="preserve">O social-liberalismo... </w:t>
      </w:r>
      <w:r>
        <w:rPr>
          <w:rFonts w:ascii="Times New Roman" w:hAnsi="Times New Roman"/>
        </w:rPr>
        <w:t xml:space="preserve">Op. cit., </w:t>
      </w:r>
      <w:r w:rsidRPr="0001388A">
        <w:rPr>
          <w:rFonts w:ascii="Times New Roman" w:hAnsi="Times New Roman"/>
        </w:rPr>
        <w:t>p. 256.</w:t>
      </w:r>
    </w:p>
  </w:footnote>
  <w:footnote w:id="516">
    <w:p w:rsidR="00DD31B9" w:rsidRPr="006238AA" w:rsidRDefault="00DD31B9" w:rsidP="00837AC8">
      <w:pPr>
        <w:pStyle w:val="Textodenotaderodap"/>
        <w:rPr>
          <w:rFonts w:ascii="Times New Roman" w:hAnsi="Times New Roman"/>
        </w:rPr>
      </w:pPr>
      <w:r w:rsidRPr="006238AA">
        <w:rPr>
          <w:rStyle w:val="Refdenotaderodap"/>
          <w:rFonts w:ascii="Times New Roman" w:hAnsi="Times New Roman"/>
        </w:rPr>
        <w:footnoteRef/>
      </w:r>
      <w:r w:rsidRPr="006238AA">
        <w:rPr>
          <w:rFonts w:ascii="Times New Roman" w:hAnsi="Times New Roman"/>
        </w:rPr>
        <w:t xml:space="preserve"> Trata-se do “Compromisso Nacional para Aperfeiçoar as Condições </w:t>
      </w:r>
      <w:r>
        <w:rPr>
          <w:rFonts w:ascii="Times New Roman" w:hAnsi="Times New Roman"/>
        </w:rPr>
        <w:t xml:space="preserve">de Trabalho na Cana-de-Açúcar”, tema a qual nos debruçaremos neste capítulo. </w:t>
      </w:r>
    </w:p>
  </w:footnote>
  <w:footnote w:id="517">
    <w:p w:rsidR="00DD31B9" w:rsidRPr="000072D6" w:rsidRDefault="00DD31B9" w:rsidP="00837AC8">
      <w:pPr>
        <w:pStyle w:val="Textodenotaderodap"/>
        <w:rPr>
          <w:rFonts w:ascii="Times New Roman" w:hAnsi="Times New Roman"/>
        </w:rPr>
      </w:pPr>
      <w:r w:rsidRPr="000072D6">
        <w:rPr>
          <w:rStyle w:val="Refdenotaderodap"/>
          <w:rFonts w:ascii="Times New Roman" w:hAnsi="Times New Roman"/>
        </w:rPr>
        <w:footnoteRef/>
      </w:r>
      <w:r>
        <w:rPr>
          <w:rFonts w:ascii="Times New Roman" w:hAnsi="Times New Roman"/>
        </w:rPr>
        <w:t xml:space="preserve">O conselheiro Clemente Lúcio (DIEESE) afirmou na 34ª Reunião Plenária, em 17 de junho de 2010, p. 06, que “o que nós vimos em 2008, no primeiro semestre, é que esta Agenda que nós havíamos proposto estava em curso”.  </w:t>
      </w:r>
    </w:p>
  </w:footnote>
  <w:footnote w:id="518">
    <w:p w:rsidR="00DD31B9" w:rsidRPr="00484ADE" w:rsidRDefault="00DD31B9" w:rsidP="00837AC8">
      <w:pPr>
        <w:pStyle w:val="Textodenotaderodap"/>
        <w:rPr>
          <w:rFonts w:ascii="Times New Roman" w:hAnsi="Times New Roman"/>
        </w:rPr>
      </w:pPr>
      <w:r w:rsidRPr="00484ADE">
        <w:rPr>
          <w:rStyle w:val="Refdenotaderodap"/>
          <w:rFonts w:ascii="Times New Roman" w:hAnsi="Times New Roman"/>
        </w:rPr>
        <w:footnoteRef/>
      </w:r>
      <w:r>
        <w:rPr>
          <w:rFonts w:ascii="Times New Roman" w:hAnsi="Times New Roman"/>
        </w:rPr>
        <w:t>Palavras de Lula da Silva na 2ª Reunião Extraordinária do CDES (15/09/09), p. 08: “Então, eu queria terminar dizendo isso: olhe, nós não vamos abrir mão – é importanto todo mundo ter claro isso -, nós não vamos abrir mão da nossa responsabilidade fiscal, nós não vamos abrir mão de controlar a inflação”.</w:t>
      </w:r>
    </w:p>
  </w:footnote>
  <w:footnote w:id="519">
    <w:p w:rsidR="00DD31B9" w:rsidRPr="007945DF" w:rsidRDefault="00DD31B9" w:rsidP="00837AC8">
      <w:pPr>
        <w:pStyle w:val="Textodenotaderodap"/>
        <w:rPr>
          <w:rFonts w:ascii="Times New Roman" w:hAnsi="Times New Roman"/>
        </w:rPr>
      </w:pPr>
      <w:r w:rsidRPr="007945DF">
        <w:rPr>
          <w:rStyle w:val="Refdenotaderodap"/>
          <w:rFonts w:ascii="Times New Roman" w:hAnsi="Times New Roman"/>
        </w:rPr>
        <w:footnoteRef/>
      </w:r>
      <w:r w:rsidRPr="007945DF">
        <w:rPr>
          <w:rFonts w:ascii="Times New Roman" w:hAnsi="Times New Roman"/>
        </w:rPr>
        <w:t xml:space="preserve"> GARCIA, Ronaldo C. O CDES e a construção da Agenda Nacional de Desenvolvimento: um relato particular... Op. cit., p. 121.</w:t>
      </w:r>
    </w:p>
  </w:footnote>
  <w:footnote w:id="520">
    <w:p w:rsidR="00DD31B9" w:rsidRPr="00297E43" w:rsidRDefault="00DD31B9" w:rsidP="00837AC8">
      <w:pPr>
        <w:autoSpaceDE w:val="0"/>
        <w:autoSpaceDN w:val="0"/>
        <w:adjustRightInd w:val="0"/>
        <w:spacing w:after="0" w:line="240" w:lineRule="auto"/>
        <w:rPr>
          <w:rFonts w:ascii="Times New Roman" w:hAnsi="Times New Roman"/>
          <w:b/>
          <w:sz w:val="20"/>
          <w:szCs w:val="20"/>
        </w:rPr>
      </w:pPr>
      <w:r w:rsidRPr="00297E43">
        <w:rPr>
          <w:rStyle w:val="Refdenotaderodap"/>
          <w:rFonts w:ascii="Times New Roman" w:hAnsi="Times New Roman"/>
          <w:sz w:val="20"/>
          <w:szCs w:val="20"/>
        </w:rPr>
        <w:footnoteRef/>
      </w:r>
      <w:r w:rsidRPr="00297E43">
        <w:rPr>
          <w:rFonts w:ascii="Times New Roman" w:hAnsi="Times New Roman"/>
          <w:sz w:val="20"/>
          <w:szCs w:val="20"/>
        </w:rPr>
        <w:t xml:space="preserve"> Sobre a assim chamada “reforma trabalhista” muito pouco se abordou no CDES</w:t>
      </w:r>
      <w:r>
        <w:rPr>
          <w:rFonts w:ascii="Times New Roman" w:hAnsi="Times New Roman"/>
          <w:sz w:val="20"/>
          <w:szCs w:val="20"/>
        </w:rPr>
        <w:t>, com exceção do ano de 2003 o qual alguns conselheiros participaram do Fórum Nacional do Trabalho (FNT)</w:t>
      </w:r>
      <w:r w:rsidRPr="00297E43">
        <w:rPr>
          <w:rFonts w:ascii="Times New Roman" w:hAnsi="Times New Roman"/>
          <w:sz w:val="20"/>
          <w:szCs w:val="20"/>
        </w:rPr>
        <w:t xml:space="preserve">. </w:t>
      </w:r>
      <w:r>
        <w:rPr>
          <w:rFonts w:ascii="Times New Roman" w:hAnsi="Times New Roman"/>
          <w:sz w:val="20"/>
          <w:szCs w:val="20"/>
        </w:rPr>
        <w:t>No geral, a</w:t>
      </w:r>
      <w:r w:rsidRPr="00297E43">
        <w:rPr>
          <w:rFonts w:ascii="Times New Roman" w:hAnsi="Times New Roman"/>
          <w:sz w:val="20"/>
          <w:szCs w:val="20"/>
        </w:rPr>
        <w:t xml:space="preserve">s discussões se polarizavam entre os que alegavam a necessidade de reduzir o custo da </w:t>
      </w:r>
      <w:r>
        <w:rPr>
          <w:rFonts w:ascii="Times New Roman" w:hAnsi="Times New Roman"/>
          <w:sz w:val="20"/>
          <w:szCs w:val="20"/>
        </w:rPr>
        <w:t>mão de obra</w:t>
      </w:r>
      <w:r w:rsidRPr="00297E43">
        <w:rPr>
          <w:rFonts w:ascii="Times New Roman" w:hAnsi="Times New Roman"/>
          <w:sz w:val="20"/>
          <w:szCs w:val="20"/>
        </w:rPr>
        <w:t>, d</w:t>
      </w:r>
      <w:r>
        <w:rPr>
          <w:rFonts w:ascii="Times New Roman" w:hAnsi="Times New Roman"/>
          <w:sz w:val="20"/>
          <w:szCs w:val="20"/>
        </w:rPr>
        <w:t xml:space="preserve">e um lado, e, do outro, os </w:t>
      </w:r>
      <w:r w:rsidRPr="00297E43">
        <w:rPr>
          <w:rFonts w:ascii="Times New Roman" w:hAnsi="Times New Roman"/>
          <w:sz w:val="20"/>
          <w:szCs w:val="20"/>
        </w:rPr>
        <w:t>que defendiam a manutenção e ampliação de direi</w:t>
      </w:r>
      <w:r>
        <w:rPr>
          <w:rFonts w:ascii="Times New Roman" w:hAnsi="Times New Roman"/>
          <w:sz w:val="20"/>
          <w:szCs w:val="20"/>
        </w:rPr>
        <w:t>tos, sem muitos aprofundamentos</w:t>
      </w:r>
      <w:r w:rsidRPr="00297E43">
        <w:rPr>
          <w:rFonts w:ascii="Times New Roman" w:hAnsi="Times New Roman"/>
          <w:sz w:val="20"/>
          <w:szCs w:val="20"/>
        </w:rPr>
        <w:t xml:space="preserve"> de ambas as partes. </w:t>
      </w:r>
    </w:p>
  </w:footnote>
  <w:footnote w:id="521">
    <w:p w:rsidR="00DD31B9" w:rsidRPr="007923DE" w:rsidRDefault="00DD31B9" w:rsidP="00837AC8">
      <w:pPr>
        <w:pStyle w:val="Textodenotaderodap"/>
        <w:rPr>
          <w:rFonts w:ascii="Times New Roman" w:hAnsi="Times New Roman"/>
        </w:rPr>
      </w:pPr>
      <w:r w:rsidRPr="007923DE">
        <w:rPr>
          <w:rStyle w:val="Refdenotaderodap"/>
          <w:rFonts w:ascii="Times New Roman" w:hAnsi="Times New Roman"/>
        </w:rPr>
        <w:footnoteRef/>
      </w:r>
      <w:r w:rsidRPr="007923DE">
        <w:rPr>
          <w:rFonts w:ascii="Times New Roman" w:hAnsi="Times New Roman"/>
        </w:rPr>
        <w:t xml:space="preserve"> Ata da 36ª Reunião Plenária, 02/10/2010, p. 05. Disponível em &lt;http://www.imprensa.planalto.gov.br&gt;. </w:t>
      </w:r>
    </w:p>
  </w:footnote>
  <w:footnote w:id="522">
    <w:p w:rsidR="00DD31B9" w:rsidRPr="00B839FF" w:rsidRDefault="00DD31B9" w:rsidP="000F038F">
      <w:pPr>
        <w:pStyle w:val="Textodenotaderodap"/>
        <w:rPr>
          <w:rFonts w:ascii="Times New Roman" w:hAnsi="Times New Roman"/>
        </w:rPr>
      </w:pPr>
      <w:r w:rsidRPr="00B839FF">
        <w:rPr>
          <w:rStyle w:val="Refdenotaderodap"/>
          <w:rFonts w:ascii="Times New Roman" w:hAnsi="Times New Roman"/>
        </w:rPr>
        <w:footnoteRef/>
      </w:r>
      <w:r>
        <w:rPr>
          <w:rFonts w:ascii="Times New Roman" w:hAnsi="Times New Roman"/>
        </w:rPr>
        <w:t>Consta no site do CDES que o GACE - Monitoramento da Crise Econômica Internacional era constituído por 66 conselheiros. Verificamos que 39 deles eram empresários, ou seja, 60% do total.</w:t>
      </w:r>
    </w:p>
  </w:footnote>
  <w:footnote w:id="523">
    <w:p w:rsidR="00DD31B9" w:rsidRPr="00E9307F" w:rsidRDefault="00DD31B9" w:rsidP="000F038F">
      <w:pPr>
        <w:autoSpaceDE w:val="0"/>
        <w:autoSpaceDN w:val="0"/>
        <w:adjustRightInd w:val="0"/>
        <w:spacing w:after="0" w:line="240" w:lineRule="auto"/>
        <w:rPr>
          <w:rFonts w:ascii="Times New Roman" w:hAnsi="Times New Roman"/>
          <w:sz w:val="20"/>
          <w:szCs w:val="20"/>
          <w:lang w:eastAsia="pt-BR"/>
        </w:rPr>
      </w:pPr>
      <w:r w:rsidRPr="00FB2124">
        <w:rPr>
          <w:rStyle w:val="Refdenotaderodap"/>
          <w:rFonts w:ascii="Times New Roman" w:hAnsi="Times New Roman"/>
        </w:rPr>
        <w:footnoteRef/>
      </w:r>
      <w:r>
        <w:rPr>
          <w:rFonts w:ascii="Times New Roman" w:hAnsi="Times New Roman"/>
          <w:sz w:val="20"/>
          <w:szCs w:val="20"/>
        </w:rPr>
        <w:t>No Relatório do II Encontro “Perspectivas de crescimento da economia brasileira e a crise internacional”, ocorrido em 14 de outubro de 2008, consta que os conselheiros presentes “</w:t>
      </w:r>
      <w:r w:rsidRPr="00FB2124">
        <w:rPr>
          <w:rFonts w:ascii="Times New Roman" w:hAnsi="Times New Roman"/>
          <w:sz w:val="20"/>
          <w:szCs w:val="20"/>
          <w:lang w:eastAsia="pt-BR"/>
        </w:rPr>
        <w:t>Acordaram também sobre a necessidade de manter o debate sobre o tema no Conselho, para aportar novas análises e acompanhar o cenário que é extremamente volátil, dinâmico e cercado de complexidades</w:t>
      </w:r>
      <w:r>
        <w:rPr>
          <w:rFonts w:ascii="Times New Roman" w:hAnsi="Times New Roman"/>
          <w:sz w:val="20"/>
          <w:szCs w:val="20"/>
          <w:lang w:eastAsia="pt-BR"/>
        </w:rPr>
        <w:t>”</w:t>
      </w:r>
      <w:r w:rsidRPr="00FB2124">
        <w:rPr>
          <w:rFonts w:ascii="Times New Roman" w:hAnsi="Times New Roman"/>
          <w:sz w:val="20"/>
          <w:szCs w:val="20"/>
          <w:lang w:eastAsia="pt-BR"/>
        </w:rPr>
        <w:t>.</w:t>
      </w:r>
      <w:r>
        <w:rPr>
          <w:rFonts w:ascii="Times New Roman" w:hAnsi="Times New Roman"/>
          <w:sz w:val="20"/>
          <w:szCs w:val="20"/>
          <w:lang w:eastAsia="pt-BR"/>
        </w:rPr>
        <w:t xml:space="preserve"> SRI. SEDES (2008</w:t>
      </w:r>
      <w:r w:rsidRPr="00E9307F">
        <w:rPr>
          <w:rFonts w:ascii="Times New Roman" w:hAnsi="Times New Roman"/>
          <w:i/>
          <w:sz w:val="20"/>
          <w:szCs w:val="20"/>
          <w:lang w:eastAsia="pt-BR"/>
        </w:rPr>
        <w:t>). Encontro nº 2 Perspectivas de crescimento da economia brasileira e a crise internacional</w:t>
      </w:r>
      <w:r>
        <w:rPr>
          <w:rFonts w:ascii="Times New Roman" w:hAnsi="Times New Roman"/>
          <w:sz w:val="20"/>
          <w:szCs w:val="20"/>
          <w:lang w:eastAsia="pt-BR"/>
        </w:rPr>
        <w:t>. Quando da entrega da moção do CDES sobre a crise econômica pelo Comitê Gestor ao presidente Lula da Silva, em 28 de outubro, este definiu que o tema da crise econômica constasse na pauta da próxima reunião, realizada em 06 de novembro de 2008.</w:t>
      </w:r>
    </w:p>
  </w:footnote>
  <w:footnote w:id="524">
    <w:p w:rsidR="00DD31B9" w:rsidRPr="00FB3B92" w:rsidRDefault="00DD31B9" w:rsidP="000F038F">
      <w:pPr>
        <w:pStyle w:val="Textodenotaderodap"/>
        <w:rPr>
          <w:rFonts w:ascii="Times New Roman" w:hAnsi="Times New Roman"/>
        </w:rPr>
      </w:pPr>
      <w:r w:rsidRPr="00FB3B92">
        <w:rPr>
          <w:rStyle w:val="Refdenotaderodap"/>
          <w:rFonts w:ascii="Times New Roman" w:hAnsi="Times New Roman"/>
        </w:rPr>
        <w:footnoteRef/>
      </w:r>
      <w:r w:rsidRPr="00FB3B92">
        <w:rPr>
          <w:rFonts w:ascii="Times New Roman" w:hAnsi="Times New Roman"/>
        </w:rPr>
        <w:t xml:space="preserve"> Serão apresentadas as demandas expostas pelos conselh</w:t>
      </w:r>
      <w:r>
        <w:rPr>
          <w:rFonts w:ascii="Times New Roman" w:hAnsi="Times New Roman"/>
        </w:rPr>
        <w:t>eir</w:t>
      </w:r>
      <w:r w:rsidRPr="00FB3B92">
        <w:rPr>
          <w:rFonts w:ascii="Times New Roman" w:hAnsi="Times New Roman"/>
        </w:rPr>
        <w:t xml:space="preserve">os em todos os eventos elencados no quadro, com exceção do </w:t>
      </w:r>
      <w:r w:rsidRPr="00FB3B92">
        <w:rPr>
          <w:rFonts w:ascii="Times New Roman" w:eastAsia="Times New Roman" w:hAnsi="Times New Roman"/>
          <w:bCs/>
        </w:rPr>
        <w:t>Seminário Internacional sobre Desenvolvimento(29º Reunião Ampliada) e da 1ª Mesa-Redonda Conjuntura Brasil – Rússia.</w:t>
      </w:r>
    </w:p>
  </w:footnote>
  <w:footnote w:id="525">
    <w:p w:rsidR="00DD31B9" w:rsidRPr="000D1FA8" w:rsidRDefault="00DD31B9" w:rsidP="000F038F">
      <w:pPr>
        <w:pStyle w:val="Textodenotaderodap"/>
        <w:rPr>
          <w:rFonts w:ascii="Times New Roman" w:hAnsi="Times New Roman"/>
        </w:rPr>
      </w:pPr>
      <w:r w:rsidRPr="000D1FA8">
        <w:rPr>
          <w:rStyle w:val="Refdenotaderodap"/>
          <w:rFonts w:ascii="Times New Roman" w:hAnsi="Times New Roman"/>
        </w:rPr>
        <w:footnoteRef/>
      </w:r>
      <w:r>
        <w:rPr>
          <w:rFonts w:ascii="Times New Roman" w:hAnsi="Times New Roman"/>
        </w:rPr>
        <w:t xml:space="preserve">Este quadro se refere à participação dos conselheiros em todos os eventos relacionados ao quadro 4.1 e às reuniões plenárias (da </w:t>
      </w:r>
      <w:r w:rsidRPr="000D1FA8">
        <w:rPr>
          <w:rFonts w:ascii="Times New Roman" w:hAnsi="Times New Roman"/>
        </w:rPr>
        <w:t>25ª à 32ª</w:t>
      </w:r>
      <w:r>
        <w:rPr>
          <w:rFonts w:ascii="Times New Roman" w:hAnsi="Times New Roman"/>
        </w:rPr>
        <w:t xml:space="preserve">, ou seja, </w:t>
      </w:r>
      <w:r w:rsidRPr="000D1FA8">
        <w:rPr>
          <w:rFonts w:ascii="Times New Roman" w:hAnsi="Times New Roman"/>
        </w:rPr>
        <w:t>de abril de 2008 à dezembro de 2009)</w:t>
      </w:r>
      <w:r>
        <w:rPr>
          <w:rFonts w:ascii="Times New Roman" w:hAnsi="Times New Roman"/>
        </w:rPr>
        <w:t>.</w:t>
      </w:r>
    </w:p>
  </w:footnote>
  <w:footnote w:id="526">
    <w:p w:rsidR="00DD31B9" w:rsidRPr="00DA1EDA" w:rsidRDefault="00DD31B9" w:rsidP="000F038F">
      <w:pPr>
        <w:pStyle w:val="Textodenotaderodap"/>
        <w:rPr>
          <w:rFonts w:ascii="Times New Roman" w:hAnsi="Times New Roman"/>
        </w:rPr>
      </w:pPr>
      <w:r w:rsidRPr="00DA1EDA">
        <w:rPr>
          <w:rStyle w:val="Refdenotaderodap"/>
          <w:rFonts w:ascii="Times New Roman" w:hAnsi="Times New Roman"/>
        </w:rPr>
        <w:footnoteRef/>
      </w:r>
      <w:r w:rsidRPr="00DA1EDA">
        <w:rPr>
          <w:rFonts w:ascii="Times New Roman" w:hAnsi="Times New Roman"/>
        </w:rPr>
        <w:t xml:space="preserve"> O Parecer foi elaborado pelos conselheiros João Paulo dos Reis Velloso (INAE/Fórum Nacional), Antoninho Trevisan (</w:t>
      </w:r>
      <w:r>
        <w:rPr>
          <w:rFonts w:ascii="Times New Roman" w:hAnsi="Times New Roman"/>
        </w:rPr>
        <w:t>FIESP</w:t>
      </w:r>
      <w:r w:rsidRPr="00DA1EDA">
        <w:rPr>
          <w:rFonts w:ascii="Times New Roman" w:hAnsi="Times New Roman"/>
        </w:rPr>
        <w:t>/MBC) e Laerte Teixeira da Costa (vice-presidente da UGT) a partir do exame dos conferencistas sobre a crise econômica internacional e a conjuntura econômica brasileira.</w:t>
      </w:r>
    </w:p>
  </w:footnote>
  <w:footnote w:id="527">
    <w:p w:rsidR="00DD31B9" w:rsidRPr="007945DF" w:rsidRDefault="00DD31B9" w:rsidP="000F038F">
      <w:pPr>
        <w:pStyle w:val="Textodenotaderodap"/>
        <w:rPr>
          <w:rFonts w:ascii="Times New Roman" w:hAnsi="Times New Roman"/>
        </w:rPr>
      </w:pPr>
      <w:r w:rsidRPr="007945DF">
        <w:rPr>
          <w:rStyle w:val="Refdenotaderodap"/>
          <w:rFonts w:ascii="Times New Roman" w:hAnsi="Times New Roman"/>
        </w:rPr>
        <w:footnoteRef/>
      </w:r>
      <w:r>
        <w:rPr>
          <w:rFonts w:ascii="Times New Roman" w:hAnsi="Times New Roman"/>
        </w:rPr>
        <w:t xml:space="preserve"> SEDES. </w:t>
      </w:r>
      <w:r w:rsidRPr="007945DF">
        <w:rPr>
          <w:rFonts w:ascii="Times New Roman" w:hAnsi="Times New Roman"/>
          <w:i/>
        </w:rPr>
        <w:t>Trajetória do Debate no CDES sobre a Crise Econômica Internacional</w:t>
      </w:r>
      <w:r w:rsidRPr="007945DF">
        <w:rPr>
          <w:rFonts w:ascii="Times New Roman" w:hAnsi="Times New Roman"/>
        </w:rPr>
        <w:t>, 2ª ed. 2013</w:t>
      </w:r>
      <w:r>
        <w:rPr>
          <w:rFonts w:ascii="Times New Roman" w:hAnsi="Times New Roman"/>
        </w:rPr>
        <w:t>, p. 25.</w:t>
      </w:r>
    </w:p>
  </w:footnote>
  <w:footnote w:id="528">
    <w:p w:rsidR="00DD31B9" w:rsidRPr="007945DF" w:rsidRDefault="00DD31B9" w:rsidP="000F038F">
      <w:pPr>
        <w:pStyle w:val="Textodenotaderodap"/>
        <w:rPr>
          <w:rFonts w:ascii="Times New Roman" w:hAnsi="Times New Roman"/>
        </w:rPr>
      </w:pPr>
      <w:r w:rsidRPr="007945DF">
        <w:rPr>
          <w:rStyle w:val="Refdenotaderodap"/>
          <w:rFonts w:ascii="Times New Roman" w:hAnsi="Times New Roman"/>
        </w:rPr>
        <w:footnoteRef/>
      </w:r>
      <w:r w:rsidRPr="007945DF">
        <w:rPr>
          <w:rFonts w:ascii="Times New Roman" w:hAnsi="Times New Roman"/>
        </w:rPr>
        <w:t xml:space="preserve"> Idem, p. 26.</w:t>
      </w:r>
    </w:p>
  </w:footnote>
  <w:footnote w:id="529">
    <w:p w:rsidR="00DD31B9" w:rsidRPr="007945DF" w:rsidRDefault="00DD31B9" w:rsidP="000F038F">
      <w:pPr>
        <w:pStyle w:val="Textodenotaderodap"/>
        <w:rPr>
          <w:rFonts w:ascii="Times New Roman" w:hAnsi="Times New Roman"/>
        </w:rPr>
      </w:pPr>
      <w:r w:rsidRPr="007945DF">
        <w:rPr>
          <w:rStyle w:val="Refdenotaderodap"/>
          <w:rFonts w:ascii="Times New Roman" w:hAnsi="Times New Roman"/>
        </w:rPr>
        <w:footnoteRef/>
      </w:r>
      <w:r>
        <w:rPr>
          <w:rFonts w:ascii="Times New Roman" w:hAnsi="Times New Roman"/>
        </w:rPr>
        <w:t>Idem.</w:t>
      </w:r>
    </w:p>
  </w:footnote>
  <w:footnote w:id="530">
    <w:p w:rsidR="00DD31B9" w:rsidRDefault="00DD31B9" w:rsidP="000F038F">
      <w:pPr>
        <w:pStyle w:val="Textodenotaderodap"/>
        <w:rPr>
          <w:rFonts w:ascii="Times New Roman" w:hAnsi="Times New Roman"/>
        </w:rPr>
      </w:pPr>
      <w:r w:rsidRPr="00E42469">
        <w:rPr>
          <w:rStyle w:val="Refdenotaderodap"/>
          <w:rFonts w:ascii="Times New Roman" w:hAnsi="Times New Roman"/>
        </w:rPr>
        <w:footnoteRef/>
      </w:r>
      <w:r w:rsidRPr="00E42469">
        <w:rPr>
          <w:rFonts w:ascii="Times New Roman" w:hAnsi="Times New Roman"/>
        </w:rPr>
        <w:t xml:space="preserve"> Segundo notícias </w:t>
      </w:r>
      <w:r>
        <w:rPr>
          <w:rFonts w:ascii="Times New Roman" w:hAnsi="Times New Roman"/>
        </w:rPr>
        <w:t xml:space="preserve">veiculadas pela </w:t>
      </w:r>
      <w:r w:rsidRPr="00E42469">
        <w:rPr>
          <w:rFonts w:ascii="Times New Roman" w:hAnsi="Times New Roman"/>
        </w:rPr>
        <w:t>grande imprensa</w:t>
      </w:r>
      <w:r>
        <w:rPr>
          <w:rFonts w:ascii="Times New Roman" w:hAnsi="Times New Roman"/>
        </w:rPr>
        <w:t xml:space="preserve"> de 08/03/09</w:t>
      </w:r>
      <w:r w:rsidRPr="00E42469">
        <w:rPr>
          <w:rFonts w:ascii="Times New Roman" w:hAnsi="Times New Roman"/>
        </w:rPr>
        <w:t xml:space="preserve">, </w:t>
      </w:r>
      <w:r>
        <w:rPr>
          <w:rFonts w:ascii="Times New Roman" w:hAnsi="Times New Roman"/>
        </w:rPr>
        <w:t xml:space="preserve">a partir de levantamento do Banco Central, </w:t>
      </w:r>
      <w:r w:rsidRPr="00E42469">
        <w:rPr>
          <w:rFonts w:ascii="Times New Roman" w:hAnsi="Times New Roman"/>
        </w:rPr>
        <w:t>três empresas teriam perdido US$ 30 bilhões em transações em derivativos: Aracruz, Votorantim e Sadia.</w:t>
      </w:r>
      <w:r>
        <w:rPr>
          <w:rFonts w:ascii="Times New Roman" w:hAnsi="Times New Roman"/>
        </w:rPr>
        <w:t xml:space="preserve"> Segundo o siteG1 “Há muitas empresas enroladas com derivativos no setor de açúcar e álcool, entre os frigoríficos, os esmagadores de soja, os fabricantes de calçados e na indústria têxtil. Nesses setores exportadores, os derivativos cambiais são usados há muito tempo para proteção contra as oscilações bruscas do dólar, mecanismo conhecido como hedge”. Disponível em &lt;</w:t>
      </w:r>
      <w:r w:rsidRPr="00596975">
        <w:rPr>
          <w:rFonts w:ascii="Times New Roman" w:hAnsi="Times New Roman"/>
        </w:rPr>
        <w:t>http://g1.globo.com/</w:t>
      </w:r>
    </w:p>
    <w:p w:rsidR="00DD31B9" w:rsidRDefault="00DD31B9" w:rsidP="000F038F">
      <w:pPr>
        <w:pStyle w:val="Textodenotaderodap"/>
        <w:rPr>
          <w:rFonts w:ascii="Times New Roman" w:hAnsi="Times New Roman"/>
        </w:rPr>
      </w:pPr>
      <w:r w:rsidRPr="00596975">
        <w:rPr>
          <w:rFonts w:ascii="Times New Roman" w:hAnsi="Times New Roman"/>
        </w:rPr>
        <w:t>Noticias/Economia_Negocios/0,,MUL1033682-9356,00-PREJUIZO+DE+EMPRESAS+COM+</w:t>
      </w:r>
    </w:p>
    <w:p w:rsidR="00DD31B9" w:rsidRPr="00E42469" w:rsidRDefault="00DD31B9" w:rsidP="000F038F">
      <w:pPr>
        <w:pStyle w:val="Textodenotaderodap"/>
        <w:rPr>
          <w:rFonts w:ascii="Times New Roman" w:hAnsi="Times New Roman"/>
        </w:rPr>
      </w:pPr>
      <w:r w:rsidRPr="00596975">
        <w:rPr>
          <w:rFonts w:ascii="Times New Roman" w:hAnsi="Times New Roman"/>
        </w:rPr>
        <w:t>DERIVATIVOS+JA+E+DE+US+BI.html</w:t>
      </w:r>
      <w:r>
        <w:rPr>
          <w:rFonts w:ascii="Times New Roman" w:hAnsi="Times New Roman"/>
        </w:rPr>
        <w:t>&gt; . Acesso em 22/12/2014.</w:t>
      </w:r>
    </w:p>
  </w:footnote>
  <w:footnote w:id="531">
    <w:p w:rsidR="00DD31B9" w:rsidRPr="00591881" w:rsidRDefault="00DD31B9" w:rsidP="000F038F">
      <w:pPr>
        <w:pStyle w:val="Textodenotaderodap"/>
        <w:rPr>
          <w:rFonts w:ascii="Times New Roman" w:hAnsi="Times New Roman"/>
        </w:rPr>
      </w:pPr>
      <w:r w:rsidRPr="00591881">
        <w:rPr>
          <w:rStyle w:val="Refdenotaderodap"/>
          <w:rFonts w:ascii="Times New Roman" w:hAnsi="Times New Roman"/>
        </w:rPr>
        <w:footnoteRef/>
      </w:r>
      <w:r>
        <w:rPr>
          <w:rFonts w:ascii="Times New Roman" w:hAnsi="Times New Roman"/>
        </w:rPr>
        <w:t xml:space="preserve"> Das</w:t>
      </w:r>
      <w:r w:rsidRPr="00591881">
        <w:rPr>
          <w:rFonts w:ascii="Times New Roman" w:hAnsi="Times New Roman"/>
        </w:rPr>
        <w:t xml:space="preserve"> l</w:t>
      </w:r>
      <w:r>
        <w:rPr>
          <w:rFonts w:ascii="Times New Roman" w:hAnsi="Times New Roman"/>
        </w:rPr>
        <w:t>ideranças dos</w:t>
      </w:r>
      <w:r w:rsidRPr="00591881">
        <w:rPr>
          <w:rFonts w:ascii="Times New Roman" w:hAnsi="Times New Roman"/>
        </w:rPr>
        <w:t xml:space="preserve"> movimentos sociais populares no CDES, a partir de 2007, restaram </w:t>
      </w:r>
      <w:r>
        <w:rPr>
          <w:rFonts w:ascii="Times New Roman" w:hAnsi="Times New Roman"/>
        </w:rPr>
        <w:t xml:space="preserve">os seguintes conselheiros: </w:t>
      </w:r>
      <w:r w:rsidRPr="00591881">
        <w:rPr>
          <w:rFonts w:ascii="Times New Roman" w:hAnsi="Times New Roman"/>
        </w:rPr>
        <w:t>Joênia Batista Carvalho (Conselho Indigenista de Roraima), Júlio Aquino (Conselho</w:t>
      </w:r>
      <w:r>
        <w:rPr>
          <w:rFonts w:ascii="Times New Roman" w:hAnsi="Times New Roman"/>
        </w:rPr>
        <w:t xml:space="preserve"> Nacional de Seringueiros) e</w:t>
      </w:r>
      <w:r w:rsidRPr="00591881">
        <w:rPr>
          <w:rFonts w:ascii="Times New Roman" w:hAnsi="Times New Roman"/>
        </w:rPr>
        <w:t xml:space="preserve"> Manoel da Cunha (Conselho Nacional das Populações Extrativistas). Importante </w:t>
      </w:r>
      <w:r>
        <w:rPr>
          <w:rFonts w:ascii="Times New Roman" w:hAnsi="Times New Roman"/>
        </w:rPr>
        <w:t>ressaltarque</w:t>
      </w:r>
      <w:r w:rsidRPr="00591881">
        <w:rPr>
          <w:rFonts w:ascii="Times New Roman" w:hAnsi="Times New Roman"/>
        </w:rPr>
        <w:t xml:space="preserve"> esse último entrou em 2009 </w:t>
      </w:r>
      <w:r>
        <w:rPr>
          <w:rFonts w:ascii="Times New Roman" w:hAnsi="Times New Roman"/>
        </w:rPr>
        <w:t xml:space="preserve">quando </w:t>
      </w:r>
      <w:r w:rsidRPr="00591881">
        <w:rPr>
          <w:rFonts w:ascii="Times New Roman" w:hAnsi="Times New Roman"/>
        </w:rPr>
        <w:t>os dois primeiros sa</w:t>
      </w:r>
      <w:r>
        <w:rPr>
          <w:rFonts w:ascii="Times New Roman" w:hAnsi="Times New Roman"/>
        </w:rPr>
        <w:t>íram, isto é, ficou isolado diante de representantes de outras organizações sociais (não sindicais e não empresariais) como a UNE, OAB, CNBB, UNISOL (</w:t>
      </w:r>
      <w:r w:rsidRPr="00DC4692">
        <w:rPr>
          <w:rFonts w:ascii="Times New Roman" w:eastAsia="Times New Roman" w:hAnsi="Times New Roman"/>
          <w:bCs/>
          <w:lang w:eastAsia="pt-BR"/>
        </w:rPr>
        <w:t>União e Solidariedade das Cooperativas e Empreendimentos de Economia Social</w:t>
      </w:r>
      <w:r>
        <w:rPr>
          <w:rFonts w:ascii="Times New Roman" w:hAnsi="Times New Roman"/>
        </w:rPr>
        <w:t xml:space="preserve">), Instituto Dom Helder Câmara, União Brasileira de Mulheres, Associação de Membros do Ministério Público, Associação Brasileira de Assistência a Deficientes Visuais. </w:t>
      </w:r>
    </w:p>
  </w:footnote>
  <w:footnote w:id="532">
    <w:p w:rsidR="00DD31B9" w:rsidRPr="00275D8C" w:rsidRDefault="00DD31B9" w:rsidP="000F038F">
      <w:pPr>
        <w:pStyle w:val="Textodenotaderodap"/>
        <w:rPr>
          <w:rFonts w:ascii="Times New Roman" w:hAnsi="Times New Roman"/>
        </w:rPr>
      </w:pPr>
      <w:r w:rsidRPr="008D6B10">
        <w:rPr>
          <w:rStyle w:val="Refdenotaderodap"/>
          <w:rFonts w:ascii="Times New Roman" w:hAnsi="Times New Roman"/>
        </w:rPr>
        <w:footnoteRef/>
      </w:r>
      <w:r>
        <w:rPr>
          <w:rFonts w:ascii="Times New Roman" w:hAnsi="Times New Roman"/>
        </w:rPr>
        <w:t>Segundo Galvão, “O valor destinado às centrais sindicais consideradas representativas alcançou R$ 65,7 milhões em 2008, R$ 80,9 milhões em 2009 e R$ 99,5 milhões em 2010. (...) a dependência dos sindicatos frente ao imposto sindical parece ter aumentado uma vez que essa contribuição representou cerca de 80% dos recursos da FS, UGT, CTB e CGTB em 2008”. GALVÃO, Andréia.</w:t>
      </w:r>
      <w:r w:rsidRPr="00275D8C">
        <w:rPr>
          <w:rFonts w:ascii="Times New Roman" w:hAnsi="Times New Roman"/>
        </w:rPr>
        <w:t xml:space="preserve">A reconfiguração do movimento sindical nos </w:t>
      </w:r>
      <w:r>
        <w:rPr>
          <w:rFonts w:ascii="Times New Roman" w:hAnsi="Times New Roman"/>
        </w:rPr>
        <w:t>governos Lula... Op, cit., p. 195.</w:t>
      </w:r>
    </w:p>
  </w:footnote>
  <w:footnote w:id="533">
    <w:p w:rsidR="00DD31B9" w:rsidRPr="00133B9B" w:rsidRDefault="00DD31B9" w:rsidP="000F038F">
      <w:pPr>
        <w:pStyle w:val="Textodenotaderodap"/>
        <w:rPr>
          <w:rFonts w:ascii="Times New Roman" w:hAnsi="Times New Roman"/>
        </w:rPr>
      </w:pPr>
      <w:r w:rsidRPr="00133B9B">
        <w:rPr>
          <w:rStyle w:val="Refdenotaderodap"/>
          <w:rFonts w:ascii="Times New Roman" w:hAnsi="Times New Roman"/>
        </w:rPr>
        <w:footnoteRef/>
      </w:r>
      <w:r w:rsidRPr="00133B9B">
        <w:rPr>
          <w:rFonts w:ascii="Times New Roman" w:hAnsi="Times New Roman"/>
        </w:rPr>
        <w:t xml:space="preserve"> Secretaria de Relações Institucionais(2008b). </w:t>
      </w:r>
      <w:r w:rsidRPr="00133B9B">
        <w:rPr>
          <w:rFonts w:ascii="Times New Roman" w:hAnsi="Times New Roman"/>
          <w:i/>
        </w:rPr>
        <w:t>CDES e a crise financeira internacional – novembro de 2008,</w:t>
      </w:r>
      <w:r w:rsidRPr="00133B9B">
        <w:rPr>
          <w:rFonts w:ascii="Times New Roman" w:hAnsi="Times New Roman"/>
        </w:rPr>
        <w:t xml:space="preserve"> p. 01.</w:t>
      </w:r>
    </w:p>
  </w:footnote>
  <w:footnote w:id="534">
    <w:p w:rsidR="00DD31B9" w:rsidRPr="00133B9B" w:rsidRDefault="00DD31B9" w:rsidP="000F038F">
      <w:pPr>
        <w:pStyle w:val="Textodenotaderodap"/>
        <w:rPr>
          <w:rFonts w:ascii="Times New Roman" w:hAnsi="Times New Roman"/>
        </w:rPr>
      </w:pPr>
      <w:r w:rsidRPr="00133B9B">
        <w:rPr>
          <w:rStyle w:val="Refdenotaderodap"/>
          <w:rFonts w:ascii="Times New Roman" w:hAnsi="Times New Roman"/>
        </w:rPr>
        <w:footnoteRef/>
      </w:r>
      <w:r w:rsidRPr="00133B9B">
        <w:rPr>
          <w:rFonts w:ascii="Times New Roman" w:hAnsi="Times New Roman"/>
        </w:rPr>
        <w:t xml:space="preserve"> Idem, p. 02.</w:t>
      </w:r>
    </w:p>
  </w:footnote>
  <w:footnote w:id="535">
    <w:p w:rsidR="00DD31B9" w:rsidRPr="00133B9B" w:rsidRDefault="00DD31B9" w:rsidP="000F038F">
      <w:pPr>
        <w:pStyle w:val="Textodenotaderodap"/>
        <w:rPr>
          <w:rFonts w:ascii="Times New Roman" w:hAnsi="Times New Roman"/>
        </w:rPr>
      </w:pPr>
      <w:r w:rsidRPr="00133B9B">
        <w:rPr>
          <w:rStyle w:val="Refdenotaderodap"/>
          <w:rFonts w:ascii="Times New Roman" w:hAnsi="Times New Roman"/>
        </w:rPr>
        <w:footnoteRef/>
      </w:r>
      <w:r w:rsidRPr="00133B9B">
        <w:rPr>
          <w:rFonts w:ascii="Times New Roman" w:hAnsi="Times New Roman"/>
        </w:rPr>
        <w:t xml:space="preserve"> SEDES. </w:t>
      </w:r>
      <w:r w:rsidRPr="00133B9B">
        <w:rPr>
          <w:rFonts w:ascii="Times New Roman" w:hAnsi="Times New Roman"/>
          <w:i/>
        </w:rPr>
        <w:t>Trajetória do Debate no CDES sobre a Crise Econômica Internacional</w:t>
      </w:r>
      <w:r w:rsidRPr="00133B9B">
        <w:rPr>
          <w:rFonts w:ascii="Times New Roman" w:hAnsi="Times New Roman"/>
        </w:rPr>
        <w:t>, 2ª ed. 2013, p. 16.</w:t>
      </w:r>
    </w:p>
  </w:footnote>
  <w:footnote w:id="536">
    <w:p w:rsidR="00DD31B9" w:rsidRPr="00133B9B" w:rsidRDefault="00DD31B9" w:rsidP="000F038F">
      <w:pPr>
        <w:spacing w:after="0" w:line="240" w:lineRule="auto"/>
        <w:rPr>
          <w:rFonts w:ascii="Times New Roman" w:hAnsi="Times New Roman"/>
          <w:sz w:val="20"/>
          <w:szCs w:val="20"/>
        </w:rPr>
      </w:pPr>
      <w:r w:rsidRPr="00133B9B">
        <w:rPr>
          <w:rStyle w:val="Refdenotaderodap"/>
          <w:rFonts w:ascii="Times New Roman" w:hAnsi="Times New Roman"/>
        </w:rPr>
        <w:footnoteRef/>
      </w:r>
      <w:r w:rsidRPr="00133B9B">
        <w:rPr>
          <w:rFonts w:ascii="Times New Roman" w:hAnsi="Times New Roman"/>
          <w:sz w:val="20"/>
          <w:szCs w:val="20"/>
        </w:rPr>
        <w:t xml:space="preserve"> Como vimos no capítulo 3, todo o período de gestão de Antonio Palocci (de janeiro de 2003 a março de 2006) </w:t>
      </w:r>
      <w:r>
        <w:rPr>
          <w:rFonts w:ascii="Times New Roman" w:hAnsi="Times New Roman"/>
          <w:sz w:val="20"/>
          <w:szCs w:val="20"/>
        </w:rPr>
        <w:t>no comando d</w:t>
      </w:r>
      <w:r w:rsidRPr="00133B9B">
        <w:rPr>
          <w:rFonts w:ascii="Times New Roman" w:hAnsi="Times New Roman"/>
          <w:sz w:val="20"/>
          <w:szCs w:val="20"/>
        </w:rPr>
        <w:t xml:space="preserve">o Ministério da Fazenda, ao lado de Henrique Meirelles, como presidente de Banco Central, na condução da política econômica do primeiro mandato de Lula da Silva, recebeu persistentes e contundentes críticas nos debates das reuniões plenárias e em muitos documentos do Conselho. O busílis da questão nucleava o forte aperto da política monetária (altas taxas de juros), cambial (sobrevalorização do câmbio) e altos superávits primários necessários ao cumprimento do pagamento de juros da dívida pública. O descontentamento girava em torno da austeridade excessiva do ajuste – o qual julgavam conter o crescimento econômico – e não o modelo de desenvolvimento econômico implantado desde o 2º governo de FHC, sustentado pelo regime de metas inflacionárias e de contrarreformas. Apenas alguns conselheiros apoiavam, desde o início, a política econômica então em vigor. Poder-se-ia apontar como “contraditória” a afirmativa, presente neste e noutros documentos do CDES pós-Palocci, de que “desde 2003” a política econômica do governo era pró-desenvolvimento se eles próprios passaram boa parte do primeiro governo de Lula da Silva criticando-a. Na verdade, trata-se do contrário: compartilhavam do reconhecimento </w:t>
      </w:r>
      <w:r w:rsidRPr="00133B9B">
        <w:rPr>
          <w:rFonts w:ascii="Times New Roman" w:hAnsi="Times New Roman"/>
          <w:i/>
          <w:sz w:val="20"/>
          <w:szCs w:val="20"/>
        </w:rPr>
        <w:t>a posteriori</w:t>
      </w:r>
      <w:r w:rsidRPr="00133B9B">
        <w:rPr>
          <w:rFonts w:ascii="Times New Roman" w:hAnsi="Times New Roman"/>
          <w:sz w:val="20"/>
          <w:szCs w:val="20"/>
        </w:rPr>
        <w:t xml:space="preserve"> da importância do ajuste inicial como condição de criação e fortalecimento “das bases sustentáveis do desenvolvimento”. Esta, inclusive, é a explicação dada por alguns economistas do pró-governo como BARBOSA, Nelson e SOUZA, José Antonio Pereira de. A inflexão do governo Lula: política econômica, crescimento e distribuição de renda. In:SADER, Emir e GARCIA, Marco Aurélio (orgs.). </w:t>
      </w:r>
      <w:r w:rsidRPr="00133B9B">
        <w:rPr>
          <w:rFonts w:ascii="Times New Roman" w:hAnsi="Times New Roman"/>
          <w:i/>
          <w:sz w:val="20"/>
          <w:szCs w:val="20"/>
        </w:rPr>
        <w:t>Brasil, entre o passado e o futuro</w:t>
      </w:r>
      <w:r w:rsidRPr="00133B9B">
        <w:rPr>
          <w:rFonts w:ascii="Times New Roman" w:hAnsi="Times New Roman"/>
          <w:sz w:val="20"/>
          <w:szCs w:val="20"/>
        </w:rPr>
        <w:t>. São Paulo: Editora Fundação Perseu Abramo: Boitempo, 2010.</w:t>
      </w:r>
    </w:p>
  </w:footnote>
  <w:footnote w:id="537">
    <w:p w:rsidR="00DD31B9" w:rsidRPr="00275D8C" w:rsidRDefault="00DD31B9" w:rsidP="000F038F">
      <w:pPr>
        <w:pStyle w:val="Textodenotaderodap"/>
        <w:rPr>
          <w:rFonts w:ascii="Times New Roman" w:hAnsi="Times New Roman"/>
        </w:rPr>
      </w:pPr>
      <w:r w:rsidRPr="00275D8C">
        <w:rPr>
          <w:rStyle w:val="Refdenotaderodap"/>
          <w:rFonts w:ascii="Times New Roman" w:hAnsi="Times New Roman"/>
        </w:rPr>
        <w:footnoteRef/>
      </w:r>
      <w:r>
        <w:rPr>
          <w:rFonts w:ascii="Times New Roman" w:hAnsi="Times New Roman"/>
        </w:rPr>
        <w:t>SEDES</w:t>
      </w:r>
      <w:r w:rsidRPr="00275D8C">
        <w:rPr>
          <w:rFonts w:ascii="Times New Roman" w:hAnsi="Times New Roman"/>
        </w:rPr>
        <w:t xml:space="preserve">. </w:t>
      </w:r>
      <w:r w:rsidRPr="00275D8C">
        <w:rPr>
          <w:rFonts w:ascii="Times New Roman" w:hAnsi="Times New Roman"/>
          <w:i/>
        </w:rPr>
        <w:t>Relatório de gestão 2008</w:t>
      </w:r>
      <w:r w:rsidRPr="00275D8C">
        <w:rPr>
          <w:rFonts w:ascii="Times New Roman" w:hAnsi="Times New Roman"/>
        </w:rPr>
        <w:t>. Brasília: 2009b</w:t>
      </w:r>
      <w:r>
        <w:rPr>
          <w:rFonts w:ascii="Times New Roman" w:hAnsi="Times New Roman"/>
        </w:rPr>
        <w:t>, p. 72-73.</w:t>
      </w:r>
    </w:p>
  </w:footnote>
  <w:footnote w:id="538">
    <w:p w:rsidR="00DD31B9" w:rsidRDefault="00DD31B9" w:rsidP="000F038F">
      <w:pPr>
        <w:pStyle w:val="Textodenotaderodap"/>
        <w:rPr>
          <w:rFonts w:ascii="Times New Roman" w:hAnsi="Times New Roman"/>
        </w:rPr>
      </w:pPr>
      <w:r>
        <w:rPr>
          <w:rStyle w:val="Refdenotaderodap"/>
        </w:rPr>
        <w:footnoteRef/>
      </w:r>
      <w:r>
        <w:rPr>
          <w:rFonts w:ascii="Times New Roman" w:hAnsi="Times New Roman"/>
        </w:rPr>
        <w:t>Cf. Ata da 28ª Reunião Plenária, 06/11/2008, pp. 03-13. Disponível em &lt;</w:t>
      </w:r>
      <w:r w:rsidRPr="006B4CD7">
        <w:rPr>
          <w:rFonts w:ascii="Times New Roman" w:hAnsi="Times New Roman"/>
        </w:rPr>
        <w:t>http://www.cdes.gov.br/</w:t>
      </w:r>
    </w:p>
    <w:p w:rsidR="00DD31B9" w:rsidRDefault="00DD31B9" w:rsidP="000F038F">
      <w:pPr>
        <w:pStyle w:val="Textodenotaderodap"/>
      </w:pPr>
      <w:r w:rsidRPr="006B4CD7">
        <w:rPr>
          <w:rFonts w:ascii="Times New Roman" w:hAnsi="Times New Roman"/>
        </w:rPr>
        <w:t>evento/2284/pleno-do-cdes-reuniao-ordinaria-n-28.html</w:t>
      </w:r>
      <w:r>
        <w:rPr>
          <w:rFonts w:ascii="Times New Roman" w:hAnsi="Times New Roman"/>
        </w:rPr>
        <w:t>&gt;. Acesso em 12/01/2015.</w:t>
      </w:r>
    </w:p>
  </w:footnote>
  <w:footnote w:id="539">
    <w:p w:rsidR="00DD31B9" w:rsidRPr="00DA5A51" w:rsidRDefault="00DD31B9" w:rsidP="000F038F">
      <w:pPr>
        <w:pStyle w:val="Textodenotaderodap"/>
        <w:rPr>
          <w:rFonts w:ascii="Times New Roman" w:hAnsi="Times New Roman"/>
        </w:rPr>
      </w:pPr>
      <w:r w:rsidRPr="00DA5A51">
        <w:rPr>
          <w:rStyle w:val="Refdenotaderodap"/>
          <w:rFonts w:ascii="Times New Roman" w:hAnsi="Times New Roman"/>
        </w:rPr>
        <w:footnoteRef/>
      </w:r>
      <w:r w:rsidRPr="00DA5A51">
        <w:rPr>
          <w:rFonts w:ascii="Times New Roman" w:hAnsi="Times New Roman"/>
        </w:rPr>
        <w:t xml:space="preserve"> O Programa de concessões de portos, aeroportos e </w:t>
      </w:r>
      <w:r>
        <w:rPr>
          <w:rFonts w:ascii="Times New Roman" w:hAnsi="Times New Roman"/>
        </w:rPr>
        <w:t xml:space="preserve">outras </w:t>
      </w:r>
      <w:r w:rsidRPr="00DA5A51">
        <w:rPr>
          <w:rFonts w:ascii="Times New Roman" w:hAnsi="Times New Roman"/>
        </w:rPr>
        <w:t>rodovias foi realizado em 2013, sob o governo de Dilma Rousseff.</w:t>
      </w:r>
    </w:p>
  </w:footnote>
  <w:footnote w:id="540">
    <w:p w:rsidR="00DD31B9" w:rsidRPr="006F1BCE" w:rsidRDefault="00DD31B9" w:rsidP="000F038F">
      <w:pPr>
        <w:pStyle w:val="Textodenotaderodap"/>
        <w:rPr>
          <w:rFonts w:ascii="Times New Roman" w:hAnsi="Times New Roman"/>
        </w:rPr>
      </w:pPr>
      <w:r w:rsidRPr="009F0E43">
        <w:rPr>
          <w:rStyle w:val="Refdenotaderodap"/>
          <w:rFonts w:ascii="Times New Roman" w:hAnsi="Times New Roman"/>
        </w:rPr>
        <w:footnoteRef/>
      </w:r>
      <w:r w:rsidRPr="009F0E43">
        <w:rPr>
          <w:rFonts w:ascii="Times New Roman" w:hAnsi="Times New Roman"/>
        </w:rPr>
        <w:t xml:space="preserve"> Como representantes do setor bancário, faziam parte </w:t>
      </w:r>
      <w:r>
        <w:rPr>
          <w:rFonts w:ascii="Times New Roman" w:hAnsi="Times New Roman"/>
        </w:rPr>
        <w:t xml:space="preserve">do Conselho Consultivo da FEBRABAN </w:t>
      </w:r>
      <w:r w:rsidRPr="009F0E43">
        <w:rPr>
          <w:rFonts w:ascii="Times New Roman" w:hAnsi="Times New Roman"/>
        </w:rPr>
        <w:t xml:space="preserve">Aldemir Bendine (Banco do Brasil), Conrado Engel (HSBC Bank Brasil S.A.), José Ermírio de Moraes Neto (Banco Votorantim), Luiz Carlos Trabuco Cappi (Banco Bradesco), Maria Fernanda Ramos Coelho (Caixa Econômica Federal), </w:t>
      </w:r>
      <w:r w:rsidRPr="006F1BCE">
        <w:rPr>
          <w:rFonts w:ascii="Times New Roman" w:hAnsi="Times New Roman"/>
        </w:rPr>
        <w:t>Pedro Moreira Salles</w:t>
      </w:r>
      <w:r w:rsidRPr="009F0E43">
        <w:rPr>
          <w:rFonts w:ascii="Times New Roman" w:hAnsi="Times New Roman"/>
        </w:rPr>
        <w:t xml:space="preserve"> (Itaú Unibanco S.A.), </w:t>
      </w:r>
      <w:r w:rsidRPr="009F0E43">
        <w:rPr>
          <w:rFonts w:ascii="Times New Roman" w:hAnsi="Times New Roman"/>
          <w:b/>
        </w:rPr>
        <w:t>Roberto Egydio Setubal</w:t>
      </w:r>
      <w:r w:rsidRPr="009F0E43">
        <w:rPr>
          <w:rFonts w:ascii="Times New Roman" w:hAnsi="Times New Roman"/>
        </w:rPr>
        <w:t xml:space="preserve"> (Itaú Unibanco S.A.). Outros setores também estavam presentes no referido Conselho, como Abram Abe Szajman (Fecomercio/SP), </w:t>
      </w:r>
      <w:r w:rsidRPr="009F0E43">
        <w:rPr>
          <w:rFonts w:ascii="Times New Roman" w:hAnsi="Times New Roman"/>
          <w:b/>
        </w:rPr>
        <w:t>Jackson Schneider</w:t>
      </w:r>
      <w:r w:rsidRPr="009F0E43">
        <w:rPr>
          <w:rFonts w:ascii="Times New Roman" w:hAnsi="Times New Roman"/>
        </w:rPr>
        <w:t xml:space="preserve"> (Anfavea), João Batista Crestana (Secovi/SP), José Roberto Mendonça de Barros (MB Associados), </w:t>
      </w:r>
      <w:r w:rsidRPr="009F0E43">
        <w:rPr>
          <w:rFonts w:ascii="Times New Roman" w:hAnsi="Times New Roman"/>
          <w:b/>
        </w:rPr>
        <w:t>Luiz Fernando Furlan</w:t>
      </w:r>
      <w:r w:rsidRPr="009F0E43">
        <w:rPr>
          <w:rFonts w:ascii="Times New Roman" w:hAnsi="Times New Roman"/>
        </w:rPr>
        <w:t xml:space="preserve"> (Brasil Foods S.A.), </w:t>
      </w:r>
      <w:r w:rsidRPr="009F0E43">
        <w:rPr>
          <w:rFonts w:ascii="Times New Roman" w:hAnsi="Times New Roman"/>
          <w:b/>
        </w:rPr>
        <w:t>Paulo Skaf</w:t>
      </w:r>
      <w:r w:rsidRPr="009F0E43">
        <w:rPr>
          <w:rFonts w:ascii="Times New Roman" w:hAnsi="Times New Roman"/>
        </w:rPr>
        <w:t xml:space="preserve"> (</w:t>
      </w:r>
      <w:r>
        <w:rPr>
          <w:rFonts w:ascii="Times New Roman" w:hAnsi="Times New Roman"/>
        </w:rPr>
        <w:t>FIESP</w:t>
      </w:r>
      <w:r w:rsidRPr="009F0E43">
        <w:rPr>
          <w:rFonts w:ascii="Times New Roman" w:hAnsi="Times New Roman"/>
        </w:rPr>
        <w:t xml:space="preserve">), </w:t>
      </w:r>
      <w:r w:rsidRPr="009F0E43">
        <w:rPr>
          <w:rFonts w:ascii="Times New Roman" w:hAnsi="Times New Roman"/>
          <w:b/>
        </w:rPr>
        <w:t>Roberto Rodrigues</w:t>
      </w:r>
      <w:r w:rsidRPr="009F0E43">
        <w:rPr>
          <w:rFonts w:ascii="Times New Roman" w:hAnsi="Times New Roman"/>
        </w:rPr>
        <w:t xml:space="preserve"> (ABAG) e </w:t>
      </w:r>
      <w:r w:rsidRPr="009F0E43">
        <w:rPr>
          <w:rFonts w:ascii="Times New Roman" w:hAnsi="Times New Roman"/>
          <w:b/>
        </w:rPr>
        <w:t>Viviane Senna</w:t>
      </w:r>
      <w:r w:rsidRPr="009F0E43">
        <w:rPr>
          <w:rFonts w:ascii="Times New Roman" w:hAnsi="Times New Roman"/>
        </w:rPr>
        <w:t xml:space="preserve"> (Instituto Ayrton Senna).</w:t>
      </w:r>
      <w:r>
        <w:rPr>
          <w:rFonts w:ascii="Times New Roman" w:hAnsi="Times New Roman"/>
        </w:rPr>
        <w:t xml:space="preserve"> Os empresários em destaque haviam sido (ou continuavam sendo) conselheiros do CDES. Disponível em &lt;</w:t>
      </w:r>
      <w:hyperlink r:id="rId17" w:history="1">
        <w:r w:rsidRPr="006F1BCE">
          <w:rPr>
            <w:rStyle w:val="Hyperlink"/>
            <w:rFonts w:ascii="Times New Roman" w:hAnsi="Times New Roman"/>
            <w:color w:val="auto"/>
            <w:u w:val="none"/>
          </w:rPr>
          <w:t>http://www.febraban.org.br/7Rof7SWg6qmyvwJcFwF7I0aSDf9jyV/</w:t>
        </w:r>
      </w:hyperlink>
    </w:p>
    <w:p w:rsidR="00DD31B9" w:rsidRPr="009F0E43" w:rsidRDefault="00DD31B9" w:rsidP="000F038F">
      <w:pPr>
        <w:pStyle w:val="Textodenotaderodap"/>
        <w:rPr>
          <w:rFonts w:ascii="Times New Roman" w:hAnsi="Times New Roman"/>
        </w:rPr>
      </w:pPr>
      <w:r w:rsidRPr="009F0E43">
        <w:rPr>
          <w:rFonts w:ascii="Times New Roman" w:hAnsi="Times New Roman"/>
        </w:rPr>
        <w:t>sitefebraban/Febraban_completo.pdf</w:t>
      </w:r>
      <w:r>
        <w:rPr>
          <w:rFonts w:ascii="Times New Roman" w:hAnsi="Times New Roman"/>
        </w:rPr>
        <w:t>&gt;. Acesso em 15/01/2015.</w:t>
      </w:r>
    </w:p>
  </w:footnote>
  <w:footnote w:id="541">
    <w:p w:rsidR="00DD31B9" w:rsidRPr="001F4897" w:rsidRDefault="00DD31B9" w:rsidP="000F038F">
      <w:pPr>
        <w:pStyle w:val="Textodenotaderodap"/>
        <w:rPr>
          <w:rFonts w:ascii="Times New Roman" w:hAnsi="Times New Roman"/>
        </w:rPr>
      </w:pPr>
      <w:r w:rsidRPr="001F4897">
        <w:rPr>
          <w:rStyle w:val="Refdenotaderodap"/>
          <w:rFonts w:ascii="Times New Roman" w:hAnsi="Times New Roman"/>
        </w:rPr>
        <w:footnoteRef/>
      </w:r>
      <w:r>
        <w:rPr>
          <w:rFonts w:ascii="Times New Roman" w:hAnsi="Times New Roman"/>
        </w:rPr>
        <w:t>A proposta de redução da jornada de trabalho prevista, dentre outras medidas, pela PEC 393/01, continua em espera de votação no Congresso Nacional. Os sindicalistas do CDES argumentavam que o aumento da produtividade em vários setores da economia não havia sido acompanhada da contrapartida distributiva destes ganhos através da redução da jornada de trabalho no país. Verificava-se argumentos que procuravam convencer o capital a dialogar sobre o tema através da qualificação do trabalho : “(...) para colocar um trabalhador para se qualificar saindo de casa às 5 horas da manhã, pegando um ônibus, metrô, trabalhando de segunda a sábado, fazendo duas horas extras por dia, e pedir para ele se qualificar, só se for no sábado à noite ou no domingo. Nós precisamos realmente trabalhar essa articulação” (Conselheiro Artur Henrique, Ata 35ª reunião plenária, 26/08/10, p. 18).</w:t>
      </w:r>
    </w:p>
  </w:footnote>
  <w:footnote w:id="542">
    <w:p w:rsidR="00DD31B9" w:rsidRPr="008A6C49" w:rsidRDefault="00DD31B9" w:rsidP="000F038F">
      <w:pPr>
        <w:pStyle w:val="Textodenotaderodap"/>
        <w:rPr>
          <w:rFonts w:ascii="Times New Roman" w:hAnsi="Times New Roman"/>
        </w:rPr>
      </w:pPr>
      <w:r w:rsidRPr="008A6C49">
        <w:rPr>
          <w:rStyle w:val="Refdenotaderodap"/>
          <w:rFonts w:ascii="Times New Roman" w:hAnsi="Times New Roman"/>
        </w:rPr>
        <w:footnoteRef/>
      </w:r>
      <w:r>
        <w:rPr>
          <w:rFonts w:ascii="Times New Roman" w:hAnsi="Times New Roman"/>
        </w:rPr>
        <w:t xml:space="preserve">Trata-se da garantia contra dispensa imotivada do trabalhador. Em 12/08/2011, foi rejeitada pela Comissão do Trabalho da Câmara dos Deputados a Mensagem 59 que, enviada pelo Presidente da República ao Congresso Nacional, objetivava ratificar a Convenção 158 da OIT. </w:t>
      </w:r>
    </w:p>
  </w:footnote>
  <w:footnote w:id="543">
    <w:p w:rsidR="00DD31B9" w:rsidRPr="00485359" w:rsidRDefault="00DD31B9" w:rsidP="000F038F">
      <w:pPr>
        <w:autoSpaceDE w:val="0"/>
        <w:autoSpaceDN w:val="0"/>
        <w:adjustRightInd w:val="0"/>
        <w:spacing w:after="0" w:line="240" w:lineRule="auto"/>
        <w:rPr>
          <w:rFonts w:ascii="Times New Roman" w:hAnsi="Times New Roman"/>
          <w:sz w:val="20"/>
          <w:szCs w:val="20"/>
        </w:rPr>
      </w:pPr>
      <w:r w:rsidRPr="00485359">
        <w:rPr>
          <w:rStyle w:val="Refdenotaderodap"/>
          <w:rFonts w:ascii="Times New Roman" w:hAnsi="Times New Roman"/>
        </w:rPr>
        <w:footnoteRef/>
      </w:r>
      <w:r w:rsidRPr="00485359">
        <w:rPr>
          <w:rFonts w:ascii="Times New Roman" w:hAnsi="Times New Roman"/>
          <w:sz w:val="20"/>
          <w:szCs w:val="20"/>
        </w:rPr>
        <w:t xml:space="preserve"> A proposta do Imposto sobre Grandes Fortunas (IGF) aparecia nos debates do CDES principalmente por meio do GT Reforma Tributária. A respeito do Imposto sobre Grandes Fortunas e Heranças (IGF) dizia o relatório do GT: “</w:t>
      </w:r>
      <w:r w:rsidRPr="00485359">
        <w:rPr>
          <w:rFonts w:ascii="Times New Roman" w:hAnsi="Times New Roman"/>
          <w:i/>
          <w:iCs/>
          <w:sz w:val="20"/>
          <w:szCs w:val="20"/>
        </w:rPr>
        <w:t>O CDES considera importante regulamentar o dispositivo constitucional que trata da tributação sobre grandes fortunas e sobre heranças, entendendo que deve ser feito de forma que não desestimule a poupança e o investimento</w:t>
      </w:r>
      <w:r w:rsidRPr="00485359">
        <w:rPr>
          <w:rFonts w:ascii="Times New Roman" w:hAnsi="Times New Roman"/>
          <w:sz w:val="20"/>
          <w:szCs w:val="20"/>
        </w:rPr>
        <w:t>” (</w:t>
      </w:r>
      <w:r w:rsidRPr="006F1BCE">
        <w:rPr>
          <w:rFonts w:ascii="Times New Roman" w:hAnsi="Times New Roman"/>
          <w:sz w:val="20"/>
          <w:szCs w:val="20"/>
        </w:rPr>
        <w:t xml:space="preserve">SRI. SEDES. </w:t>
      </w:r>
      <w:r w:rsidRPr="006F1BCE">
        <w:rPr>
          <w:rFonts w:ascii="Times New Roman" w:hAnsi="Times New Roman"/>
          <w:i/>
          <w:sz w:val="20"/>
          <w:szCs w:val="20"/>
        </w:rPr>
        <w:t>Relatório do Grupo de Trabalho Reforma Tributária</w:t>
      </w:r>
      <w:r w:rsidRPr="006F1BCE">
        <w:rPr>
          <w:rFonts w:ascii="Times New Roman" w:hAnsi="Times New Roman"/>
          <w:sz w:val="20"/>
          <w:szCs w:val="20"/>
        </w:rPr>
        <w:t>. Brasília, Presidência da República, CDES, 2007, p. 05).</w:t>
      </w:r>
      <w:r w:rsidRPr="00485359">
        <w:rPr>
          <w:rFonts w:ascii="Times New Roman" w:hAnsi="Times New Roman"/>
          <w:sz w:val="20"/>
          <w:szCs w:val="20"/>
        </w:rPr>
        <w:t xml:space="preserve"> Na 22ª reunião plenária o conselheiro Antoninho Trevisan havia alertado que “houve uma discussão difícil sobre impostos sobre grandes fortunas e heranças. Nós entendemos que é necessário regulamentar o dispositivo constitucional que trata deste assunto” (Cf. Ata da reunião, p. 23).  O sindicalista José Lopez Feijóo (CUT) também se pronunciou sobre o IGF na 23ª reunião: “(...) isso está na Constituição, não foi regulamentada até hoje, o Brasil é um dos poucos países que quer ser grande, em que herança não é taxada. (...). Não dá, isso é um equívoco, incentiva a não produzir, a não crescer, a não enriquecer a Nação” (Cf. Ata da reunião, p. 28). Inclusive lamentavam que o projeto de Reforma Tributária do governo enviado para o Congresso Nacional não havia endossado esta e outras propostas do Relatório do GT, como se lê na Ata da 24ª reunião, p. 18, apresentado pelo sindicalista Antonio Neto (CGTB). </w:t>
      </w:r>
      <w:r>
        <w:rPr>
          <w:rFonts w:ascii="Times New Roman" w:hAnsi="Times New Roman"/>
          <w:sz w:val="20"/>
          <w:szCs w:val="20"/>
        </w:rPr>
        <w:t>Nos d</w:t>
      </w:r>
      <w:r w:rsidRPr="00485359">
        <w:rPr>
          <w:rFonts w:ascii="Times New Roman" w:hAnsi="Times New Roman"/>
          <w:sz w:val="20"/>
          <w:szCs w:val="20"/>
        </w:rPr>
        <w:t xml:space="preserve">ocumentos definitivos (que precisavam ser aprovados pela plenária) como os Pareceres do GT ou a Moção o controverso tema não aparecia. </w:t>
      </w:r>
    </w:p>
  </w:footnote>
  <w:footnote w:id="544">
    <w:p w:rsidR="00DD31B9" w:rsidRPr="001F42B9" w:rsidRDefault="00DD31B9" w:rsidP="000F038F">
      <w:pPr>
        <w:pStyle w:val="Textodenotaderodap"/>
        <w:rPr>
          <w:rFonts w:ascii="Times New Roman" w:hAnsi="Times New Roman"/>
        </w:rPr>
      </w:pPr>
      <w:r w:rsidRPr="001F42B9">
        <w:rPr>
          <w:rStyle w:val="Refdenotaderodap"/>
          <w:rFonts w:ascii="Times New Roman" w:hAnsi="Times New Roman"/>
        </w:rPr>
        <w:footnoteRef/>
      </w:r>
      <w:r>
        <w:rPr>
          <w:rFonts w:ascii="Times New Roman" w:hAnsi="Times New Roman"/>
        </w:rPr>
        <w:t>Em 2011, sob a vigência do Plano Brasil Maior, foi implementada a desoneração da folha de pagamento apenas a quatro setores: confecções, produção de calçados, móveis e software. Atualmente beneficia 56 setores da economia e, a partir da lei 13.043 de novembro de 2014, tornou-se permanente.</w:t>
      </w:r>
    </w:p>
  </w:footnote>
  <w:footnote w:id="545">
    <w:p w:rsidR="00DD31B9" w:rsidRPr="00BF1E1D" w:rsidRDefault="00DD31B9" w:rsidP="000F038F">
      <w:pPr>
        <w:pStyle w:val="Textodenotaderodap"/>
        <w:rPr>
          <w:rFonts w:ascii="Times New Roman" w:hAnsi="Times New Roman"/>
        </w:rPr>
      </w:pPr>
      <w:r w:rsidRPr="00BF1E1D">
        <w:rPr>
          <w:rStyle w:val="Refdenotaderodap"/>
          <w:rFonts w:ascii="Times New Roman" w:hAnsi="Times New Roman"/>
        </w:rPr>
        <w:footnoteRef/>
      </w:r>
      <w:r w:rsidRPr="00BF1E1D">
        <w:rPr>
          <w:rFonts w:ascii="Times New Roman" w:hAnsi="Times New Roman"/>
        </w:rPr>
        <w:t xml:space="preserve"> O 3º Encontro expediu o documento “Nota do CDES sobre a Crise Econômica Internacional”, In: SRI. SEDES. </w:t>
      </w:r>
      <w:r w:rsidRPr="00BF1E1D">
        <w:rPr>
          <w:rFonts w:ascii="Times New Roman" w:hAnsi="Times New Roman"/>
          <w:i/>
        </w:rPr>
        <w:t>Trajetória do Debate no CDES sobre a Crise Econômica...</w:t>
      </w:r>
      <w:r w:rsidRPr="00BF1E1D">
        <w:rPr>
          <w:rFonts w:ascii="Times New Roman" w:hAnsi="Times New Roman"/>
        </w:rPr>
        <w:t>p. 29-30.</w:t>
      </w:r>
      <w:r>
        <w:rPr>
          <w:rFonts w:ascii="Times New Roman" w:hAnsi="Times New Roman"/>
        </w:rPr>
        <w:t xml:space="preserve"> O documento está disponível em &lt;</w:t>
      </w:r>
      <w:r w:rsidRPr="006D6D31">
        <w:rPr>
          <w:rFonts w:ascii="Times New Roman" w:hAnsi="Times New Roman"/>
        </w:rPr>
        <w:t>http://www.cdes.gov.br/evento/4001/ga-conjuntura-economica-monitoramento-da-crise-economica-internacional-encontro-iii-monitoramento-perspectivas-e-efeitos-da-crise-economica-internacional.html</w:t>
      </w:r>
      <w:r>
        <w:rPr>
          <w:rFonts w:ascii="Times New Roman" w:hAnsi="Times New Roman"/>
        </w:rPr>
        <w:t>&gt;. Acesso 14/03/2015.</w:t>
      </w:r>
    </w:p>
  </w:footnote>
  <w:footnote w:id="546">
    <w:p w:rsidR="00DD31B9" w:rsidRPr="00BF1E1D" w:rsidRDefault="00DD31B9" w:rsidP="000F038F">
      <w:pPr>
        <w:pStyle w:val="Textodenotaderodap"/>
        <w:rPr>
          <w:rFonts w:ascii="Times New Roman" w:hAnsi="Times New Roman"/>
        </w:rPr>
      </w:pPr>
      <w:r w:rsidRPr="00BF1E1D">
        <w:rPr>
          <w:rStyle w:val="Refdenotaderodap"/>
          <w:rFonts w:ascii="Times New Roman" w:hAnsi="Times New Roman"/>
        </w:rPr>
        <w:footnoteRef/>
      </w:r>
      <w:r w:rsidRPr="00BF1E1D">
        <w:rPr>
          <w:rFonts w:ascii="Times New Roman" w:hAnsi="Times New Roman"/>
        </w:rPr>
        <w:t xml:space="preserve"> “Os conselheiros e conselheiras do CDES reafirmam: (...) A relevância de fortalecer ações para o restabelecimento do crédito destinado às atividades produtivas – indústria, a agropecuária, os serviços e o comércio – o que exige a intervenção da autoridade monetária com relação aos bancos públicos e privados” </w:t>
      </w:r>
      <w:r>
        <w:rPr>
          <w:rFonts w:ascii="Times New Roman" w:hAnsi="Times New Roman"/>
        </w:rPr>
        <w:t>(idem, p.</w:t>
      </w:r>
      <w:r w:rsidRPr="00BF1E1D">
        <w:rPr>
          <w:rFonts w:ascii="Times New Roman" w:hAnsi="Times New Roman"/>
        </w:rPr>
        <w:t xml:space="preserve"> 29</w:t>
      </w:r>
      <w:r>
        <w:rPr>
          <w:rFonts w:ascii="Times New Roman" w:hAnsi="Times New Roman"/>
        </w:rPr>
        <w:t>)</w:t>
      </w:r>
      <w:r w:rsidRPr="00BF1E1D">
        <w:rPr>
          <w:rFonts w:ascii="Times New Roman" w:hAnsi="Times New Roman"/>
        </w:rPr>
        <w:t>.</w:t>
      </w:r>
    </w:p>
  </w:footnote>
  <w:footnote w:id="547">
    <w:p w:rsidR="00DD31B9" w:rsidRPr="006D6D31" w:rsidRDefault="00DD31B9" w:rsidP="000F038F">
      <w:pPr>
        <w:pStyle w:val="Textodenotaderodap"/>
        <w:rPr>
          <w:rFonts w:ascii="Times New Roman" w:hAnsi="Times New Roman"/>
        </w:rPr>
      </w:pPr>
      <w:r w:rsidRPr="006D6D31">
        <w:rPr>
          <w:rStyle w:val="Refdenotaderodap"/>
          <w:rFonts w:ascii="Times New Roman" w:hAnsi="Times New Roman"/>
        </w:rPr>
        <w:footnoteRef/>
      </w:r>
      <w:r w:rsidRPr="006D6D31">
        <w:rPr>
          <w:rFonts w:ascii="Times New Roman" w:hAnsi="Times New Roman"/>
        </w:rPr>
        <w:t xml:space="preserve"> SRI. SEDES. GA CONJUNTURA ECONÔMICA – MONITORAMENTO DA CRISE ECONÔMICA INTERNACIONAL</w:t>
      </w:r>
      <w:r w:rsidRPr="006D6D31">
        <w:rPr>
          <w:rFonts w:ascii="Times New Roman" w:hAnsi="Times New Roman"/>
          <w:i/>
        </w:rPr>
        <w:t>. Memória do IV Encontro</w:t>
      </w:r>
      <w:r w:rsidRPr="006D6D31">
        <w:rPr>
          <w:rFonts w:ascii="Times New Roman" w:hAnsi="Times New Roman"/>
        </w:rPr>
        <w:t xml:space="preserve">.  </w:t>
      </w:r>
      <w:r>
        <w:rPr>
          <w:rFonts w:ascii="Times New Roman" w:hAnsi="Times New Roman"/>
        </w:rPr>
        <w:t xml:space="preserve">Disponível em </w:t>
      </w:r>
      <w:r w:rsidRPr="006D6D31">
        <w:rPr>
          <w:rFonts w:ascii="Times New Roman" w:hAnsi="Times New Roman"/>
        </w:rPr>
        <w:t>&lt;http://www.cdes.gov.br/evento/4101/ga-conjuntura-economica-monitoramento-da-crise-economica-internacional-encontro-iv.html</w:t>
      </w:r>
      <w:r>
        <w:rPr>
          <w:rFonts w:ascii="Times New Roman" w:hAnsi="Times New Roman"/>
        </w:rPr>
        <w:t>&gt;. Acesso em 14/03/2015.</w:t>
      </w:r>
    </w:p>
  </w:footnote>
  <w:footnote w:id="548">
    <w:p w:rsidR="00DD31B9" w:rsidRPr="00275AA8" w:rsidRDefault="00DD31B9" w:rsidP="000F038F">
      <w:pPr>
        <w:pStyle w:val="Textodenotaderodap"/>
        <w:rPr>
          <w:rFonts w:ascii="Times New Roman" w:hAnsi="Times New Roman"/>
        </w:rPr>
      </w:pPr>
      <w:r w:rsidRPr="00275AA8">
        <w:rPr>
          <w:rStyle w:val="Refdenotaderodap"/>
          <w:rFonts w:ascii="Times New Roman" w:hAnsi="Times New Roman"/>
        </w:rPr>
        <w:footnoteRef/>
      </w:r>
      <w:r w:rsidRPr="00275AA8">
        <w:rPr>
          <w:rFonts w:ascii="Times New Roman" w:hAnsi="Times New Roman"/>
        </w:rPr>
        <w:t xml:space="preserve"> SRI. SEDES. COMITÊ GESTOR DO CDES E MONITORAMENTO DA CRISE ECONÔMICA INTERNACIONAL. </w:t>
      </w:r>
      <w:r w:rsidRPr="00275AA8">
        <w:rPr>
          <w:rFonts w:ascii="Times New Roman" w:hAnsi="Times New Roman"/>
          <w:i/>
        </w:rPr>
        <w:t xml:space="preserve">Audiência Pública CAE/SENADO FEDERAL. </w:t>
      </w:r>
      <w:r w:rsidRPr="00275AA8">
        <w:rPr>
          <w:rFonts w:ascii="Times New Roman" w:hAnsi="Times New Roman"/>
        </w:rPr>
        <w:t>Relatório. 2009.</w:t>
      </w:r>
    </w:p>
  </w:footnote>
  <w:footnote w:id="549">
    <w:p w:rsidR="00DD31B9" w:rsidRPr="005B3F67" w:rsidRDefault="00DD31B9" w:rsidP="000F038F">
      <w:pPr>
        <w:pStyle w:val="Textodenotaderodap"/>
        <w:rPr>
          <w:rFonts w:ascii="Times New Roman" w:hAnsi="Times New Roman"/>
        </w:rPr>
      </w:pPr>
      <w:r w:rsidRPr="005B3F67">
        <w:rPr>
          <w:rStyle w:val="Refdenotaderodap"/>
          <w:rFonts w:ascii="Times New Roman" w:hAnsi="Times New Roman"/>
        </w:rPr>
        <w:footnoteRef/>
      </w:r>
      <w:r w:rsidRPr="005B3F67">
        <w:rPr>
          <w:rFonts w:ascii="Times New Roman" w:hAnsi="Times New Roman"/>
        </w:rPr>
        <w:t xml:space="preserve"> O documento expedido nesse evento foi “Impactos sociais da crise econômica internacional e os desafios do desenvolvimento: o papel do Estado e da sociedade civil”. In: SRI. SEDES. </w:t>
      </w:r>
      <w:r w:rsidRPr="005B3F67">
        <w:rPr>
          <w:rFonts w:ascii="Times New Roman" w:hAnsi="Times New Roman"/>
          <w:i/>
        </w:rPr>
        <w:t>Trajetória do Debate no CDES sobre a Crise Econômica...</w:t>
      </w:r>
      <w:r w:rsidRPr="005B3F67">
        <w:rPr>
          <w:rFonts w:ascii="Times New Roman" w:hAnsi="Times New Roman"/>
        </w:rPr>
        <w:t>p. 41-46.</w:t>
      </w:r>
    </w:p>
  </w:footnote>
  <w:footnote w:id="550">
    <w:p w:rsidR="00DD31B9" w:rsidRPr="005B3F67" w:rsidRDefault="00DD31B9" w:rsidP="000F038F">
      <w:pPr>
        <w:pStyle w:val="Textodenotaderodap"/>
        <w:rPr>
          <w:rFonts w:ascii="Times New Roman" w:hAnsi="Times New Roman"/>
        </w:rPr>
      </w:pPr>
      <w:r w:rsidRPr="005B3F67">
        <w:rPr>
          <w:rStyle w:val="Refdenotaderodap"/>
          <w:rFonts w:ascii="Times New Roman" w:hAnsi="Times New Roman"/>
        </w:rPr>
        <w:footnoteRef/>
      </w:r>
      <w:r w:rsidRPr="005B3F67">
        <w:rPr>
          <w:rFonts w:ascii="Times New Roman" w:hAnsi="Times New Roman"/>
        </w:rPr>
        <w:t xml:space="preserve"> O documento afirma que o BB e a CEF “no momento da crise, geram contrapesos à contração do crédito internacional, propiciam capital de giro e investimentos” e que o BNDES “constitui hoje um dos principais eixos de mobilização econômica e sustentação da política industrial”</w:t>
      </w:r>
      <w:r>
        <w:rPr>
          <w:rFonts w:ascii="Times New Roman" w:hAnsi="Times New Roman"/>
        </w:rPr>
        <w:t xml:space="preserve"> (idem, p. 42).</w:t>
      </w:r>
    </w:p>
  </w:footnote>
  <w:footnote w:id="551">
    <w:p w:rsidR="00DD31B9" w:rsidRPr="004A779F" w:rsidRDefault="00DD31B9" w:rsidP="000F038F">
      <w:pPr>
        <w:pStyle w:val="Textodenotaderodap"/>
        <w:rPr>
          <w:rFonts w:ascii="Times New Roman" w:hAnsi="Times New Roman"/>
        </w:rPr>
      </w:pPr>
      <w:r w:rsidRPr="004A779F">
        <w:rPr>
          <w:rStyle w:val="Refdenotaderodap"/>
          <w:rFonts w:ascii="Times New Roman" w:hAnsi="Times New Roman"/>
        </w:rPr>
        <w:footnoteRef/>
      </w:r>
      <w:r>
        <w:rPr>
          <w:rFonts w:ascii="Times New Roman" w:hAnsi="Times New Roman"/>
        </w:rPr>
        <w:t>Documento “3º Encontro Monitoramento, Perspectivas e Efeitos da Crise Econômica Internacional”, de 22 de janeiro de 2009. Disponível em &lt;</w:t>
      </w:r>
      <w:r w:rsidRPr="004A779F">
        <w:rPr>
          <w:rFonts w:ascii="Times New Roman" w:hAnsi="Times New Roman"/>
        </w:rPr>
        <w:t>http://www.cdes.gov.br/evento/4001/ga-conjuntura-economica-monitoramento-da-crise-economica-internacional-encontro-iii-monitoramento-perspectivas-e-efeitos-da-crise-economica-internacional.html</w:t>
      </w:r>
      <w:r>
        <w:rPr>
          <w:rFonts w:ascii="Times New Roman" w:hAnsi="Times New Roman"/>
        </w:rPr>
        <w:t>&gt;. Acesso em 20/01/2015.</w:t>
      </w:r>
    </w:p>
  </w:footnote>
  <w:footnote w:id="552">
    <w:p w:rsidR="00DD31B9" w:rsidRPr="00682DD4" w:rsidRDefault="00DD31B9" w:rsidP="000F038F">
      <w:pPr>
        <w:pStyle w:val="Textodenotaderodap"/>
        <w:rPr>
          <w:rFonts w:ascii="Times New Roman" w:hAnsi="Times New Roman"/>
        </w:rPr>
      </w:pPr>
      <w:r w:rsidRPr="00682DD4">
        <w:rPr>
          <w:rStyle w:val="Refdenotaderodap"/>
          <w:rFonts w:ascii="Times New Roman" w:hAnsi="Times New Roman"/>
        </w:rPr>
        <w:footnoteRef/>
      </w:r>
      <w:r>
        <w:rPr>
          <w:rFonts w:ascii="Times New Roman" w:hAnsi="Times New Roman"/>
        </w:rPr>
        <w:t>Ver “Histórico das taxas de juros fixadas pelo Copom e evolução da taxa Selic”</w:t>
      </w:r>
      <w:r>
        <w:rPr>
          <w:rFonts w:ascii="Verdana" w:hAnsi="Verdana"/>
          <w:color w:val="444444"/>
          <w:sz w:val="12"/>
          <w:szCs w:val="12"/>
          <w:shd w:val="clear" w:color="auto" w:fill="FFFFFF"/>
        </w:rPr>
        <w:t xml:space="preserve">. </w:t>
      </w:r>
      <w:r>
        <w:rPr>
          <w:rFonts w:ascii="Times New Roman" w:hAnsi="Times New Roman"/>
        </w:rPr>
        <w:t>Disponível em &lt;</w:t>
      </w:r>
      <w:r w:rsidRPr="00682DD4">
        <w:rPr>
          <w:rFonts w:ascii="Times New Roman" w:hAnsi="Times New Roman"/>
        </w:rPr>
        <w:t>http://www.bcb.gov.br/?COPOMJUROS</w:t>
      </w:r>
      <w:r>
        <w:rPr>
          <w:rFonts w:ascii="Times New Roman" w:hAnsi="Times New Roman"/>
        </w:rPr>
        <w:t>&gt;.  Acesso em 20/01/2015.</w:t>
      </w:r>
    </w:p>
  </w:footnote>
  <w:footnote w:id="553">
    <w:p w:rsidR="00DD31B9" w:rsidRPr="00736DBF" w:rsidRDefault="00DD31B9" w:rsidP="000F038F">
      <w:pPr>
        <w:pStyle w:val="Textodenotaderodap"/>
        <w:rPr>
          <w:rFonts w:ascii="Times New Roman" w:hAnsi="Times New Roman"/>
        </w:rPr>
      </w:pPr>
      <w:r w:rsidRPr="000330BA">
        <w:rPr>
          <w:rStyle w:val="Refdenotaderodap"/>
          <w:rFonts w:ascii="Times New Roman" w:hAnsi="Times New Roman"/>
        </w:rPr>
        <w:footnoteRef/>
      </w:r>
      <w:r>
        <w:rPr>
          <w:rFonts w:ascii="Times New Roman" w:hAnsi="Times New Roman"/>
        </w:rPr>
        <w:t xml:space="preserve">Há um claro conflito entre o que apresenta o relatório da </w:t>
      </w:r>
      <w:r w:rsidRPr="006B6D54">
        <w:rPr>
          <w:rFonts w:ascii="Times New Roman" w:eastAsia="Times New Roman" w:hAnsi="Times New Roman"/>
          <w:bCs/>
        </w:rPr>
        <w:t>1ª Mesa-Redonda da Sociedade Civil Brasil – União Europeia</w:t>
      </w:r>
      <w:r>
        <w:rPr>
          <w:rFonts w:ascii="Times New Roman" w:eastAsia="Times New Roman" w:hAnsi="Times New Roman"/>
          <w:bCs/>
        </w:rPr>
        <w:t xml:space="preserve">, em 07 e 08 de julho de 2009 e a fala de Trevisan, pouco mais de um mês, na plenária do Conselho. Entendo que Trevisan (e o Comitê Gestor ao qual integrava) considerava a tendência de queda taxa de juros algo a ser valorizado </w:t>
      </w:r>
      <w:r w:rsidRPr="00C11225">
        <w:rPr>
          <w:rFonts w:ascii="Times New Roman" w:eastAsia="Times New Roman" w:hAnsi="Times New Roman"/>
          <w:bCs/>
          <w:i/>
        </w:rPr>
        <w:t>junto ao Presidente</w:t>
      </w:r>
      <w:r>
        <w:rPr>
          <w:rFonts w:ascii="Times New Roman" w:eastAsia="Times New Roman" w:hAnsi="Times New Roman"/>
          <w:bCs/>
        </w:rPr>
        <w:t xml:space="preserve"> como uma conquista </w:t>
      </w:r>
      <w:r>
        <w:rPr>
          <w:rFonts w:ascii="Times New Roman" w:eastAsia="Times New Roman" w:hAnsi="Times New Roman"/>
          <w:bCs/>
          <w:i/>
        </w:rPr>
        <w:t xml:space="preserve">também </w:t>
      </w:r>
      <w:r>
        <w:rPr>
          <w:rFonts w:ascii="Times New Roman" w:eastAsia="Times New Roman" w:hAnsi="Times New Roman"/>
          <w:bCs/>
        </w:rPr>
        <w:t>do CDES, legitimando-o e, em outros fóruns, a vertente crítica desses conselheiros se aguçava. Pesquisei nas atas seguintes à fala de Trevisan e foi possível encontrar insatisfação quanto às altas taxas de juros pelos conselheiros Artur Henrique (CUT), Murillo de Aragão (Arko Advice) e pelo próprio Trevisan. Esse, em especial, reclamava da magnitude de recursos pagos em razão dos juros da dívida interna:</w:t>
      </w:r>
      <w:r w:rsidRPr="00736DBF">
        <w:rPr>
          <w:rFonts w:ascii="Times New Roman" w:hAnsi="Times New Roman"/>
        </w:rPr>
        <w:t>“Eu acho que essa é uma questão que falamos pouco nesse Conselho, mas nós temos que repetir. Juro da dívida interna é despesa, é consumo de recursos, é consumo de recursos da educação, da saúde e nós achamos que é uma linha contábil”</w:t>
      </w:r>
      <w:r>
        <w:rPr>
          <w:rFonts w:ascii="Times New Roman" w:hAnsi="Times New Roman"/>
        </w:rPr>
        <w:t xml:space="preserve"> (Cf. Ata da 32ª Reunião Plenária, 09/12/2012, p. 10).</w:t>
      </w:r>
    </w:p>
  </w:footnote>
  <w:footnote w:id="554">
    <w:p w:rsidR="00DD31B9" w:rsidRPr="00B07D23" w:rsidRDefault="00DD31B9" w:rsidP="000F038F">
      <w:pPr>
        <w:pStyle w:val="Textodenotaderodap"/>
        <w:rPr>
          <w:rFonts w:ascii="Times New Roman" w:hAnsi="Times New Roman"/>
        </w:rPr>
      </w:pPr>
      <w:r w:rsidRPr="00B07D23">
        <w:rPr>
          <w:rStyle w:val="Refdenotaderodap"/>
          <w:rFonts w:ascii="Times New Roman" w:hAnsi="Times New Roman"/>
        </w:rPr>
        <w:footnoteRef/>
      </w:r>
      <w:r>
        <w:rPr>
          <w:rFonts w:ascii="Times New Roman" w:hAnsi="Times New Roman"/>
        </w:rPr>
        <w:t>Note-se que o conselheiro-empresário Luiz Albert Neto, presidente da ABIMAQ, figura dentre os membros da Junta FINAME do BNDES (Cf. quadro 4.3).</w:t>
      </w:r>
    </w:p>
  </w:footnote>
  <w:footnote w:id="555">
    <w:p w:rsidR="00DD31B9" w:rsidRPr="001A2C9B" w:rsidRDefault="00DD31B9" w:rsidP="000F038F">
      <w:pPr>
        <w:pStyle w:val="Textodenotaderodap"/>
        <w:rPr>
          <w:rFonts w:ascii="Times New Roman" w:hAnsi="Times New Roman"/>
        </w:rPr>
      </w:pPr>
      <w:r w:rsidRPr="001A2C9B">
        <w:rPr>
          <w:rStyle w:val="Refdenotaderodap"/>
          <w:rFonts w:ascii="Times New Roman" w:hAnsi="Times New Roman"/>
        </w:rPr>
        <w:footnoteRef/>
      </w:r>
      <w:r>
        <w:rPr>
          <w:rFonts w:ascii="Times New Roman" w:hAnsi="Times New Roman"/>
        </w:rPr>
        <w:t xml:space="preserve">Principais itens desonerados: </w:t>
      </w:r>
      <w:r w:rsidRPr="001A2C9B">
        <w:rPr>
          <w:rFonts w:ascii="Times New Roman" w:hAnsi="Times New Roman"/>
        </w:rPr>
        <w:t>válvulas industriais, árvores de transmissão, microscópios eletrônicos, hastes de bombeamento, congeladores industriais; partes de vários tipos de máquinas e equipamentos</w:t>
      </w:r>
      <w:r>
        <w:rPr>
          <w:rFonts w:ascii="Times New Roman" w:hAnsi="Times New Roman"/>
        </w:rPr>
        <w:t>.</w:t>
      </w:r>
    </w:p>
  </w:footnote>
  <w:footnote w:id="556">
    <w:p w:rsidR="00DD31B9" w:rsidRPr="00D34E07" w:rsidRDefault="00DD31B9" w:rsidP="000F038F">
      <w:pPr>
        <w:pStyle w:val="Textodenotaderodap"/>
        <w:rPr>
          <w:rFonts w:ascii="Times New Roman" w:hAnsi="Times New Roman"/>
        </w:rPr>
      </w:pPr>
      <w:r w:rsidRPr="00D34E07">
        <w:rPr>
          <w:rStyle w:val="Refdenotaderodap"/>
          <w:rFonts w:ascii="Times New Roman" w:hAnsi="Times New Roman"/>
        </w:rPr>
        <w:footnoteRef/>
      </w:r>
      <w:r>
        <w:rPr>
          <w:rFonts w:ascii="Times New Roman" w:hAnsi="Times New Roman"/>
        </w:rPr>
        <w:t xml:space="preserve">SEDES. </w:t>
      </w:r>
      <w:r w:rsidRPr="007945DF">
        <w:rPr>
          <w:rFonts w:ascii="Times New Roman" w:hAnsi="Times New Roman"/>
          <w:i/>
        </w:rPr>
        <w:t>Trajetória do Debate no CDES sobre a Crise Econômica Internacional</w:t>
      </w:r>
      <w:r w:rsidRPr="007945DF">
        <w:rPr>
          <w:rFonts w:ascii="Times New Roman" w:hAnsi="Times New Roman"/>
        </w:rPr>
        <w:t>, 2ª ed. 2013</w:t>
      </w:r>
      <w:r>
        <w:rPr>
          <w:rFonts w:ascii="Times New Roman" w:hAnsi="Times New Roman"/>
        </w:rPr>
        <w:t>, p. 42.</w:t>
      </w:r>
    </w:p>
  </w:footnote>
  <w:footnote w:id="557">
    <w:p w:rsidR="00DD31B9" w:rsidRDefault="00DD31B9" w:rsidP="000F038F">
      <w:pPr>
        <w:pStyle w:val="Textodenotaderodap"/>
        <w:rPr>
          <w:rFonts w:ascii="Times New Roman" w:hAnsi="Times New Roman"/>
        </w:rPr>
      </w:pPr>
      <w:r w:rsidRPr="00FF1ADE">
        <w:rPr>
          <w:rStyle w:val="Refdenotaderodap"/>
          <w:rFonts w:ascii="Times New Roman" w:hAnsi="Times New Roman"/>
        </w:rPr>
        <w:footnoteRef/>
      </w:r>
      <w:r>
        <w:rPr>
          <w:rFonts w:ascii="Times New Roman" w:hAnsi="Times New Roman"/>
        </w:rPr>
        <w:t>Disponível em &lt;</w:t>
      </w:r>
      <w:r w:rsidRPr="00FF1ADE">
        <w:rPr>
          <w:rFonts w:ascii="Times New Roman" w:hAnsi="Times New Roman"/>
        </w:rPr>
        <w:t>http://www.bndes.gov.br/SiteBNDES/export/sites/default/bndes_pt/Galerias/</w:t>
      </w:r>
    </w:p>
    <w:p w:rsidR="00DD31B9" w:rsidRPr="00FF1ADE" w:rsidRDefault="00DD31B9" w:rsidP="000F038F">
      <w:pPr>
        <w:pStyle w:val="Textodenotaderodap"/>
        <w:rPr>
          <w:rFonts w:ascii="Times New Roman" w:hAnsi="Times New Roman"/>
        </w:rPr>
      </w:pPr>
      <w:r w:rsidRPr="00FF1ADE">
        <w:rPr>
          <w:rFonts w:ascii="Times New Roman" w:hAnsi="Times New Roman"/>
        </w:rPr>
        <w:t>Arquivos/empresa/download/AF_DEPCO_Portugues.pdf</w:t>
      </w:r>
      <w:r>
        <w:rPr>
          <w:rFonts w:ascii="Times New Roman" w:hAnsi="Times New Roman"/>
        </w:rPr>
        <w:t>&gt;. Acesso em 15/12/2015. O gráfico foi adaptado para contemplar apenas o período 2002-2010.</w:t>
      </w:r>
    </w:p>
  </w:footnote>
  <w:footnote w:id="558">
    <w:p w:rsidR="00DD31B9" w:rsidRPr="000E47E9" w:rsidRDefault="00DD31B9" w:rsidP="000F038F">
      <w:pPr>
        <w:pStyle w:val="Textodenotaderodap"/>
        <w:rPr>
          <w:rFonts w:ascii="Times New Roman" w:hAnsi="Times New Roman"/>
        </w:rPr>
      </w:pPr>
      <w:r w:rsidRPr="000E47E9">
        <w:rPr>
          <w:rStyle w:val="Refdenotaderodap"/>
          <w:rFonts w:ascii="Times New Roman" w:hAnsi="Times New Roman"/>
        </w:rPr>
        <w:footnoteRef/>
      </w:r>
      <w:r w:rsidRPr="000E47E9">
        <w:rPr>
          <w:rFonts w:ascii="Times New Roman" w:hAnsi="Times New Roman"/>
        </w:rPr>
        <w:t xml:space="preserve"> Boletim</w:t>
      </w:r>
      <w:r>
        <w:rPr>
          <w:rFonts w:ascii="Times New Roman" w:hAnsi="Times New Roman"/>
        </w:rPr>
        <w:t xml:space="preserve"> “Economia Brasileira em Perspectiva”, elaborado pelo Ministério da Fazenda e apresentado na 32ª reunião plenária do CDES. Disponível em &lt;</w:t>
      </w:r>
      <w:r w:rsidRPr="005C26E7">
        <w:rPr>
          <w:rFonts w:ascii="Times New Roman" w:hAnsi="Times New Roman"/>
        </w:rPr>
        <w:t>http://www.cdes.gov.br/evento/3944/pleno-do-cdes-reuniao-ordinaria-n-32.html</w:t>
      </w:r>
      <w:r>
        <w:rPr>
          <w:rFonts w:ascii="Times New Roman" w:hAnsi="Times New Roman"/>
        </w:rPr>
        <w:t>&gt;. Acesso em 19/01/2015.</w:t>
      </w:r>
    </w:p>
  </w:footnote>
  <w:footnote w:id="559">
    <w:p w:rsidR="00DD31B9" w:rsidRPr="00932C6C" w:rsidRDefault="00DD31B9" w:rsidP="000F038F">
      <w:pPr>
        <w:pStyle w:val="Textodenotaderodap"/>
        <w:rPr>
          <w:rFonts w:ascii="Times New Roman" w:hAnsi="Times New Roman"/>
        </w:rPr>
      </w:pPr>
      <w:r w:rsidRPr="00932C6C">
        <w:rPr>
          <w:rStyle w:val="Refdenotaderodap"/>
          <w:rFonts w:ascii="Times New Roman" w:hAnsi="Times New Roman"/>
        </w:rPr>
        <w:footnoteRef/>
      </w:r>
      <w:r>
        <w:rPr>
          <w:rFonts w:ascii="Times New Roman" w:hAnsi="Times New Roman"/>
        </w:rPr>
        <w:t>O assim chamado “Custo Brasil”sustenta-se, segundo o Profº Evilásio Salvador, sobre dois mitos: o primeiro é que o custo da mão de obra no Brasil seria muito elevado e isto dificultaria a competitividade das atividades econômicas; o segundo é que não há comprovação da relação direta entre diminuição dos custos da mão de obra e geração de empregos. (Cf. Revista Poli- Saúde, Educação e Trabalho. Ano VII, nº 37, nov/dez 2014, p. 03).</w:t>
      </w:r>
    </w:p>
  </w:footnote>
  <w:footnote w:id="560">
    <w:p w:rsidR="00DD31B9" w:rsidRPr="000973E7" w:rsidRDefault="00DD31B9" w:rsidP="000F038F">
      <w:pPr>
        <w:pStyle w:val="Textodenotaderodap"/>
        <w:rPr>
          <w:rFonts w:ascii="Times New Roman" w:hAnsi="Times New Roman"/>
        </w:rPr>
      </w:pPr>
      <w:r w:rsidRPr="000973E7">
        <w:rPr>
          <w:rStyle w:val="Refdenotaderodap"/>
          <w:rFonts w:ascii="Times New Roman" w:hAnsi="Times New Roman"/>
        </w:rPr>
        <w:footnoteRef/>
      </w:r>
      <w:r>
        <w:rPr>
          <w:rFonts w:ascii="Times New Roman" w:hAnsi="Times New Roman"/>
        </w:rPr>
        <w:t>Ata da 34ª reunião plenária, 17/06/2010, p. 18.</w:t>
      </w:r>
    </w:p>
  </w:footnote>
  <w:footnote w:id="561">
    <w:p w:rsidR="00DD31B9" w:rsidRPr="00D34E07" w:rsidRDefault="00DD31B9" w:rsidP="000F038F">
      <w:pPr>
        <w:pStyle w:val="Textodenotaderodap"/>
        <w:rPr>
          <w:rFonts w:ascii="Times New Roman" w:hAnsi="Times New Roman"/>
        </w:rPr>
      </w:pPr>
      <w:r w:rsidRPr="004249F7">
        <w:rPr>
          <w:rStyle w:val="Refdenotaderodap"/>
          <w:rFonts w:ascii="Times New Roman" w:hAnsi="Times New Roman"/>
        </w:rPr>
        <w:footnoteRef/>
      </w:r>
      <w:r w:rsidRPr="004249F7">
        <w:rPr>
          <w:rFonts w:ascii="Times New Roman" w:hAnsi="Times New Roman"/>
        </w:rPr>
        <w:t xml:space="preserve"> Segundo Cano e Silva (2010</w:t>
      </w:r>
      <w:r>
        <w:rPr>
          <w:rFonts w:ascii="Times New Roman" w:hAnsi="Times New Roman"/>
        </w:rPr>
        <w:t>: 192</w:t>
      </w:r>
      <w:r w:rsidRPr="004249F7">
        <w:rPr>
          <w:rFonts w:ascii="Times New Roman" w:hAnsi="Times New Roman"/>
        </w:rPr>
        <w:t xml:space="preserve">), no PDP </w:t>
      </w:r>
      <w:r>
        <w:rPr>
          <w:rFonts w:ascii="Times New Roman" w:hAnsi="Times New Roman"/>
        </w:rPr>
        <w:t xml:space="preserve">os setores foram considerados em três grandes grupos: 1º) </w:t>
      </w:r>
      <w:r w:rsidRPr="004249F7">
        <w:rPr>
          <w:rFonts w:ascii="Times New Roman" w:hAnsi="Times New Roman"/>
          <w:i/>
        </w:rPr>
        <w:t>“programas para consolidar e expandir a liderança”</w:t>
      </w:r>
      <w:r>
        <w:rPr>
          <w:rFonts w:ascii="Times New Roman" w:hAnsi="Times New Roman"/>
        </w:rPr>
        <w:t xml:space="preserve"> de setores onde o Brasil já é forte (aeronáutico; petróleo, gás e petroquímica; bioetanol; mineração; celulose e papel; siderurgia; e carnes); 2º) </w:t>
      </w:r>
      <w:r>
        <w:rPr>
          <w:rFonts w:ascii="Times New Roman" w:hAnsi="Times New Roman"/>
          <w:i/>
        </w:rPr>
        <w:t>“programas para favorecer a competitividade”</w:t>
      </w:r>
      <w:r>
        <w:rPr>
          <w:rFonts w:ascii="Times New Roman" w:hAnsi="Times New Roman"/>
        </w:rPr>
        <w:t xml:space="preserve"> tais como o complexo automotivo; bens de capital; indústria naval e cabotagem; têxtil e confecções; couro, calçados e artefatos; madeira e móveis; agroindústrias; construção civil; complexo de serviços; higiene, perfumaria e cosméticos; plásticos; 3º)</w:t>
      </w:r>
      <w:r>
        <w:rPr>
          <w:rFonts w:ascii="Times New Roman" w:hAnsi="Times New Roman"/>
          <w:i/>
        </w:rPr>
        <w:t>“programas mobilizadores em áreas estratégicas”</w:t>
      </w:r>
      <w:r>
        <w:rPr>
          <w:rFonts w:ascii="Times New Roman" w:hAnsi="Times New Roman"/>
        </w:rPr>
        <w:t xml:space="preserve"> abrangendo complexo industrial de saúde; tecnologias de informação e comunicação; energia nuclear; nanotecnologia; biotecnologia; e complexo industrial de defesa. Houve ainda, segundo os autores, o grupo </w:t>
      </w:r>
      <w:r>
        <w:rPr>
          <w:rFonts w:ascii="Times New Roman" w:hAnsi="Times New Roman"/>
          <w:i/>
        </w:rPr>
        <w:t>“destaques estratégicos”</w:t>
      </w:r>
      <w:r>
        <w:rPr>
          <w:rFonts w:ascii="Times New Roman" w:hAnsi="Times New Roman"/>
        </w:rPr>
        <w:t xml:space="preserve">, que contou com seis programas: promoção das exportações; regionalização; micro e pequenas empresas; produção sustentável; integração com a África; integração produtiva da América Latina e Caribe. </w:t>
      </w:r>
      <w:r w:rsidRPr="00D34E07">
        <w:rPr>
          <w:rFonts w:ascii="Times New Roman" w:hAnsi="Times New Roman"/>
        </w:rPr>
        <w:t xml:space="preserve">CANO, Wilson e SILVA, Ana Lucia Gonçalves da. Política Industrial do Governo Lula. In: </w:t>
      </w:r>
      <w:r w:rsidRPr="00D34E07">
        <w:rPr>
          <w:rFonts w:ascii="Times New Roman" w:hAnsi="Times New Roman"/>
          <w:i/>
        </w:rPr>
        <w:t>Os anos Lula</w:t>
      </w:r>
      <w:r w:rsidRPr="00D34E07">
        <w:rPr>
          <w:rFonts w:ascii="Times New Roman" w:hAnsi="Times New Roman"/>
        </w:rPr>
        <w:t>: contribuições para um balanço crítico 2003-2010. RJ: Garamond, 2010.</w:t>
      </w:r>
    </w:p>
  </w:footnote>
  <w:footnote w:id="562">
    <w:p w:rsidR="00DD31B9" w:rsidRPr="00D34E07" w:rsidRDefault="00DD31B9" w:rsidP="000F038F">
      <w:pPr>
        <w:pStyle w:val="Textodenotaderodap"/>
        <w:rPr>
          <w:rFonts w:ascii="Times New Roman" w:hAnsi="Times New Roman"/>
        </w:rPr>
      </w:pPr>
      <w:r w:rsidRPr="00D34E07">
        <w:rPr>
          <w:rStyle w:val="Refdenotaderodap"/>
          <w:rFonts w:ascii="Times New Roman" w:hAnsi="Times New Roman"/>
        </w:rPr>
        <w:footnoteRef/>
      </w:r>
      <w:r>
        <w:rPr>
          <w:rFonts w:ascii="Times New Roman" w:hAnsi="Times New Roman"/>
        </w:rPr>
        <w:t>Disponível em &lt;</w:t>
      </w:r>
      <w:r w:rsidRPr="00243CD2">
        <w:rPr>
          <w:rFonts w:ascii="Times New Roman" w:hAnsi="Times New Roman"/>
        </w:rPr>
        <w:t>http://www.cdes.gov.br/evento/4101/ga-conjuntura-economica-monitoramento-da-crise-economica-internacional-encontro-iv.html</w:t>
      </w:r>
      <w:r>
        <w:rPr>
          <w:rFonts w:ascii="Times New Roman" w:hAnsi="Times New Roman"/>
        </w:rPr>
        <w:t>&gt;. Acesso em 20/01/2015</w:t>
      </w:r>
    </w:p>
  </w:footnote>
  <w:footnote w:id="563">
    <w:p w:rsidR="00DD31B9" w:rsidRPr="00243CD2" w:rsidRDefault="00DD31B9" w:rsidP="000F038F">
      <w:pPr>
        <w:spacing w:after="0" w:line="240" w:lineRule="auto"/>
        <w:jc w:val="both"/>
        <w:rPr>
          <w:rFonts w:ascii="Times New Roman" w:hAnsi="Times New Roman"/>
          <w:sz w:val="20"/>
          <w:szCs w:val="20"/>
        </w:rPr>
      </w:pPr>
      <w:r w:rsidRPr="00243CD2">
        <w:rPr>
          <w:rStyle w:val="Refdenotaderodap"/>
          <w:rFonts w:ascii="Times New Roman" w:hAnsi="Times New Roman"/>
        </w:rPr>
        <w:footnoteRef/>
      </w:r>
      <w:r>
        <w:rPr>
          <w:rFonts w:ascii="Times New Roman" w:hAnsi="Times New Roman"/>
        </w:rPr>
        <w:t>Disponível em &lt;</w:t>
      </w:r>
      <w:r w:rsidRPr="00243CD2">
        <w:rPr>
          <w:rFonts w:ascii="Times New Roman" w:hAnsi="Times New Roman"/>
          <w:color w:val="000000"/>
          <w:sz w:val="20"/>
          <w:szCs w:val="20"/>
        </w:rPr>
        <w:t>http://www.cut.org.br/imprimir/news/2e25daba65f7303c0bc1dfea308c5c0c/</w:t>
      </w:r>
      <w:r>
        <w:rPr>
          <w:rFonts w:ascii="Times New Roman" w:hAnsi="Times New Roman"/>
          <w:color w:val="000000"/>
          <w:sz w:val="20"/>
          <w:szCs w:val="20"/>
        </w:rPr>
        <w:t>&gt;. Acesso em 20/01/2015.</w:t>
      </w:r>
    </w:p>
    <w:p w:rsidR="00DD31B9" w:rsidRPr="00243CD2" w:rsidRDefault="00DD31B9" w:rsidP="000F038F">
      <w:pPr>
        <w:pStyle w:val="Textodenotaderodap"/>
        <w:rPr>
          <w:rFonts w:ascii="Times New Roman" w:hAnsi="Times New Roman"/>
        </w:rPr>
      </w:pPr>
    </w:p>
  </w:footnote>
  <w:footnote w:id="564">
    <w:p w:rsidR="00DD31B9" w:rsidRPr="00306050" w:rsidRDefault="00DD31B9" w:rsidP="000F038F">
      <w:pPr>
        <w:pStyle w:val="Textodenotaderodap"/>
        <w:rPr>
          <w:rFonts w:ascii="Times New Roman" w:hAnsi="Times New Roman"/>
        </w:rPr>
      </w:pPr>
      <w:r w:rsidRPr="00306050">
        <w:rPr>
          <w:rStyle w:val="Refdenotaderodap"/>
          <w:rFonts w:ascii="Times New Roman" w:hAnsi="Times New Roman"/>
        </w:rPr>
        <w:footnoteRef/>
      </w:r>
      <w:r>
        <w:rPr>
          <w:rFonts w:ascii="Times New Roman" w:hAnsi="Times New Roman"/>
        </w:rPr>
        <w:t>“Novo programa BNDES PROCAP BK transforma relação entre Capital e Trabalho”. Informativo Mensal Informaq. Disponível em &lt;</w:t>
      </w:r>
      <w:hyperlink r:id="rId18" w:history="1">
        <w:r w:rsidRPr="000F038F">
          <w:rPr>
            <w:rStyle w:val="Hyperlink"/>
            <w:rFonts w:ascii="Times New Roman" w:hAnsi="Times New Roman"/>
            <w:color w:val="auto"/>
            <w:u w:val="none"/>
          </w:rPr>
          <w:t>http://www.abimaq.org.br/informaq_show.asp?id=2546</w:t>
        </w:r>
      </w:hyperlink>
      <w:r w:rsidRPr="00306050">
        <w:rPr>
          <w:rFonts w:ascii="Times New Roman" w:hAnsi="Times New Roman"/>
        </w:rPr>
        <w:t>&gt;</w:t>
      </w:r>
      <w:r>
        <w:rPr>
          <w:rFonts w:ascii="Times New Roman" w:hAnsi="Times New Roman"/>
        </w:rPr>
        <w:t>. Acesso 14/03/2015.</w:t>
      </w:r>
    </w:p>
  </w:footnote>
  <w:footnote w:id="565">
    <w:p w:rsidR="00DD31B9" w:rsidRDefault="00DD31B9" w:rsidP="002228CB">
      <w:pPr>
        <w:autoSpaceDE w:val="0"/>
        <w:autoSpaceDN w:val="0"/>
        <w:adjustRightInd w:val="0"/>
        <w:spacing w:after="0" w:line="240" w:lineRule="auto"/>
      </w:pPr>
      <w:r w:rsidRPr="00F15DF8">
        <w:rPr>
          <w:rStyle w:val="Refdenotaderodap"/>
          <w:rFonts w:ascii="Times New Roman" w:hAnsi="Times New Roman"/>
          <w:sz w:val="20"/>
          <w:szCs w:val="20"/>
        </w:rPr>
        <w:footnoteRef/>
      </w:r>
      <w:r>
        <w:rPr>
          <w:rFonts w:ascii="Times New Roman" w:hAnsi="Times New Roman"/>
          <w:color w:val="000000"/>
          <w:sz w:val="20"/>
          <w:szCs w:val="20"/>
        </w:rPr>
        <w:t xml:space="preserve">Segue o empresário: </w:t>
      </w:r>
      <w:r w:rsidRPr="002D042D">
        <w:rPr>
          <w:rFonts w:ascii="Times New Roman" w:hAnsi="Times New Roman"/>
          <w:color w:val="000000"/>
          <w:sz w:val="20"/>
          <w:szCs w:val="20"/>
        </w:rPr>
        <w:t xml:space="preserve">“O olho dele vai estar na máquina, </w:t>
      </w:r>
      <w:r w:rsidRPr="00F15DF8">
        <w:rPr>
          <w:rFonts w:ascii="Times New Roman" w:hAnsi="Times New Roman"/>
          <w:b/>
          <w:color w:val="000000"/>
          <w:sz w:val="20"/>
          <w:szCs w:val="20"/>
        </w:rPr>
        <w:t>cuidando como se fosse dele</w:t>
      </w:r>
      <w:r w:rsidRPr="002D042D">
        <w:rPr>
          <w:rFonts w:ascii="Times New Roman" w:hAnsi="Times New Roman"/>
          <w:color w:val="000000"/>
          <w:sz w:val="20"/>
          <w:szCs w:val="20"/>
        </w:rPr>
        <w:t xml:space="preserve">, ele vai dar sugestões para aproveitamento de materiais, para economizar, </w:t>
      </w:r>
      <w:r w:rsidRPr="00F15DF8">
        <w:rPr>
          <w:rFonts w:ascii="Times New Roman" w:hAnsi="Times New Roman"/>
          <w:b/>
          <w:color w:val="000000"/>
          <w:sz w:val="20"/>
          <w:szCs w:val="20"/>
        </w:rPr>
        <w:t>reduzir custos e melhorar a produtividade</w:t>
      </w:r>
      <w:r w:rsidRPr="002D042D">
        <w:rPr>
          <w:rFonts w:ascii="Times New Roman" w:hAnsi="Times New Roman"/>
          <w:color w:val="000000"/>
          <w:sz w:val="20"/>
          <w:szCs w:val="20"/>
        </w:rPr>
        <w:t xml:space="preserve">. Você vai trazer o pessoal para </w:t>
      </w:r>
      <w:r w:rsidRPr="00F15DF8">
        <w:rPr>
          <w:rFonts w:ascii="Times New Roman" w:hAnsi="Times New Roman"/>
          <w:b/>
          <w:color w:val="000000"/>
          <w:sz w:val="20"/>
          <w:szCs w:val="20"/>
        </w:rPr>
        <w:t>brigar por você e não brigar contra você</w:t>
      </w:r>
      <w:r>
        <w:rPr>
          <w:rFonts w:ascii="Times New Roman" w:hAnsi="Times New Roman"/>
          <w:color w:val="000000"/>
          <w:sz w:val="20"/>
          <w:szCs w:val="20"/>
        </w:rPr>
        <w:t xml:space="preserve">”. </w:t>
      </w:r>
      <w:r w:rsidRPr="00F15DF8">
        <w:rPr>
          <w:rFonts w:ascii="Times New Roman" w:hAnsi="Times New Roman"/>
          <w:color w:val="000000"/>
          <w:sz w:val="20"/>
          <w:szCs w:val="20"/>
        </w:rPr>
        <w:t>Disponível em &lt;http://www.abimaq.org.br/informaq_show.asp?id=2546&gt;. Acesso em 18/01/2015.</w:t>
      </w:r>
      <w:r>
        <w:rPr>
          <w:rFonts w:ascii="Times New Roman" w:hAnsi="Times New Roman"/>
          <w:color w:val="000000"/>
          <w:sz w:val="20"/>
          <w:szCs w:val="20"/>
        </w:rPr>
        <w:t xml:space="preserve"> Grifos meus.</w:t>
      </w:r>
    </w:p>
  </w:footnote>
  <w:footnote w:id="566">
    <w:p w:rsidR="00DD31B9" w:rsidRPr="00F15DF8" w:rsidRDefault="00DD31B9" w:rsidP="000F038F">
      <w:pPr>
        <w:pStyle w:val="Textodenotaderodap"/>
        <w:rPr>
          <w:rFonts w:ascii="Times New Roman" w:hAnsi="Times New Roman"/>
        </w:rPr>
      </w:pPr>
      <w:r w:rsidRPr="00F15DF8">
        <w:rPr>
          <w:rStyle w:val="Refdenotaderodap"/>
          <w:rFonts w:ascii="Times New Roman" w:hAnsi="Times New Roman"/>
        </w:rPr>
        <w:footnoteRef/>
      </w:r>
      <w:r>
        <w:rPr>
          <w:rFonts w:ascii="Times New Roman" w:hAnsi="Times New Roman"/>
        </w:rPr>
        <w:t>Ata da 32ª reunião plenária, 09/12/2009, p. 32.</w:t>
      </w:r>
    </w:p>
  </w:footnote>
  <w:footnote w:id="567">
    <w:p w:rsidR="00DD31B9" w:rsidRDefault="00DD31B9" w:rsidP="000F038F">
      <w:pPr>
        <w:pStyle w:val="Textodenotaderodap"/>
        <w:rPr>
          <w:rFonts w:ascii="Times New Roman" w:hAnsi="Times New Roman"/>
        </w:rPr>
      </w:pPr>
      <w:r w:rsidRPr="001D1E5F">
        <w:rPr>
          <w:rStyle w:val="Refdenotaderodap"/>
          <w:rFonts w:ascii="Times New Roman" w:hAnsi="Times New Roman"/>
        </w:rPr>
        <w:footnoteRef/>
      </w:r>
      <w:r>
        <w:rPr>
          <w:rFonts w:ascii="Times New Roman" w:hAnsi="Times New Roman"/>
        </w:rPr>
        <w:t>Jornal o Estado de São Paulo, “Ministério da Fazenda virou “Porta da Esperança”, reportagem de Adriana Fernandes, 28 de fevereiro de 2009. Disponível em &lt;</w:t>
      </w:r>
      <w:r w:rsidRPr="001D1E5F">
        <w:rPr>
          <w:rFonts w:ascii="Times New Roman" w:hAnsi="Times New Roman"/>
        </w:rPr>
        <w:t>http://economia.estadao.com.br/noticias</w:t>
      </w:r>
    </w:p>
    <w:p w:rsidR="00DD31B9" w:rsidRPr="001D1E5F" w:rsidRDefault="00DD31B9" w:rsidP="000F038F">
      <w:pPr>
        <w:pStyle w:val="Textodenotaderodap"/>
        <w:rPr>
          <w:rFonts w:ascii="Times New Roman" w:hAnsi="Times New Roman"/>
        </w:rPr>
      </w:pPr>
      <w:r w:rsidRPr="001D1E5F">
        <w:rPr>
          <w:rFonts w:ascii="Times New Roman" w:hAnsi="Times New Roman"/>
        </w:rPr>
        <w:t>/geral,ministerio-da-fazenda-virou-porta-da-esperanca,331445</w:t>
      </w:r>
      <w:r>
        <w:rPr>
          <w:rFonts w:ascii="Times New Roman" w:hAnsi="Times New Roman"/>
        </w:rPr>
        <w:t>&gt;. Acesso em 14/01/2015.</w:t>
      </w:r>
    </w:p>
  </w:footnote>
  <w:footnote w:id="568">
    <w:p w:rsidR="00DD31B9" w:rsidRPr="00C46507" w:rsidRDefault="00DD31B9" w:rsidP="000F038F">
      <w:pPr>
        <w:pStyle w:val="Textodenotaderodap"/>
        <w:rPr>
          <w:rFonts w:ascii="Times New Roman" w:hAnsi="Times New Roman"/>
        </w:rPr>
      </w:pPr>
      <w:r w:rsidRPr="00C46507">
        <w:rPr>
          <w:rStyle w:val="Refdenotaderodap"/>
          <w:rFonts w:ascii="Times New Roman" w:hAnsi="Times New Roman"/>
        </w:rPr>
        <w:footnoteRef/>
      </w:r>
      <w:r>
        <w:rPr>
          <w:rFonts w:ascii="Times New Roman" w:hAnsi="Times New Roman"/>
        </w:rPr>
        <w:t>Não havia representação sindical-laboral nas reuniões do GAC. Por isso, queixou-se o conselheiro Arthur Henrique (CUT) na 32ª reunião plenária no sentido de “cobrar a participação dos trabalhadores no grupo de acompanhamento ou grupo de aumento da competitividade, para que possam participar efetivamente desse grupo discutindo, inclusive, as contrapartidas em relação a tão importantes medidas que foram apresentadas aqui. Temas como o trabalho decente e a garantia do emprego como contrapartidas sociais importantes devem ser mais bem debatidos”. (Ata da 32ª Reunião Plenária, 09/12/09, p. 20).</w:t>
      </w:r>
    </w:p>
  </w:footnote>
  <w:footnote w:id="569">
    <w:p w:rsidR="00DD31B9" w:rsidRPr="00585FA6" w:rsidRDefault="00DD31B9" w:rsidP="000F038F">
      <w:pPr>
        <w:pStyle w:val="Textodenotaderodap"/>
        <w:rPr>
          <w:rFonts w:ascii="Times New Roman" w:hAnsi="Times New Roman"/>
        </w:rPr>
      </w:pPr>
      <w:r w:rsidRPr="00585FA6">
        <w:rPr>
          <w:rStyle w:val="Refdenotaderodap"/>
          <w:rFonts w:ascii="Times New Roman" w:hAnsi="Times New Roman"/>
        </w:rPr>
        <w:footnoteRef/>
      </w:r>
      <w:r>
        <w:rPr>
          <w:rFonts w:ascii="Times New Roman" w:hAnsi="Times New Roman"/>
        </w:rPr>
        <w:t xml:space="preserve">GRAMSCI, Antonio. </w:t>
      </w:r>
      <w:r>
        <w:rPr>
          <w:rFonts w:ascii="Times New Roman" w:hAnsi="Times New Roman"/>
          <w:i/>
        </w:rPr>
        <w:t>Cadernos do Cárcere</w:t>
      </w:r>
      <w:r>
        <w:rPr>
          <w:rFonts w:ascii="Times New Roman" w:hAnsi="Times New Roman"/>
        </w:rPr>
        <w:t>, vol. 3. Maquiavel.</w:t>
      </w:r>
      <w:r w:rsidRPr="00FA71B4">
        <w:rPr>
          <w:rFonts w:ascii="Times New Roman" w:hAnsi="Times New Roman"/>
        </w:rPr>
        <w:t>Notas sobre o Estado e a política.2ª ed, Rio de Janeiro, 2002,</w:t>
      </w:r>
      <w:r>
        <w:rPr>
          <w:rFonts w:ascii="Times New Roman" w:hAnsi="Times New Roman"/>
        </w:rPr>
        <w:t xml:space="preserve"> p. 48.</w:t>
      </w:r>
    </w:p>
  </w:footnote>
  <w:footnote w:id="570">
    <w:p w:rsidR="00DD31B9" w:rsidRPr="001A6A73" w:rsidRDefault="00DD31B9" w:rsidP="000F038F">
      <w:pPr>
        <w:pStyle w:val="Textodenotaderodap"/>
        <w:rPr>
          <w:rFonts w:ascii="Times New Roman" w:hAnsi="Times New Roman"/>
        </w:rPr>
      </w:pPr>
      <w:r w:rsidRPr="001A6A73">
        <w:rPr>
          <w:rStyle w:val="Refdenotaderodap"/>
          <w:rFonts w:ascii="Times New Roman" w:hAnsi="Times New Roman"/>
        </w:rPr>
        <w:footnoteRef/>
      </w:r>
      <w:r>
        <w:rPr>
          <w:rFonts w:ascii="Times New Roman" w:hAnsi="Times New Roman"/>
        </w:rPr>
        <w:t>Outros empresários participavam do GAC, mas não eram conselheiros apesar de suas entidades ou grupos econômicos dele fazerem parte: um representante do Grupo Pão de Açúcar que não conseguimos identificar o nome; Melvin Fox, presidente da ABRAMAT e Aguinaldo Diniz Filho, presidente da ABIT. Ressaltamos a dificuldade em conhecer os empresários membros do GAC já que nunca foi divulgada uma lista de nomes que o compunha. Boa parte dos conselheiros-empresários que figuram no quadro 4.3 foi identificada por fotos tiradas da mesa de trabalho GAC, recolhidas no Banco de Mídia da CNI.  Disponível em &lt;</w:t>
      </w:r>
      <w:r w:rsidRPr="001D5F75">
        <w:rPr>
          <w:rFonts w:ascii="Times New Roman" w:hAnsi="Times New Roman"/>
        </w:rPr>
        <w:t>http://www.portaldaindustria.com.br/bm/albuns/cni/18513/6a-reuniao-do-grupo-de-acompanhamento-da-crise#prettyPhoto</w:t>
      </w:r>
      <w:r>
        <w:rPr>
          <w:rFonts w:ascii="Times New Roman" w:hAnsi="Times New Roman"/>
        </w:rPr>
        <w:t>&gt;. Acesso em 16/01/2015.</w:t>
      </w:r>
    </w:p>
  </w:footnote>
  <w:footnote w:id="571">
    <w:p w:rsidR="00DD31B9" w:rsidRPr="000D7321" w:rsidRDefault="00DD31B9" w:rsidP="000F038F">
      <w:pPr>
        <w:pStyle w:val="Textodenotaderodap"/>
        <w:rPr>
          <w:rFonts w:ascii="Times New Roman" w:hAnsi="Times New Roman"/>
        </w:rPr>
      </w:pPr>
      <w:r w:rsidRPr="000D7321">
        <w:rPr>
          <w:rStyle w:val="Refdenotaderodap"/>
          <w:rFonts w:ascii="Times New Roman" w:hAnsi="Times New Roman"/>
        </w:rPr>
        <w:footnoteRef/>
      </w:r>
      <w:r>
        <w:rPr>
          <w:rFonts w:ascii="Times New Roman" w:hAnsi="Times New Roman"/>
        </w:rPr>
        <w:t>Os incentivos à indústria automobilística também eram anunciados nas plenárias do Conselho por algumas autoridades governamentais, inclusive pelo próprio Lula da Silva. O conselheiro Jackson Schneider, presidente da ANFAVEA, no período de crise econômica, contudo, não era daqueles que mais participavam dos eventos e das intervenções nas plenárias, pelo contrário. Presume-se que o CDES não era o canal prioritário a manutenção e ampliação dos interesses deste setor.</w:t>
      </w:r>
    </w:p>
  </w:footnote>
  <w:footnote w:id="572">
    <w:p w:rsidR="00DD31B9" w:rsidRPr="006B6544" w:rsidRDefault="00DD31B9" w:rsidP="00837AC8">
      <w:pPr>
        <w:pStyle w:val="Textodenotaderodap"/>
        <w:rPr>
          <w:rFonts w:ascii="Times New Roman" w:hAnsi="Times New Roman"/>
        </w:rPr>
      </w:pPr>
      <w:r w:rsidRPr="006B6544">
        <w:rPr>
          <w:rStyle w:val="Refdenotaderodap"/>
          <w:rFonts w:ascii="Times New Roman" w:hAnsi="Times New Roman"/>
        </w:rPr>
        <w:footnoteRef/>
      </w:r>
      <w:r w:rsidRPr="006B6544">
        <w:rPr>
          <w:rFonts w:ascii="Times New Roman" w:hAnsi="Times New Roman"/>
        </w:rPr>
        <w:t xml:space="preserve"> FONTES, Virgínia. Imperialismo e crise. In: ARRUDA SAMPAIO JR. Plinio de (org.).</w:t>
      </w:r>
      <w:r w:rsidRPr="006B6544">
        <w:rPr>
          <w:rFonts w:ascii="Times New Roman" w:hAnsi="Times New Roman"/>
          <w:i/>
        </w:rPr>
        <w:t xml:space="preserve"> Capitalismo em crise: a natureza e dinâmica da crise econômica mundial</w:t>
      </w:r>
      <w:r w:rsidRPr="006B6544">
        <w:rPr>
          <w:rFonts w:ascii="Times New Roman" w:hAnsi="Times New Roman"/>
        </w:rPr>
        <w:t>. São Paulo: Editora Instituto José Luís e Rosa Sundermann, 2009, p. 60.</w:t>
      </w:r>
    </w:p>
  </w:footnote>
  <w:footnote w:id="573">
    <w:p w:rsidR="00DD31B9" w:rsidRPr="004C0DA9" w:rsidRDefault="00DD31B9" w:rsidP="00837AC8">
      <w:pPr>
        <w:pStyle w:val="Textodenotaderodap"/>
        <w:rPr>
          <w:rFonts w:ascii="Times New Roman" w:hAnsi="Times New Roman"/>
          <w:lang w:val="en-US"/>
        </w:rPr>
      </w:pPr>
      <w:r w:rsidRPr="006B6544">
        <w:rPr>
          <w:rStyle w:val="Refdenotaderodap"/>
          <w:rFonts w:ascii="Times New Roman" w:hAnsi="Times New Roman"/>
        </w:rPr>
        <w:footnoteRef/>
      </w:r>
      <w:r>
        <w:rPr>
          <w:rFonts w:ascii="Times New Roman" w:hAnsi="Times New Roman"/>
        </w:rPr>
        <w:t xml:space="preserve">FONTES, Virgínia. </w:t>
      </w:r>
      <w:r>
        <w:rPr>
          <w:rFonts w:ascii="Times New Roman" w:hAnsi="Times New Roman"/>
          <w:i/>
        </w:rPr>
        <w:t xml:space="preserve">O Brasil e o capital-imperialismo... </w:t>
      </w:r>
      <w:r w:rsidRPr="004C0DA9">
        <w:rPr>
          <w:rFonts w:ascii="Times New Roman" w:hAnsi="Times New Roman"/>
          <w:lang w:val="en-US"/>
        </w:rPr>
        <w:t>Op. cit., p. 43.</w:t>
      </w:r>
    </w:p>
  </w:footnote>
  <w:footnote w:id="574">
    <w:p w:rsidR="00DD31B9" w:rsidRPr="006B6544" w:rsidRDefault="00DD31B9" w:rsidP="00837AC8">
      <w:pPr>
        <w:autoSpaceDE w:val="0"/>
        <w:autoSpaceDN w:val="0"/>
        <w:adjustRightInd w:val="0"/>
        <w:spacing w:after="0" w:line="240" w:lineRule="auto"/>
        <w:rPr>
          <w:rFonts w:ascii="Times New Roman" w:hAnsi="Times New Roman"/>
          <w:sz w:val="20"/>
          <w:szCs w:val="20"/>
        </w:rPr>
      </w:pPr>
      <w:r w:rsidRPr="006B6544">
        <w:rPr>
          <w:rStyle w:val="Refdenotaderodap"/>
          <w:rFonts w:ascii="Times New Roman" w:hAnsi="Times New Roman"/>
          <w:sz w:val="20"/>
          <w:szCs w:val="20"/>
        </w:rPr>
        <w:footnoteRef/>
      </w:r>
      <w:r w:rsidRPr="0078655D">
        <w:rPr>
          <w:rFonts w:ascii="Times New Roman" w:hAnsi="Times New Roman"/>
          <w:sz w:val="20"/>
          <w:szCs w:val="20"/>
          <w:lang w:val="en-US"/>
        </w:rPr>
        <w:t xml:space="preserve">POCHMANN, Márcio. </w:t>
      </w:r>
      <w:r w:rsidRPr="006B6544">
        <w:rPr>
          <w:rFonts w:ascii="Times New Roman" w:hAnsi="Times New Roman"/>
          <w:i/>
          <w:sz w:val="20"/>
          <w:szCs w:val="20"/>
        </w:rPr>
        <w:t>Nova classe média?:</w:t>
      </w:r>
      <w:r w:rsidRPr="006B6544">
        <w:rPr>
          <w:rFonts w:ascii="Times New Roman" w:hAnsi="Times New Roman"/>
          <w:sz w:val="20"/>
          <w:szCs w:val="20"/>
        </w:rPr>
        <w:t>o trabalho na base da pirâmide social brasileira. São Paulo: Boitempo, 2012.</w:t>
      </w:r>
    </w:p>
  </w:footnote>
  <w:footnote w:id="575">
    <w:p w:rsidR="00DD31B9" w:rsidRPr="00850C7C" w:rsidRDefault="00DD31B9" w:rsidP="00837AC8">
      <w:pPr>
        <w:pStyle w:val="Textodenotaderodap"/>
        <w:rPr>
          <w:rFonts w:ascii="Times New Roman" w:hAnsi="Times New Roman"/>
        </w:rPr>
      </w:pPr>
      <w:r w:rsidRPr="00850C7C">
        <w:rPr>
          <w:rStyle w:val="Refdenotaderodap"/>
          <w:rFonts w:ascii="Times New Roman" w:hAnsi="Times New Roman"/>
        </w:rPr>
        <w:footnoteRef/>
      </w:r>
      <w:r>
        <w:rPr>
          <w:rFonts w:ascii="Times New Roman" w:hAnsi="Times New Roman"/>
        </w:rPr>
        <w:t xml:space="preserve">É inequívoco que a crescente formalização do mercado de trabalho incorpora direitos trabalhistas e previdenciários a um grande contingente da classe trabalhadora. Por outro lado, isto não a isenta, de forma alguma, da subordinação às condições aviltantes e degradantes de trabalho e de vida nas grandes periferias das cidades brasileiras, relacionadas diretamente às formas de expansão capitalistas.     </w:t>
      </w:r>
    </w:p>
  </w:footnote>
  <w:footnote w:id="576">
    <w:p w:rsidR="00DD31B9" w:rsidRPr="00B54CFE" w:rsidRDefault="00DD31B9" w:rsidP="00837AC8">
      <w:pPr>
        <w:pStyle w:val="Textodenotaderodap"/>
        <w:rPr>
          <w:rFonts w:ascii="Times New Roman" w:hAnsi="Times New Roman"/>
        </w:rPr>
      </w:pPr>
      <w:r w:rsidRPr="00B54CFE">
        <w:rPr>
          <w:rStyle w:val="Refdenotaderodap"/>
          <w:rFonts w:ascii="Times New Roman" w:hAnsi="Times New Roman"/>
        </w:rPr>
        <w:footnoteRef/>
      </w:r>
      <w:r>
        <w:rPr>
          <w:rFonts w:ascii="Times New Roman" w:hAnsi="Times New Roman"/>
        </w:rPr>
        <w:t>A vertentesocial-</w:t>
      </w:r>
      <w:r w:rsidRPr="00B54CFE">
        <w:rPr>
          <w:rFonts w:ascii="Times New Roman" w:hAnsi="Times New Roman"/>
        </w:rPr>
        <w:t>liberal do pensamento econômico</w:t>
      </w:r>
      <w:r>
        <w:rPr>
          <w:rFonts w:ascii="Times New Roman" w:hAnsi="Times New Roman"/>
        </w:rPr>
        <w:t>, adotada pelo governo Lula,aborda a“</w:t>
      </w:r>
      <w:r w:rsidRPr="00B54CFE">
        <w:rPr>
          <w:rFonts w:ascii="Times New Roman" w:hAnsi="Times New Roman"/>
        </w:rPr>
        <w:t>classe média</w:t>
      </w:r>
      <w:r>
        <w:rPr>
          <w:rFonts w:ascii="Times New Roman" w:hAnsi="Times New Roman"/>
        </w:rPr>
        <w:t>”</w:t>
      </w:r>
      <w:r w:rsidRPr="00B54CFE">
        <w:rPr>
          <w:rFonts w:ascii="Times New Roman" w:hAnsi="Times New Roman"/>
        </w:rPr>
        <w:t xml:space="preserve"> unicamente através de um critério monetário (rendimentos), considerando a inserção no mercado consumidor como ascensão social. </w:t>
      </w:r>
      <w:r>
        <w:rPr>
          <w:rFonts w:ascii="Times New Roman" w:hAnsi="Times New Roman"/>
        </w:rPr>
        <w:t xml:space="preserve">Em suas apresentações nas plenárias do CDES, o ministro Mantega utilizava largamente o conceito de “nova classe média” tão apenas neste sentido: ascensão da renda e do consumo de parcela da classe trabalhadora. O conselheiro Marcelo Neri (FGV-RJ), como se sabe, foi um dos principais formuladores e defensores da tese do surgimento de uma suposta “nova classe média” brasileira a partir do segundo governo Lula da Silva. Desde 2012, Neri assumiu o cargo de presidente do IPEA e, a partir de 2013, alçou também ao cargo de Ministro Interino da Secretaria de Assuntos Estratégicos (SAE/PR), o que lhe permitiu tornar-se secretário-executivo do CDES.  </w:t>
      </w:r>
    </w:p>
  </w:footnote>
  <w:footnote w:id="577">
    <w:p w:rsidR="00DD31B9" w:rsidRPr="0051241A" w:rsidRDefault="00DD31B9">
      <w:pPr>
        <w:pStyle w:val="Textodenotaderodap"/>
        <w:rPr>
          <w:rFonts w:ascii="Times New Roman" w:hAnsi="Times New Roman"/>
        </w:rPr>
      </w:pPr>
      <w:r w:rsidRPr="0051241A">
        <w:rPr>
          <w:rStyle w:val="Refdenotaderodap"/>
          <w:rFonts w:ascii="Times New Roman" w:hAnsi="Times New Roman"/>
        </w:rPr>
        <w:footnoteRef/>
      </w:r>
      <w:r w:rsidRPr="0051241A">
        <w:rPr>
          <w:rFonts w:ascii="Times New Roman" w:hAnsi="Times New Roman"/>
        </w:rPr>
        <w:t xml:space="preserve"> POCHMANN, Márcio. </w:t>
      </w:r>
      <w:r w:rsidRPr="0051241A">
        <w:rPr>
          <w:rFonts w:ascii="Times New Roman" w:hAnsi="Times New Roman"/>
          <w:i/>
        </w:rPr>
        <w:t>Nova classe média?</w:t>
      </w:r>
      <w:r>
        <w:rPr>
          <w:rFonts w:ascii="Times New Roman" w:hAnsi="Times New Roman"/>
          <w:i/>
        </w:rPr>
        <w:t>...</w:t>
      </w:r>
      <w:r>
        <w:rPr>
          <w:rFonts w:ascii="Times New Roman" w:hAnsi="Times New Roman"/>
        </w:rPr>
        <w:t xml:space="preserve"> Op. cit., p. 30.</w:t>
      </w:r>
    </w:p>
  </w:footnote>
  <w:footnote w:id="578">
    <w:p w:rsidR="00DD31B9" w:rsidRDefault="00DD31B9" w:rsidP="00837AC8">
      <w:pPr>
        <w:pStyle w:val="Textodenotaderodap"/>
        <w:rPr>
          <w:rFonts w:ascii="Times New Roman" w:hAnsi="Times New Roman"/>
          <w:color w:val="1A1A1A"/>
          <w:shd w:val="clear" w:color="auto" w:fill="FFFFFF"/>
        </w:rPr>
      </w:pPr>
      <w:r w:rsidRPr="007C5934">
        <w:rPr>
          <w:rStyle w:val="Refdenotaderodap"/>
          <w:rFonts w:ascii="Times New Roman" w:hAnsi="Times New Roman"/>
        </w:rPr>
        <w:footnoteRef/>
      </w:r>
      <w:r w:rsidRPr="007C5934">
        <w:rPr>
          <w:rFonts w:ascii="Times New Roman" w:hAnsi="Times New Roman"/>
        </w:rPr>
        <w:t xml:space="preserve"> MATTOS, Marcelo Badaró. </w:t>
      </w:r>
      <w:r w:rsidRPr="007C5934">
        <w:rPr>
          <w:rFonts w:ascii="Times New Roman" w:hAnsi="Times New Roman"/>
          <w:i/>
        </w:rPr>
        <w:t>Inicia-se um novo ciclo de lutas da classe trabalhadora brasileira</w:t>
      </w:r>
      <w:r w:rsidRPr="007C5934">
        <w:rPr>
          <w:rFonts w:ascii="Times New Roman" w:hAnsi="Times New Roman"/>
        </w:rPr>
        <w:t xml:space="preserve">?. Entrevista concedida à Revista UHI. Publicado em agosto de 2012. </w:t>
      </w:r>
      <w:r w:rsidRPr="007C5934">
        <w:rPr>
          <w:rFonts w:ascii="Times New Roman" w:hAnsi="Times New Roman"/>
          <w:color w:val="1A1A1A"/>
          <w:shd w:val="clear" w:color="auto" w:fill="FFFFFF"/>
        </w:rPr>
        <w:t>Disponível em &lt;http://www.ihu.unisinos.br/entrevistas</w:t>
      </w:r>
    </w:p>
    <w:p w:rsidR="00DD31B9" w:rsidRPr="007C5934" w:rsidRDefault="00DD31B9" w:rsidP="00837AC8">
      <w:pPr>
        <w:pStyle w:val="Textodenotaderodap"/>
      </w:pPr>
      <w:r w:rsidRPr="007C5934">
        <w:rPr>
          <w:rFonts w:ascii="Times New Roman" w:hAnsi="Times New Roman"/>
          <w:color w:val="1A1A1A"/>
          <w:shd w:val="clear" w:color="auto" w:fill="FFFFFF"/>
        </w:rPr>
        <w:t>/532070-empregos-ancorados-em-baixos-salarios-e-greves-fragmentadas-a-realidade-trabalhista-brasileira-entrevista-especial-com-marcelo-badaro-mattos&gt;. Acesso em 26/12/2014.</w:t>
      </w:r>
    </w:p>
  </w:footnote>
  <w:footnote w:id="579">
    <w:p w:rsidR="00DD31B9" w:rsidRPr="006B6544" w:rsidRDefault="00DD31B9" w:rsidP="00837AC8">
      <w:pPr>
        <w:pStyle w:val="Textodenotaderodap"/>
        <w:rPr>
          <w:rFonts w:ascii="Times New Roman" w:hAnsi="Times New Roman"/>
        </w:rPr>
      </w:pPr>
      <w:r w:rsidRPr="006B6544">
        <w:rPr>
          <w:rStyle w:val="Refdenotaderodap"/>
          <w:rFonts w:ascii="Times New Roman" w:hAnsi="Times New Roman"/>
        </w:rPr>
        <w:footnoteRef/>
      </w:r>
      <w:r w:rsidRPr="006B6544">
        <w:rPr>
          <w:rFonts w:ascii="Times New Roman" w:hAnsi="Times New Roman"/>
        </w:rPr>
        <w:t xml:space="preserve"> BOURDIEU, Pierre. </w:t>
      </w:r>
      <w:r w:rsidRPr="006B6544">
        <w:rPr>
          <w:rFonts w:ascii="Times New Roman" w:hAnsi="Times New Roman"/>
          <w:i/>
        </w:rPr>
        <w:t xml:space="preserve">Contrafogos... </w:t>
      </w:r>
      <w:r w:rsidRPr="006B6544">
        <w:rPr>
          <w:rFonts w:ascii="Times New Roman" w:hAnsi="Times New Roman"/>
        </w:rPr>
        <w:t>Op. cit., p. 120.</w:t>
      </w:r>
    </w:p>
  </w:footnote>
  <w:footnote w:id="580">
    <w:p w:rsidR="00DD31B9" w:rsidRPr="00CB77D8" w:rsidRDefault="00DD31B9" w:rsidP="00837AC8">
      <w:pPr>
        <w:pStyle w:val="Textodenotaderodap"/>
        <w:rPr>
          <w:rFonts w:ascii="Times New Roman" w:hAnsi="Times New Roman"/>
        </w:rPr>
      </w:pPr>
      <w:r w:rsidRPr="00CB77D8">
        <w:rPr>
          <w:rStyle w:val="Refdenotaderodap"/>
          <w:rFonts w:ascii="Times New Roman" w:hAnsi="Times New Roman"/>
        </w:rPr>
        <w:footnoteRef/>
      </w:r>
      <w:r w:rsidRPr="00CB77D8">
        <w:rPr>
          <w:rFonts w:ascii="Times New Roman" w:hAnsi="Times New Roman"/>
        </w:rPr>
        <w:t xml:space="preserve"> Idem, p. 125.</w:t>
      </w:r>
    </w:p>
  </w:footnote>
  <w:footnote w:id="581">
    <w:p w:rsidR="00DD31B9" w:rsidRPr="00CB77D8" w:rsidRDefault="00DD31B9" w:rsidP="00837AC8">
      <w:pPr>
        <w:pStyle w:val="Textodenotaderodap"/>
        <w:rPr>
          <w:rFonts w:ascii="Times New Roman" w:hAnsi="Times New Roman"/>
        </w:rPr>
      </w:pPr>
      <w:r w:rsidRPr="00CB77D8">
        <w:rPr>
          <w:rStyle w:val="Refdenotaderodap"/>
          <w:rFonts w:ascii="Times New Roman" w:hAnsi="Times New Roman"/>
        </w:rPr>
        <w:footnoteRef/>
      </w:r>
      <w:r w:rsidRPr="00CB77D8">
        <w:rPr>
          <w:rFonts w:ascii="Times New Roman" w:hAnsi="Times New Roman"/>
        </w:rPr>
        <w:t xml:space="preserve"> Idem.</w:t>
      </w:r>
    </w:p>
  </w:footnote>
  <w:footnote w:id="582">
    <w:p w:rsidR="00DD31B9" w:rsidRPr="00CB77D8" w:rsidRDefault="00DD31B9" w:rsidP="00837AC8">
      <w:pPr>
        <w:pStyle w:val="Textodenotaderodap"/>
        <w:rPr>
          <w:rFonts w:ascii="Times New Roman" w:hAnsi="Times New Roman"/>
        </w:rPr>
      </w:pPr>
      <w:r w:rsidRPr="00CB77D8">
        <w:rPr>
          <w:rStyle w:val="Refdenotaderodap"/>
          <w:rFonts w:ascii="Times New Roman" w:hAnsi="Times New Roman"/>
        </w:rPr>
        <w:footnoteRef/>
      </w:r>
      <w:r w:rsidRPr="00CB77D8">
        <w:rPr>
          <w:rFonts w:ascii="Times New Roman" w:hAnsi="Times New Roman"/>
        </w:rPr>
        <w:t xml:space="preserve"> Idem, p. 124-125.</w:t>
      </w:r>
    </w:p>
  </w:footnote>
  <w:footnote w:id="583">
    <w:p w:rsidR="00DD31B9" w:rsidRPr="0090096E" w:rsidRDefault="00DD31B9" w:rsidP="00837AC8">
      <w:pPr>
        <w:pStyle w:val="Textodenotaderodap"/>
        <w:rPr>
          <w:rFonts w:ascii="Times New Roman" w:hAnsi="Times New Roman"/>
        </w:rPr>
      </w:pPr>
      <w:r w:rsidRPr="007C5934">
        <w:rPr>
          <w:rStyle w:val="Refdenotaderodap"/>
          <w:rFonts w:ascii="Times New Roman" w:hAnsi="Times New Roman"/>
        </w:rPr>
        <w:footnoteRef/>
      </w:r>
      <w:r w:rsidRPr="007C5934">
        <w:rPr>
          <w:rFonts w:ascii="Times New Roman" w:hAnsi="Times New Roman"/>
        </w:rPr>
        <w:t xml:space="preserve"> DRUCK, Graça. </w:t>
      </w:r>
      <w:r w:rsidRPr="007C5934">
        <w:rPr>
          <w:rFonts w:ascii="Times New Roman" w:hAnsi="Times New Roman"/>
          <w:i/>
        </w:rPr>
        <w:t>Acordo Coletivo de Trabalho com Propósito Específico é a negação dos direitos trabalhistas</w:t>
      </w:r>
      <w:r w:rsidRPr="007C5934">
        <w:rPr>
          <w:rFonts w:ascii="Times New Roman" w:hAnsi="Times New Roman"/>
        </w:rPr>
        <w:t>. Entrevista concedida à Revista UHI. Publicado em junho de 2014. Disponível em &lt;http://www.ihu.unisinos.br/entrevistas/512572-acordo-coletivo-de-trabalho-com-proposito-especifico-e-a-negacao-dos-direitos-trabalhistas-entrevista-com-graca-druck. Acesso em 30/12/2014</w:t>
      </w:r>
      <w:r>
        <w:rPr>
          <w:rFonts w:ascii="Times New Roman" w:hAnsi="Times New Roman"/>
        </w:rPr>
        <w:t>.</w:t>
      </w:r>
    </w:p>
  </w:footnote>
  <w:footnote w:id="584">
    <w:p w:rsidR="00DD31B9" w:rsidRPr="00AA5A19" w:rsidRDefault="00DD31B9" w:rsidP="00837AC8">
      <w:pPr>
        <w:pStyle w:val="Textodenotaderodap"/>
        <w:rPr>
          <w:rFonts w:ascii="Times New Roman" w:hAnsi="Times New Roman"/>
        </w:rPr>
      </w:pPr>
      <w:r w:rsidRPr="00AA5A19">
        <w:rPr>
          <w:rStyle w:val="Refdenotaderodap"/>
          <w:rFonts w:ascii="Times New Roman" w:hAnsi="Times New Roman"/>
        </w:rPr>
        <w:footnoteRef/>
      </w:r>
      <w:r>
        <w:rPr>
          <w:rFonts w:ascii="Times New Roman" w:hAnsi="Times New Roman"/>
        </w:rPr>
        <w:t>Como nossa investigação documental acerca do CDES não abrange o período do governo de Dilma Rousseff, não sabemos se a proposta deste ACE compareceu ou mesmo se robusteceu nas discussões e encaminhamentos nas plenárias e documentos do Conselho. De qualquer maneira, os atores sociais envolvidos (cúpula burocrático-sindical e lideranças de APH’s empresariais) permaneceram também durante este período no Conselho, isto é, o perfil compósito do CDES manteve-se praticamente inalterado.</w:t>
      </w:r>
    </w:p>
  </w:footnote>
  <w:footnote w:id="585">
    <w:p w:rsidR="00DD31B9" w:rsidRPr="00C24FF9" w:rsidRDefault="00DD31B9" w:rsidP="00837AC8">
      <w:pPr>
        <w:pStyle w:val="Textodenotaderodap"/>
        <w:rPr>
          <w:rFonts w:ascii="Times New Roman" w:hAnsi="Times New Roman"/>
        </w:rPr>
      </w:pPr>
      <w:r w:rsidRPr="00C24FF9">
        <w:rPr>
          <w:rStyle w:val="Refdenotaderodap"/>
          <w:rFonts w:ascii="Times New Roman" w:hAnsi="Times New Roman"/>
        </w:rPr>
        <w:footnoteRef/>
      </w:r>
      <w:r w:rsidRPr="00C24FF9">
        <w:rPr>
          <w:rFonts w:ascii="Times New Roman" w:hAnsi="Times New Roman"/>
        </w:rPr>
        <w:t xml:space="preserve"> O conselheiro credenciava-se como representante do setor de seguros </w:t>
      </w:r>
      <w:r>
        <w:rPr>
          <w:rFonts w:ascii="Times New Roman" w:hAnsi="Times New Roman"/>
        </w:rPr>
        <w:t>da fração financeira</w:t>
      </w:r>
      <w:r w:rsidRPr="00C24FF9">
        <w:rPr>
          <w:rFonts w:ascii="Times New Roman" w:hAnsi="Times New Roman"/>
        </w:rPr>
        <w:t>, cuja trajetória percorreu várias empresas seguradoras, fundos de previdência privada, bancos, ocupou lugar de destaque nas entidades representativas do setor (CNSeg e Fenaseg) na sociedade civil e cargos na sociedade política (secretaria de finanças do Paraná,  presidente do Banco de Desenvolvimento do Paraná, deputado federal pela ARENA, vice-governador e governador do Paraná em 1986, pelo PMDB)</w:t>
      </w:r>
      <w:r>
        <w:rPr>
          <w:rFonts w:ascii="Times New Roman" w:hAnsi="Times New Roman"/>
        </w:rPr>
        <w:t>.</w:t>
      </w:r>
    </w:p>
  </w:footnote>
  <w:footnote w:id="586">
    <w:p w:rsidR="00DD31B9" w:rsidRPr="00370606" w:rsidRDefault="00DD31B9" w:rsidP="00837AC8">
      <w:pPr>
        <w:pStyle w:val="Textodenotaderodap"/>
        <w:rPr>
          <w:rFonts w:ascii="Times New Roman" w:hAnsi="Times New Roman"/>
        </w:rPr>
      </w:pPr>
      <w:r w:rsidRPr="00370606">
        <w:rPr>
          <w:rStyle w:val="Refdenotaderodap"/>
          <w:rFonts w:ascii="Times New Roman" w:hAnsi="Times New Roman"/>
        </w:rPr>
        <w:footnoteRef/>
      </w:r>
      <w:r>
        <w:rPr>
          <w:rFonts w:ascii="Times New Roman" w:hAnsi="Times New Roman"/>
        </w:rPr>
        <w:t>Em junho de 2008, dois meses após esta reunião no CDES, foi realizada a Designação Consultiva de Microsseguros com composição paritária Governo/Mercado. Em 2011, inaugura-se o marco legal das operações de microsseguros no país, concluído em junho de 2012 com a publicação de regulamentação das normas do setor pela Superintendência de Seguros Privados (Susep). Cf. &lt;</w:t>
      </w:r>
      <w:r w:rsidRPr="00370606">
        <w:rPr>
          <w:rFonts w:ascii="Times New Roman" w:hAnsi="Times New Roman"/>
        </w:rPr>
        <w:t>http://www.cnseg.org.br/cnseg/microsseguro/</w:t>
      </w:r>
      <w:r>
        <w:rPr>
          <w:rFonts w:ascii="Times New Roman" w:hAnsi="Times New Roman"/>
        </w:rPr>
        <w:t>&gt;. Acesso em 21/01/2015.</w:t>
      </w:r>
    </w:p>
  </w:footnote>
  <w:footnote w:id="587">
    <w:p w:rsidR="00DD31B9" w:rsidRPr="00906F02" w:rsidRDefault="00DD31B9" w:rsidP="00837AC8">
      <w:pPr>
        <w:pStyle w:val="Textodenotaderodap"/>
        <w:rPr>
          <w:rFonts w:ascii="Times New Roman" w:hAnsi="Times New Roman"/>
        </w:rPr>
      </w:pPr>
      <w:r w:rsidRPr="00906F02">
        <w:rPr>
          <w:rStyle w:val="Refdenotaderodap"/>
          <w:rFonts w:ascii="Times New Roman" w:hAnsi="Times New Roman"/>
        </w:rPr>
        <w:footnoteRef/>
      </w:r>
      <w:r>
        <w:rPr>
          <w:rFonts w:ascii="Times New Roman" w:hAnsi="Times New Roman"/>
        </w:rPr>
        <w:t xml:space="preserve">Compunham o Compromisso Nacional as seguintes entidades de trabalhadores canavieiros: a Federação de Empregados Rurais Assalariados do Estado de São Paulo (Feraesp/CUT) e a Confederação Nacional dos Trabalhadores da Agricultura (Contag); as entidades patronais do setor se faziam representar na Mesa de Negociação através da União das Indústrias de Cana de Açúcar (ÚNICA) e do Fórum Nacional Sucroalcooleiro (FNS). Os ministérios participantes foram o Ministério do Trabalho e Emprego </w:t>
      </w:r>
      <w:r w:rsidRPr="0040778B">
        <w:rPr>
          <w:rFonts w:ascii="Times New Roman" w:hAnsi="Times New Roman"/>
        </w:rPr>
        <w:t>(</w:t>
      </w:r>
      <w:r>
        <w:rPr>
          <w:rFonts w:ascii="Times New Roman" w:hAnsi="Times New Roman"/>
        </w:rPr>
        <w:t>MTE)</w:t>
      </w:r>
      <w:r w:rsidRPr="0040778B">
        <w:rPr>
          <w:rFonts w:ascii="Times New Roman" w:hAnsi="Times New Roman"/>
        </w:rPr>
        <w:t>,</w:t>
      </w:r>
      <w:r>
        <w:rPr>
          <w:rFonts w:ascii="Times New Roman" w:hAnsi="Times New Roman"/>
        </w:rPr>
        <w:t xml:space="preserve"> o</w:t>
      </w:r>
      <w:r w:rsidRPr="0040778B">
        <w:rPr>
          <w:rFonts w:ascii="Times New Roman" w:hAnsi="Times New Roman"/>
        </w:rPr>
        <w:t xml:space="preserve"> M</w:t>
      </w:r>
      <w:r>
        <w:rPr>
          <w:rFonts w:ascii="Times New Roman" w:hAnsi="Times New Roman"/>
        </w:rPr>
        <w:t xml:space="preserve">inistério da Agricultura, </w:t>
      </w:r>
      <w:r w:rsidRPr="0040778B">
        <w:rPr>
          <w:rFonts w:ascii="Times New Roman" w:hAnsi="Times New Roman"/>
        </w:rPr>
        <w:t>P</w:t>
      </w:r>
      <w:r>
        <w:rPr>
          <w:rFonts w:ascii="Times New Roman" w:hAnsi="Times New Roman"/>
        </w:rPr>
        <w:t xml:space="preserve">ecuária e </w:t>
      </w:r>
      <w:r w:rsidRPr="0040778B">
        <w:rPr>
          <w:rFonts w:ascii="Times New Roman" w:hAnsi="Times New Roman"/>
        </w:rPr>
        <w:t>A</w:t>
      </w:r>
      <w:r>
        <w:rPr>
          <w:rFonts w:ascii="Times New Roman" w:hAnsi="Times New Roman"/>
        </w:rPr>
        <w:t>bastecimento (MAPA)</w:t>
      </w:r>
      <w:r w:rsidRPr="0040778B">
        <w:rPr>
          <w:rFonts w:ascii="Times New Roman" w:hAnsi="Times New Roman"/>
        </w:rPr>
        <w:t xml:space="preserve">, </w:t>
      </w:r>
      <w:r>
        <w:rPr>
          <w:rFonts w:ascii="Times New Roman" w:hAnsi="Times New Roman"/>
        </w:rPr>
        <w:t>o Ministério do Desenvolvimento Agrário (</w:t>
      </w:r>
      <w:r w:rsidRPr="0040778B">
        <w:rPr>
          <w:rFonts w:ascii="Times New Roman" w:hAnsi="Times New Roman"/>
        </w:rPr>
        <w:t>MDA</w:t>
      </w:r>
      <w:r>
        <w:rPr>
          <w:rFonts w:ascii="Times New Roman" w:hAnsi="Times New Roman"/>
        </w:rPr>
        <w:t>)</w:t>
      </w:r>
      <w:r w:rsidRPr="0040778B">
        <w:rPr>
          <w:rFonts w:ascii="Times New Roman" w:hAnsi="Times New Roman"/>
        </w:rPr>
        <w:t>,</w:t>
      </w:r>
      <w:r>
        <w:rPr>
          <w:rFonts w:ascii="Times New Roman" w:hAnsi="Times New Roman"/>
        </w:rPr>
        <w:t xml:space="preserve"> o Ministério da Educação (</w:t>
      </w:r>
      <w:r w:rsidRPr="0040778B">
        <w:rPr>
          <w:rFonts w:ascii="Times New Roman" w:hAnsi="Times New Roman"/>
        </w:rPr>
        <w:t>MEC</w:t>
      </w:r>
      <w:r>
        <w:rPr>
          <w:rFonts w:ascii="Times New Roman" w:hAnsi="Times New Roman"/>
        </w:rPr>
        <w:t>)</w:t>
      </w:r>
      <w:r w:rsidRPr="0040778B">
        <w:rPr>
          <w:rFonts w:ascii="Times New Roman" w:hAnsi="Times New Roman"/>
        </w:rPr>
        <w:t>,</w:t>
      </w:r>
      <w:r>
        <w:rPr>
          <w:rFonts w:ascii="Times New Roman" w:hAnsi="Times New Roman"/>
        </w:rPr>
        <w:t xml:space="preserve"> o Ministério do Meio Ambiente (MMA), o Ministério das Relações Exteriores (MRE),o Ministério do Desenvolvimento Social e Combate à Fome (</w:t>
      </w:r>
      <w:r w:rsidRPr="0040778B">
        <w:rPr>
          <w:rFonts w:ascii="Times New Roman" w:hAnsi="Times New Roman"/>
        </w:rPr>
        <w:t>MDS</w:t>
      </w:r>
      <w:r>
        <w:rPr>
          <w:rFonts w:ascii="Times New Roman" w:hAnsi="Times New Roman"/>
        </w:rPr>
        <w:t>) e a Secretaria de Direitos Humanos (</w:t>
      </w:r>
      <w:r w:rsidRPr="0040778B">
        <w:rPr>
          <w:rFonts w:ascii="Times New Roman" w:hAnsi="Times New Roman"/>
        </w:rPr>
        <w:t>SDH)</w:t>
      </w:r>
      <w:r>
        <w:rPr>
          <w:rFonts w:ascii="Times New Roman" w:hAnsi="Times New Roman"/>
        </w:rPr>
        <w:t>.</w:t>
      </w:r>
    </w:p>
  </w:footnote>
  <w:footnote w:id="588">
    <w:p w:rsidR="00DD31B9" w:rsidRDefault="00DD31B9" w:rsidP="00837AC8">
      <w:pPr>
        <w:pStyle w:val="Textodenotaderodap"/>
        <w:rPr>
          <w:rFonts w:ascii="Times New Roman" w:hAnsi="Times New Roman"/>
        </w:rPr>
      </w:pPr>
      <w:r w:rsidRPr="00937DD5">
        <w:rPr>
          <w:rStyle w:val="Refdenotaderodap"/>
          <w:rFonts w:ascii="Times New Roman" w:hAnsi="Times New Roman"/>
        </w:rPr>
        <w:footnoteRef/>
      </w:r>
      <w:r>
        <w:rPr>
          <w:rFonts w:ascii="Times New Roman" w:hAnsi="Times New Roman"/>
        </w:rPr>
        <w:t>Compromisso Nacional para Aperfeiçoar as Condições de Trabalho na Cana-de-Açúcar. Gabinete Ministerial. Secretaria-Geral da Presidência da República. Disponível em &lt;</w:t>
      </w:r>
      <w:r w:rsidRPr="00937DD5">
        <w:rPr>
          <w:rFonts w:ascii="Times New Roman" w:hAnsi="Times New Roman"/>
        </w:rPr>
        <w:t>http://inovacao.enap.gov.br/</w:t>
      </w:r>
    </w:p>
    <w:p w:rsidR="00DD31B9" w:rsidRPr="004314CF" w:rsidRDefault="00DD31B9" w:rsidP="00837AC8">
      <w:pPr>
        <w:pStyle w:val="Textodenotaderodap"/>
        <w:rPr>
          <w:rFonts w:ascii="Times New Roman" w:hAnsi="Times New Roman"/>
        </w:rPr>
      </w:pPr>
      <w:r w:rsidRPr="00937DD5">
        <w:rPr>
          <w:rFonts w:ascii="Times New Roman" w:hAnsi="Times New Roman"/>
          <w:lang w:val="en-US"/>
        </w:rPr>
        <w:t xml:space="preserve">index.php?option=com_docman&amp;task=doc_view&amp;gid=327&gt;. </w:t>
      </w:r>
      <w:r w:rsidRPr="004314CF">
        <w:rPr>
          <w:rFonts w:ascii="Times New Roman" w:hAnsi="Times New Roman"/>
        </w:rPr>
        <w:t>Acesso em 03/01/2015.</w:t>
      </w:r>
    </w:p>
  </w:footnote>
  <w:footnote w:id="589">
    <w:p w:rsidR="00DD31B9" w:rsidRPr="004314CF" w:rsidRDefault="00DD31B9" w:rsidP="00837AC8">
      <w:pPr>
        <w:pStyle w:val="Textodenotaderodap"/>
        <w:rPr>
          <w:rFonts w:ascii="Times New Roman" w:hAnsi="Times New Roman"/>
        </w:rPr>
      </w:pPr>
      <w:r w:rsidRPr="004314CF">
        <w:rPr>
          <w:rStyle w:val="Refdenotaderodap"/>
          <w:rFonts w:ascii="Times New Roman" w:hAnsi="Times New Roman"/>
        </w:rPr>
        <w:footnoteRef/>
      </w:r>
      <w:r>
        <w:rPr>
          <w:rFonts w:ascii="Times New Roman" w:hAnsi="Times New Roman"/>
        </w:rPr>
        <w:t xml:space="preserve">Os Grupos Temáticos e de Acompanhamento foram analisados no capítulo 1, onde também se encontra a relação completa dos GT’s e GA’s(Tabela 1.2). </w:t>
      </w:r>
    </w:p>
  </w:footnote>
  <w:footnote w:id="590">
    <w:p w:rsidR="00DD31B9" w:rsidRPr="00CB4B32" w:rsidRDefault="00DD31B9" w:rsidP="00837AC8">
      <w:pPr>
        <w:pStyle w:val="Textodenotaderodap"/>
        <w:rPr>
          <w:rFonts w:ascii="Times New Roman" w:hAnsi="Times New Roman"/>
        </w:rPr>
      </w:pPr>
      <w:r w:rsidRPr="00CB4B32">
        <w:rPr>
          <w:rStyle w:val="Refdenotaderodap"/>
          <w:rFonts w:ascii="Times New Roman" w:hAnsi="Times New Roman"/>
        </w:rPr>
        <w:footnoteRef/>
      </w:r>
      <w:r>
        <w:rPr>
          <w:rFonts w:ascii="Times New Roman" w:hAnsi="Times New Roman"/>
        </w:rPr>
        <w:t>Os pontos debatidos nos Termos de Referência do GT Bioenergia estão expostos na Ata da 22ª Reunião Plenária de 17/07/2007, p. 16, pelo conselheiro Artur Henrique (CUT).</w:t>
      </w:r>
    </w:p>
  </w:footnote>
  <w:footnote w:id="591">
    <w:p w:rsidR="00DD31B9" w:rsidRPr="00725A52" w:rsidRDefault="00DD31B9" w:rsidP="00837AC8">
      <w:pPr>
        <w:pStyle w:val="Textodenotaderodap"/>
        <w:rPr>
          <w:rFonts w:ascii="Times New Roman" w:hAnsi="Times New Roman"/>
        </w:rPr>
      </w:pPr>
      <w:r w:rsidRPr="00130A3A">
        <w:rPr>
          <w:rStyle w:val="Refdenotaderodap"/>
          <w:rFonts w:ascii="Times New Roman" w:hAnsi="Times New Roman"/>
        </w:rPr>
        <w:footnoteRef/>
      </w:r>
      <w:r>
        <w:rPr>
          <w:rFonts w:ascii="Times New Roman" w:hAnsi="Times New Roman"/>
        </w:rPr>
        <w:t xml:space="preserve">Utilizaremos a palavra “agrocombustíveis” quando não estivermos tratando de referências à própria documentação do CDES. É que o uso do prefixo </w:t>
      </w:r>
      <w:r>
        <w:rPr>
          <w:rFonts w:ascii="Times New Roman" w:hAnsi="Times New Roman"/>
          <w:i/>
        </w:rPr>
        <w:t xml:space="preserve">bio </w:t>
      </w:r>
      <w:r>
        <w:rPr>
          <w:rFonts w:ascii="Times New Roman" w:hAnsi="Times New Roman"/>
        </w:rPr>
        <w:t>(que em grego significa vida) comporta componente ideológico inequívoco: de energia limpa, verde, abundante, renovável, sustentável. Além disso, escamoteia as relações político-econômicas extremamente deteriorantes que subjazem a produção de agrocombustíveis.</w:t>
      </w:r>
    </w:p>
  </w:footnote>
  <w:footnote w:id="592">
    <w:p w:rsidR="00DD31B9" w:rsidRPr="00863FA6" w:rsidRDefault="00DD31B9" w:rsidP="00837AC8">
      <w:pPr>
        <w:pStyle w:val="Textodenotaderodap"/>
        <w:rPr>
          <w:rFonts w:ascii="Times New Roman" w:hAnsi="Times New Roman"/>
        </w:rPr>
      </w:pPr>
      <w:r w:rsidRPr="00863FA6">
        <w:rPr>
          <w:rStyle w:val="Refdenotaderodap"/>
          <w:rFonts w:ascii="Times New Roman" w:hAnsi="Times New Roman"/>
        </w:rPr>
        <w:footnoteRef/>
      </w:r>
      <w:r>
        <w:rPr>
          <w:rFonts w:ascii="Times New Roman" w:hAnsi="Times New Roman"/>
        </w:rPr>
        <w:t xml:space="preserve">Estas recomendações vinculavam-se diretamente à condensação das demandas empresariais do agronegócio, expressas na moção enviada à Presidência, nos relatórios de atividades e nos pareceres.  No GT, as proposições envolviam predominantemente demandas relacionadas à diminuição de tributos, expansão de linhas de crédito, ampliação de programas de financiamento, criação de novas carteiras junto ao BNDES, isto é, às </w:t>
      </w:r>
      <w:r w:rsidRPr="00510CD3">
        <w:rPr>
          <w:rFonts w:ascii="Times New Roman" w:hAnsi="Times New Roman"/>
        </w:rPr>
        <w:t>melhorias de condições econômico-institucionais, visando, em última instância, a ampliação do parque produtivo sucroalcooleiro e as condições de venda e investimentos.</w:t>
      </w:r>
    </w:p>
  </w:footnote>
  <w:footnote w:id="593">
    <w:p w:rsidR="00DD31B9" w:rsidRPr="00CB77D8" w:rsidRDefault="00DD31B9" w:rsidP="00837AC8">
      <w:pPr>
        <w:spacing w:after="0" w:line="240" w:lineRule="auto"/>
        <w:jc w:val="both"/>
        <w:rPr>
          <w:rFonts w:ascii="Times New Roman" w:hAnsi="Times New Roman"/>
          <w:sz w:val="20"/>
          <w:szCs w:val="20"/>
        </w:rPr>
      </w:pPr>
      <w:r w:rsidRPr="00CB77D8">
        <w:rPr>
          <w:rStyle w:val="Refdenotaderodap"/>
          <w:rFonts w:ascii="Times New Roman" w:hAnsi="Times New Roman"/>
          <w:sz w:val="20"/>
          <w:szCs w:val="20"/>
        </w:rPr>
        <w:footnoteRef/>
      </w:r>
      <w:r w:rsidRPr="00CB77D8">
        <w:rPr>
          <w:rFonts w:ascii="Times New Roman" w:hAnsi="Times New Roman"/>
          <w:sz w:val="20"/>
          <w:szCs w:val="20"/>
        </w:rPr>
        <w:t xml:space="preserve"> TEIXEIRA, Gabriel da Silva. </w:t>
      </w:r>
      <w:r w:rsidRPr="00CB77D8">
        <w:rPr>
          <w:rFonts w:ascii="Times New Roman" w:hAnsi="Times New Roman"/>
          <w:i/>
          <w:sz w:val="20"/>
          <w:szCs w:val="20"/>
        </w:rPr>
        <w:t>Desafios da participação social no agronegócio sucroalcooleiro</w:t>
      </w:r>
      <w:r w:rsidRPr="00CB77D8">
        <w:rPr>
          <w:rFonts w:ascii="Times New Roman" w:hAnsi="Times New Roman"/>
          <w:sz w:val="20"/>
          <w:szCs w:val="20"/>
        </w:rPr>
        <w:t>. Ruris – Revista do Centro de Estudos Rurai</w:t>
      </w:r>
      <w:r>
        <w:rPr>
          <w:rFonts w:ascii="Times New Roman" w:hAnsi="Times New Roman"/>
          <w:sz w:val="20"/>
          <w:szCs w:val="20"/>
        </w:rPr>
        <w:t>s, Unicamp, vol. 8, nº 1, 2014, p. 126-127, grifos meus.</w:t>
      </w:r>
    </w:p>
  </w:footnote>
  <w:footnote w:id="594">
    <w:p w:rsidR="00DD31B9" w:rsidRPr="00CB77D8" w:rsidRDefault="00DD31B9" w:rsidP="00837AC8">
      <w:pPr>
        <w:pStyle w:val="Textodenotaderodap"/>
        <w:rPr>
          <w:rFonts w:ascii="Times New Roman" w:hAnsi="Times New Roman"/>
        </w:rPr>
      </w:pPr>
      <w:r w:rsidRPr="00CB77D8">
        <w:rPr>
          <w:rStyle w:val="Refdenotaderodap"/>
          <w:rFonts w:ascii="Times New Roman" w:hAnsi="Times New Roman"/>
        </w:rPr>
        <w:footnoteRef/>
      </w:r>
      <w:r>
        <w:rPr>
          <w:rFonts w:ascii="Times New Roman" w:hAnsi="Times New Roman"/>
        </w:rPr>
        <w:t>Idem, 128.</w:t>
      </w:r>
    </w:p>
  </w:footnote>
  <w:footnote w:id="595">
    <w:p w:rsidR="00DD31B9" w:rsidRPr="00CB77D8" w:rsidRDefault="00DD31B9" w:rsidP="00837AC8">
      <w:pPr>
        <w:pStyle w:val="Textodenotaderodap"/>
        <w:rPr>
          <w:rFonts w:ascii="Times New Roman" w:hAnsi="Times New Roman"/>
        </w:rPr>
      </w:pPr>
      <w:r w:rsidRPr="00CB77D8">
        <w:rPr>
          <w:rStyle w:val="Refdenotaderodap"/>
          <w:rFonts w:ascii="Times New Roman" w:hAnsi="Times New Roman"/>
        </w:rPr>
        <w:footnoteRef/>
      </w:r>
      <w:r>
        <w:rPr>
          <w:rFonts w:ascii="Times New Roman" w:hAnsi="Times New Roman"/>
        </w:rPr>
        <w:t>Idem.</w:t>
      </w:r>
    </w:p>
  </w:footnote>
  <w:footnote w:id="596">
    <w:p w:rsidR="00DD31B9" w:rsidRPr="00335816" w:rsidRDefault="00DD31B9" w:rsidP="00837AC8">
      <w:pPr>
        <w:pStyle w:val="Textodenotaderodap"/>
        <w:rPr>
          <w:rFonts w:ascii="Times New Roman" w:hAnsi="Times New Roman"/>
        </w:rPr>
      </w:pPr>
      <w:r w:rsidRPr="00335816">
        <w:rPr>
          <w:rStyle w:val="Refdenotaderodap"/>
          <w:rFonts w:ascii="Times New Roman" w:hAnsi="Times New Roman"/>
        </w:rPr>
        <w:footnoteRef/>
      </w:r>
      <w:r>
        <w:rPr>
          <w:rFonts w:ascii="Times New Roman" w:hAnsi="Times New Roman"/>
        </w:rPr>
        <w:t>Segundo o Termo de Referência do novo GT “</w:t>
      </w:r>
      <w:r w:rsidRPr="00335816">
        <w:rPr>
          <w:rFonts w:ascii="Times New Roman" w:hAnsi="Times New Roman"/>
        </w:rPr>
        <w:t>Em reunião realizada no dia 15/10/2008, em São Paulo, os conselheiros que integram oGT Bioenergia: Etanol, Bioeletricidade e Biodiesel aprovaram, por unanimidade, aproposta de ampliação do escopo do debate para abranger o tema da matriz energética,</w:t>
      </w:r>
    </w:p>
    <w:p w:rsidR="00DD31B9" w:rsidRPr="00335816" w:rsidRDefault="00DD31B9" w:rsidP="00837AC8">
      <w:pPr>
        <w:pStyle w:val="Textodenotaderodap"/>
        <w:rPr>
          <w:rFonts w:ascii="Times New Roman" w:hAnsi="Times New Roman"/>
        </w:rPr>
      </w:pPr>
      <w:r w:rsidRPr="00335816">
        <w:rPr>
          <w:rFonts w:ascii="Times New Roman" w:hAnsi="Times New Roman"/>
        </w:rPr>
        <w:t>iniciando com os impactos e reflexos das recentes descobertas de petróleo na camadapré-sal e avançando para a diversificação da matriz energética, assim como para açõesde melhoria do padrão de consumo de energia no país. Desse modo, o Grupo deTrabalho passará a ter a seguinte denominação: Matriz Energética para oDesenvolvimento com Eq</w:t>
      </w:r>
      <w:r>
        <w:rPr>
          <w:rFonts w:ascii="Times New Roman" w:hAnsi="Times New Roman"/>
        </w:rPr>
        <w:t>u</w:t>
      </w:r>
      <w:r w:rsidRPr="00335816">
        <w:rPr>
          <w:rFonts w:ascii="Times New Roman" w:hAnsi="Times New Roman"/>
        </w:rPr>
        <w:t>idade e Responsabilidade Socioambiental</w:t>
      </w:r>
      <w:r>
        <w:rPr>
          <w:rFonts w:ascii="Times New Roman" w:hAnsi="Times New Roman"/>
        </w:rPr>
        <w:t>”</w:t>
      </w:r>
      <w:r w:rsidRPr="00335816">
        <w:rPr>
          <w:rFonts w:ascii="Times New Roman" w:hAnsi="Times New Roman"/>
        </w:rPr>
        <w:t xml:space="preserve">. </w:t>
      </w:r>
      <w:r>
        <w:rPr>
          <w:rFonts w:ascii="Times New Roman" w:hAnsi="Times New Roman"/>
        </w:rPr>
        <w:t xml:space="preserve"> O GT passa a ser divido pelos seguintes subgrupos: </w:t>
      </w:r>
      <w:r w:rsidRPr="00B67D90">
        <w:rPr>
          <w:rFonts w:ascii="Times New Roman" w:hAnsi="Times New Roman"/>
        </w:rPr>
        <w:t>1) Subgrupo Zoneamento Agroecológico, 2) Subgrupo Relações de Trabalho, 3) Subgrupo Papel do Estado, 4)  Subgrupo Fortalecimento do Biodiesel, 5) Subgrupo Diagnóstico do Mercado Interno e Externo, 6) Subgrupo Defesa do Etanol e 7) Subgrupo Certificação ou Boas Práticas.</w:t>
      </w:r>
    </w:p>
  </w:footnote>
  <w:footnote w:id="597">
    <w:p w:rsidR="00DD31B9" w:rsidRPr="00CB77D8" w:rsidRDefault="00DD31B9" w:rsidP="00837AC8">
      <w:pPr>
        <w:pStyle w:val="Textodenotaderodap"/>
        <w:rPr>
          <w:rFonts w:ascii="Times New Roman" w:hAnsi="Times New Roman"/>
        </w:rPr>
      </w:pPr>
      <w:r w:rsidRPr="00CB77D8">
        <w:rPr>
          <w:rStyle w:val="Refdenotaderodap"/>
          <w:rFonts w:ascii="Times New Roman" w:hAnsi="Times New Roman"/>
        </w:rPr>
        <w:footnoteRef/>
      </w:r>
      <w:r w:rsidRPr="00CB77D8">
        <w:rPr>
          <w:rFonts w:ascii="Times New Roman" w:hAnsi="Times New Roman"/>
        </w:rPr>
        <w:t xml:space="preserve"> Presidência da República. Secretaria de Relações Institucionais.</w:t>
      </w:r>
      <w:r>
        <w:rPr>
          <w:rFonts w:ascii="Times New Roman" w:hAnsi="Times New Roman"/>
        </w:rPr>
        <w:t xml:space="preserve"> SEDES. </w:t>
      </w:r>
      <w:r w:rsidRPr="00CB77D8">
        <w:rPr>
          <w:rFonts w:ascii="Times New Roman" w:hAnsi="Times New Roman"/>
          <w:i/>
        </w:rPr>
        <w:t xml:space="preserve">Parecer sobre Bioenergia e Desenvolvimento. </w:t>
      </w:r>
      <w:r>
        <w:rPr>
          <w:rFonts w:ascii="Times New Roman" w:hAnsi="Times New Roman"/>
        </w:rPr>
        <w:t>2008c, p. 05, grifos no original.</w:t>
      </w:r>
    </w:p>
  </w:footnote>
  <w:footnote w:id="598">
    <w:p w:rsidR="00DD31B9" w:rsidRPr="00CB77D8" w:rsidRDefault="00DD31B9" w:rsidP="00837AC8">
      <w:pPr>
        <w:pStyle w:val="Textodenotaderodap"/>
        <w:rPr>
          <w:rFonts w:ascii="Times New Roman" w:hAnsi="Times New Roman"/>
        </w:rPr>
      </w:pPr>
      <w:r w:rsidRPr="00CB77D8">
        <w:rPr>
          <w:rStyle w:val="Refdenotaderodap"/>
          <w:rFonts w:ascii="Times New Roman" w:hAnsi="Times New Roman"/>
        </w:rPr>
        <w:footnoteRef/>
      </w:r>
      <w:r w:rsidRPr="00CB77D8">
        <w:rPr>
          <w:rFonts w:ascii="Times New Roman" w:hAnsi="Times New Roman"/>
        </w:rPr>
        <w:t xml:space="preserve"> TEIXEIRA, Gabriel da Silva. </w:t>
      </w:r>
      <w:r w:rsidRPr="00CB77D8">
        <w:rPr>
          <w:rFonts w:ascii="Times New Roman" w:hAnsi="Times New Roman"/>
          <w:i/>
        </w:rPr>
        <w:t>Desafios da participação social no agronegócio</w:t>
      </w:r>
      <w:r>
        <w:rPr>
          <w:rFonts w:ascii="Times New Roman" w:hAnsi="Times New Roman"/>
          <w:i/>
        </w:rPr>
        <w:t xml:space="preserve">... </w:t>
      </w:r>
      <w:r>
        <w:rPr>
          <w:rFonts w:ascii="Times New Roman" w:hAnsi="Times New Roman"/>
        </w:rPr>
        <w:t>Op. cit., p. 131.</w:t>
      </w:r>
    </w:p>
  </w:footnote>
  <w:footnote w:id="599">
    <w:p w:rsidR="00DD31B9" w:rsidRPr="00CB77D8" w:rsidRDefault="00DD31B9" w:rsidP="00837AC8">
      <w:pPr>
        <w:pStyle w:val="Textodenotaderodap"/>
        <w:rPr>
          <w:rFonts w:ascii="Times New Roman" w:hAnsi="Times New Roman"/>
        </w:rPr>
      </w:pPr>
      <w:r w:rsidRPr="00CB77D8">
        <w:rPr>
          <w:rStyle w:val="Refdenotaderodap"/>
          <w:rFonts w:ascii="Times New Roman" w:hAnsi="Times New Roman"/>
        </w:rPr>
        <w:footnoteRef/>
      </w:r>
      <w:r>
        <w:rPr>
          <w:rFonts w:ascii="Times New Roman" w:hAnsi="Times New Roman"/>
        </w:rPr>
        <w:t>Idem, p. 137.</w:t>
      </w:r>
    </w:p>
  </w:footnote>
  <w:footnote w:id="600">
    <w:p w:rsidR="00DD31B9" w:rsidRPr="00CB77D8" w:rsidRDefault="00DD31B9" w:rsidP="00837AC8">
      <w:pPr>
        <w:pStyle w:val="Textodenotaderodap"/>
        <w:rPr>
          <w:rFonts w:ascii="Times New Roman" w:hAnsi="Times New Roman"/>
        </w:rPr>
      </w:pPr>
      <w:r w:rsidRPr="00CB77D8">
        <w:rPr>
          <w:rStyle w:val="Refdenotaderodap"/>
          <w:rFonts w:ascii="Times New Roman" w:hAnsi="Times New Roman"/>
        </w:rPr>
        <w:footnoteRef/>
      </w:r>
      <w:r w:rsidRPr="00CB77D8">
        <w:rPr>
          <w:rFonts w:ascii="Times New Roman" w:hAnsi="Times New Roman"/>
        </w:rPr>
        <w:t xml:space="preserve"> Idem, p. 140.</w:t>
      </w:r>
    </w:p>
  </w:footnote>
  <w:footnote w:id="601">
    <w:p w:rsidR="00DD31B9" w:rsidRPr="008046D9" w:rsidRDefault="00DD31B9" w:rsidP="00837AC8">
      <w:pPr>
        <w:pStyle w:val="Textodenotaderodap"/>
        <w:rPr>
          <w:rFonts w:ascii="Times New Roman" w:hAnsi="Times New Roman"/>
        </w:rPr>
      </w:pPr>
      <w:r w:rsidRPr="008046D9">
        <w:rPr>
          <w:rStyle w:val="Refdenotaderodap"/>
          <w:rFonts w:ascii="Times New Roman" w:hAnsi="Times New Roman"/>
        </w:rPr>
        <w:footnoteRef/>
      </w:r>
      <w:r>
        <w:rPr>
          <w:rFonts w:ascii="Times New Roman" w:hAnsi="Times New Roman"/>
        </w:rPr>
        <w:t xml:space="preserve">As aspas são necessárias porque, de acordo com a pesquisa de Teixeira, os auditores “responsáveis pelas auditagens das empresas sucroalcooleiras explicitavam vínculos profissionais e fraternais que se estabeleceram entre os fiscais e grupos fiscalizados. (...) Alguns chegaram a ser contratados posteriormente pelas usinas que fiscalizaram, ou mesmo fizeram carreira em alguma delas antes de tornarem-se auditores (...)redes de amizade, conhecimento e favorecimento deram suporte às relações de fraude observadas pelo MPT, como coação de trabalhadores para que omitissem casos de maus tratos, preenchimento fraudulento de relatório de fiscalização, etc”. </w:t>
      </w:r>
      <w:r w:rsidRPr="00CB77D8">
        <w:rPr>
          <w:rFonts w:ascii="Times New Roman" w:hAnsi="Times New Roman"/>
        </w:rPr>
        <w:t xml:space="preserve">TEIXEIRA, Gabriel da Silva. </w:t>
      </w:r>
      <w:r w:rsidRPr="00CB77D8">
        <w:rPr>
          <w:rFonts w:ascii="Times New Roman" w:hAnsi="Times New Roman"/>
          <w:i/>
        </w:rPr>
        <w:t>Desafios da participação social no agronegócio</w:t>
      </w:r>
      <w:r>
        <w:rPr>
          <w:rFonts w:ascii="Times New Roman" w:hAnsi="Times New Roman"/>
          <w:i/>
        </w:rPr>
        <w:t xml:space="preserve">... </w:t>
      </w:r>
      <w:r>
        <w:rPr>
          <w:rFonts w:ascii="Times New Roman" w:hAnsi="Times New Roman"/>
        </w:rPr>
        <w:t xml:space="preserve">Op. cit., p. 138-139. As empresas de auditoria foram: KMPG, Delloit Touche, Ernst e Young Terco e Uhy Moreira Auditoria. </w:t>
      </w:r>
    </w:p>
  </w:footnote>
  <w:footnote w:id="602">
    <w:p w:rsidR="00DD31B9" w:rsidRPr="000E2350" w:rsidRDefault="00DD31B9" w:rsidP="00837AC8">
      <w:pPr>
        <w:pStyle w:val="Textodenotaderodap"/>
        <w:rPr>
          <w:rFonts w:ascii="Times New Roman" w:hAnsi="Times New Roman"/>
        </w:rPr>
      </w:pPr>
      <w:r w:rsidRPr="000E2350">
        <w:rPr>
          <w:rStyle w:val="Refdenotaderodap"/>
          <w:rFonts w:ascii="Times New Roman" w:hAnsi="Times New Roman"/>
        </w:rPr>
        <w:footnoteRef/>
      </w:r>
      <w:r>
        <w:rPr>
          <w:rFonts w:ascii="Times New Roman" w:hAnsi="Times New Roman"/>
        </w:rPr>
        <w:t>“Compromisso para inglês ver”, reportagem de Lino Rodrigues. Jornal “O Globo”, 21/07/2012. Disponível em &lt;</w:t>
      </w:r>
      <w:r w:rsidRPr="00CB4B32">
        <w:rPr>
          <w:rFonts w:ascii="Times New Roman" w:hAnsi="Times New Roman"/>
        </w:rPr>
        <w:t>http://oglobo.globo.com/economia/compromisso-para-gringo-ver-5549753</w:t>
      </w:r>
      <w:r>
        <w:rPr>
          <w:rFonts w:ascii="Times New Roman" w:hAnsi="Times New Roman"/>
        </w:rPr>
        <w:t>&gt;. Acesso em 05/01/2015.</w:t>
      </w:r>
    </w:p>
  </w:footnote>
  <w:footnote w:id="603">
    <w:p w:rsidR="00DD31B9" w:rsidRPr="00CB77D8" w:rsidRDefault="00DD31B9" w:rsidP="00837AC8">
      <w:pPr>
        <w:pStyle w:val="Textodenotaderodap"/>
        <w:rPr>
          <w:rFonts w:ascii="Times New Roman" w:hAnsi="Times New Roman"/>
        </w:rPr>
      </w:pPr>
      <w:r w:rsidRPr="00CB77D8">
        <w:rPr>
          <w:rStyle w:val="Refdenotaderodap"/>
          <w:rFonts w:ascii="Times New Roman" w:hAnsi="Times New Roman"/>
        </w:rPr>
        <w:footnoteRef/>
      </w:r>
      <w:r>
        <w:rPr>
          <w:rFonts w:ascii="Times New Roman" w:hAnsi="Times New Roman"/>
        </w:rPr>
        <w:t xml:space="preserve">TEIXEIRA, Gabriel da Silva. </w:t>
      </w:r>
      <w:r w:rsidRPr="00CB77D8">
        <w:rPr>
          <w:rFonts w:ascii="Times New Roman" w:hAnsi="Times New Roman"/>
          <w:i/>
        </w:rPr>
        <w:t>Trabalho, tripartismo e processos sociais</w:t>
      </w:r>
      <w:r w:rsidRPr="00CB77D8">
        <w:rPr>
          <w:rFonts w:ascii="Times New Roman" w:hAnsi="Times New Roman"/>
        </w:rPr>
        <w:t xml:space="preserve">: contribuições sobre o Compromisso Nacional da Cana de Açúcar. Dissertação (mestrado), CPDA,UFRRJ: </w:t>
      </w:r>
      <w:r>
        <w:rPr>
          <w:rFonts w:ascii="Times New Roman" w:hAnsi="Times New Roman"/>
        </w:rPr>
        <w:t>2013, p. 135-136.</w:t>
      </w:r>
    </w:p>
  </w:footnote>
  <w:footnote w:id="604">
    <w:p w:rsidR="00DD31B9" w:rsidRPr="0069745C" w:rsidRDefault="00DD31B9" w:rsidP="00837AC8">
      <w:pPr>
        <w:pStyle w:val="Textodenotaderodap"/>
        <w:rPr>
          <w:rFonts w:ascii="Times New Roman" w:hAnsi="Times New Roman"/>
        </w:rPr>
      </w:pPr>
      <w:r w:rsidRPr="0069745C">
        <w:rPr>
          <w:rStyle w:val="Refdenotaderodap"/>
          <w:rFonts w:ascii="Times New Roman" w:hAnsi="Times New Roman"/>
        </w:rPr>
        <w:footnoteRef/>
      </w:r>
      <w:r w:rsidRPr="008D09D1">
        <w:rPr>
          <w:rFonts w:ascii="Times New Roman" w:hAnsi="Times New Roman"/>
        </w:rPr>
        <w:t xml:space="preserve">As </w:t>
      </w:r>
      <w:r w:rsidRPr="008D09D1">
        <w:rPr>
          <w:rFonts w:ascii="Times New Roman" w:hAnsi="Times New Roman"/>
          <w:i/>
        </w:rPr>
        <w:t>bituqueiras ou bituqueiros</w:t>
      </w:r>
      <w:r w:rsidRPr="008D09D1">
        <w:rPr>
          <w:rFonts w:ascii="Times New Roman" w:hAnsi="Times New Roman"/>
        </w:rPr>
        <w:t xml:space="preserve"> são os trabalhadores manuais cuja tarefa consiste em recolher restos de cana que caiam fora dos caminhões transportadores, os “transbordos”. Também têm a incumbência de cortar canas eventualmente deixadas pelas máquinas. As </w:t>
      </w:r>
      <w:r w:rsidRPr="008D09D1">
        <w:rPr>
          <w:rFonts w:ascii="Times New Roman" w:hAnsi="Times New Roman"/>
          <w:i/>
        </w:rPr>
        <w:t>trabalhadoras da perca</w:t>
      </w:r>
      <w:r w:rsidRPr="008D09D1">
        <w:rPr>
          <w:rFonts w:ascii="Times New Roman" w:hAnsi="Times New Roman"/>
        </w:rPr>
        <w:t xml:space="preserve"> tem a tarefa de retocar trabalhos deixados pelos cortadores manuais ou trabalhadores dedicados ao plantio do tolete de cana-de-açúcar. Existem ainda as </w:t>
      </w:r>
      <w:r w:rsidRPr="008D09D1">
        <w:rPr>
          <w:rFonts w:ascii="Times New Roman" w:hAnsi="Times New Roman"/>
          <w:i/>
        </w:rPr>
        <w:t xml:space="preserve">faxineiras, </w:t>
      </w:r>
      <w:r w:rsidRPr="008D09D1">
        <w:rPr>
          <w:rFonts w:ascii="Times New Roman" w:hAnsi="Times New Roman"/>
        </w:rPr>
        <w:t>cuja tarefa consiste em catar pedras que possam vir a danificar as colheitadeiras. A maior p</w:t>
      </w:r>
      <w:r>
        <w:rPr>
          <w:rFonts w:ascii="Times New Roman" w:hAnsi="Times New Roman"/>
        </w:rPr>
        <w:t xml:space="preserve">arte dessas funções é ocupada por mulheres, especialmente esposas de trabalhadores migrantes à região das usinas (Cf. TEIXEIRA, Gabriel da Silva. </w:t>
      </w:r>
      <w:r w:rsidRPr="00CB77D8">
        <w:rPr>
          <w:rFonts w:ascii="Times New Roman" w:hAnsi="Times New Roman"/>
          <w:i/>
        </w:rPr>
        <w:t>Trabalho, tripartismo e processos sociais</w:t>
      </w:r>
      <w:r>
        <w:rPr>
          <w:rFonts w:ascii="Times New Roman" w:hAnsi="Times New Roman"/>
          <w:i/>
        </w:rPr>
        <w:t xml:space="preserve">... </w:t>
      </w:r>
      <w:r w:rsidRPr="002228CB">
        <w:rPr>
          <w:rFonts w:ascii="Times New Roman" w:hAnsi="Times New Roman"/>
        </w:rPr>
        <w:t>Op. cit.,</w:t>
      </w:r>
      <w:r>
        <w:rPr>
          <w:rFonts w:ascii="Times New Roman" w:hAnsi="Times New Roman"/>
        </w:rPr>
        <w:t xml:space="preserve"> 114-115).</w:t>
      </w:r>
    </w:p>
  </w:footnote>
  <w:footnote w:id="605">
    <w:p w:rsidR="00DD31B9" w:rsidRDefault="00DD31B9" w:rsidP="00837AC8">
      <w:pPr>
        <w:pStyle w:val="Textodenotaderodap"/>
      </w:pPr>
      <w:r w:rsidRPr="00BD5BEB">
        <w:rPr>
          <w:rStyle w:val="Refdenotaderodap"/>
          <w:rFonts w:ascii="Times New Roman" w:hAnsi="Times New Roman"/>
        </w:rPr>
        <w:footnoteRef/>
      </w:r>
      <w:r w:rsidRPr="00BD5BEB">
        <w:rPr>
          <w:rFonts w:ascii="Times New Roman" w:hAnsi="Times New Roman"/>
          <w:color w:val="000000"/>
        </w:rPr>
        <w:t>O</w:t>
      </w:r>
      <w:r w:rsidRPr="00380355">
        <w:rPr>
          <w:rFonts w:ascii="Times New Roman" w:hAnsi="Times New Roman"/>
          <w:color w:val="000000"/>
        </w:rPr>
        <w:t xml:space="preserve"> Subgrupo dividia-se claramente entre entidades patronais (com 10 membros) os quais estavam representadas pela </w:t>
      </w:r>
      <w:r w:rsidRPr="00380355">
        <w:rPr>
          <w:rFonts w:ascii="Times New Roman" w:hAnsi="Times New Roman"/>
        </w:rPr>
        <w:t>União das Indústrias de Cana de Açúcar (</w:t>
      </w:r>
      <w:r w:rsidRPr="00380355">
        <w:rPr>
          <w:rFonts w:ascii="Times New Roman" w:hAnsi="Times New Roman"/>
          <w:color w:val="000000"/>
        </w:rPr>
        <w:t>ÚNICA), Federação das Indústrias do Estado de São Paulo (</w:t>
      </w:r>
      <w:r>
        <w:rPr>
          <w:rFonts w:ascii="Times New Roman" w:hAnsi="Times New Roman"/>
          <w:color w:val="000000"/>
        </w:rPr>
        <w:t>FIESP</w:t>
      </w:r>
      <w:r w:rsidRPr="00380355">
        <w:rPr>
          <w:rFonts w:ascii="Times New Roman" w:hAnsi="Times New Roman"/>
          <w:color w:val="000000"/>
        </w:rPr>
        <w:t xml:space="preserve">), Associação Nacional dos Comerciantes de Materiais de Construção (ANAMACO), Sindicato das Indústria da Construção Civil do Estado de São Paulo (Sinduscon-SP) e Câmara Brasileira da Industria da Construção (CBIC), e entidades laborais (com 11 membros) com enorme prevalência da Central Única dos Trabalhadores, seguida da </w:t>
      </w:r>
      <w:r w:rsidRPr="00380355">
        <w:rPr>
          <w:rFonts w:ascii="Times New Roman" w:hAnsi="Times New Roman"/>
        </w:rPr>
        <w:t xml:space="preserve">Federação de Empregados Rurais Assalariados do Estado de São Paulo (Feraesp/CUT) </w:t>
      </w:r>
      <w:r w:rsidRPr="00380355">
        <w:rPr>
          <w:rFonts w:ascii="Times New Roman" w:hAnsi="Times New Roman"/>
          <w:color w:val="000000"/>
        </w:rPr>
        <w:t>e do Departamento Intersindical de Estatísticas e Estudos Socioeconômicos (DIEESE). Foi eleito um Comitê Executivo, integrado por um membro de cada entidade acima descrita, e uma coordenação do Comitê, formada por um representante da Feraesp e um da ÚNICA (Sedes, 2010b: 01).</w:t>
      </w:r>
      <w:r>
        <w:rPr>
          <w:rFonts w:ascii="Times New Roman" w:hAnsi="Times New Roman"/>
        </w:rPr>
        <w:t>Disponível em &lt;</w:t>
      </w:r>
      <w:r w:rsidRPr="00F93B23">
        <w:rPr>
          <w:rFonts w:ascii="Times New Roman" w:hAnsi="Times New Roman"/>
        </w:rPr>
        <w:t>http://www.cdes.gov.br/grupo/881/subgrupo-requalificacao-de-trabalhadores-da-cana-de-acucar.html</w:t>
      </w:r>
      <w:r>
        <w:rPr>
          <w:rFonts w:ascii="Times New Roman" w:hAnsi="Times New Roman"/>
        </w:rPr>
        <w:t>&gt;.  Acesso em 06/01/2015.</w:t>
      </w:r>
    </w:p>
  </w:footnote>
  <w:footnote w:id="606">
    <w:p w:rsidR="00DD31B9" w:rsidRPr="000E2350" w:rsidRDefault="00DD31B9" w:rsidP="00837AC8">
      <w:pPr>
        <w:pStyle w:val="Textodenotaderodap"/>
        <w:rPr>
          <w:rFonts w:ascii="Times New Roman" w:hAnsi="Times New Roman"/>
        </w:rPr>
      </w:pPr>
      <w:r w:rsidRPr="000E2350">
        <w:rPr>
          <w:rStyle w:val="Refdenotaderodap"/>
          <w:rFonts w:ascii="Times New Roman" w:hAnsi="Times New Roman"/>
        </w:rPr>
        <w:footnoteRef/>
      </w:r>
      <w:r>
        <w:rPr>
          <w:rFonts w:ascii="Times New Roman" w:hAnsi="Times New Roman"/>
        </w:rPr>
        <w:t xml:space="preserve">SRI. SEDES. </w:t>
      </w:r>
      <w:r w:rsidRPr="000E2350">
        <w:rPr>
          <w:rFonts w:ascii="Times New Roman" w:hAnsi="Times New Roman"/>
        </w:rPr>
        <w:t xml:space="preserve">GT Matriz Energética para o Desenvolvimento com Equidade e Responsabilidade Socioambiental. Subgrupo Requalificação de Trabalhadores da Cana-de-açúcar. </w:t>
      </w:r>
      <w:r w:rsidRPr="000E2350">
        <w:rPr>
          <w:rFonts w:ascii="Times New Roman" w:hAnsi="Times New Roman"/>
          <w:i/>
        </w:rPr>
        <w:t>Memória da reunião II</w:t>
      </w:r>
      <w:r w:rsidRPr="000E2350">
        <w:rPr>
          <w:rFonts w:ascii="Times New Roman" w:hAnsi="Times New Roman"/>
        </w:rPr>
        <w:t>. CDES, 2010b</w:t>
      </w:r>
      <w:r>
        <w:rPr>
          <w:rFonts w:ascii="Times New Roman" w:hAnsi="Times New Roman"/>
        </w:rPr>
        <w:t>, p. 01.</w:t>
      </w:r>
    </w:p>
  </w:footnote>
  <w:footnote w:id="607">
    <w:p w:rsidR="00DD31B9" w:rsidRPr="00BD5BEB" w:rsidRDefault="00DD31B9" w:rsidP="00837AC8">
      <w:pPr>
        <w:autoSpaceDE w:val="0"/>
        <w:autoSpaceDN w:val="0"/>
        <w:adjustRightInd w:val="0"/>
        <w:spacing w:after="0" w:line="240" w:lineRule="auto"/>
        <w:rPr>
          <w:rFonts w:ascii="Times New Roman" w:hAnsi="Times New Roman"/>
          <w:color w:val="000000"/>
          <w:sz w:val="20"/>
          <w:szCs w:val="20"/>
        </w:rPr>
      </w:pPr>
      <w:r w:rsidRPr="00BD5BEB">
        <w:rPr>
          <w:rStyle w:val="Refdenotaderodap"/>
          <w:rFonts w:ascii="Times New Roman" w:hAnsi="Times New Roman"/>
          <w:sz w:val="20"/>
          <w:szCs w:val="20"/>
        </w:rPr>
        <w:footnoteRef/>
      </w:r>
      <w:r w:rsidRPr="00BD5BEB">
        <w:rPr>
          <w:rFonts w:ascii="Times New Roman" w:hAnsi="Times New Roman"/>
          <w:sz w:val="20"/>
          <w:szCs w:val="20"/>
        </w:rPr>
        <w:t xml:space="preserve"> Este propósito ficou a cargo do </w:t>
      </w:r>
      <w:r w:rsidRPr="00BD5BEB">
        <w:rPr>
          <w:rFonts w:ascii="Times New Roman" w:hAnsi="Times New Roman"/>
          <w:i/>
          <w:sz w:val="20"/>
          <w:szCs w:val="20"/>
        </w:rPr>
        <w:t>Projeto RenovAção</w:t>
      </w:r>
      <w:r w:rsidRPr="00BD5BEB">
        <w:rPr>
          <w:rFonts w:ascii="Times New Roman" w:hAnsi="Times New Roman"/>
          <w:sz w:val="20"/>
          <w:szCs w:val="20"/>
        </w:rPr>
        <w:t>, promovido pela ÚNICA/Feraesp. Segundo Rosemeire Salata “O projeto conta com o patrocínio de grandes empresas que compõe</w:t>
      </w:r>
      <w:r>
        <w:rPr>
          <w:rFonts w:ascii="Times New Roman" w:hAnsi="Times New Roman"/>
          <w:sz w:val="20"/>
          <w:szCs w:val="20"/>
        </w:rPr>
        <w:t>m</w:t>
      </w:r>
      <w:r w:rsidRPr="00BD5BEB">
        <w:rPr>
          <w:rFonts w:ascii="Times New Roman" w:hAnsi="Times New Roman"/>
          <w:sz w:val="20"/>
          <w:szCs w:val="20"/>
        </w:rPr>
        <w:t xml:space="preserve"> a cadeia do agronegócio, tais como John Deere e Case IH (produtoras de maquinários agrícolas e colheitadeiras), Syngenta (fabricante de sementes e agrotóxicos que recentemente passou a investir na produção canavieira), e tem o apoio do BID – Banco Interamericano de Desenvolvimento”.</w:t>
      </w:r>
      <w:r w:rsidRPr="000E2350">
        <w:rPr>
          <w:rFonts w:ascii="Times New Roman" w:hAnsi="Times New Roman"/>
          <w:color w:val="000000"/>
          <w:sz w:val="20"/>
          <w:szCs w:val="20"/>
        </w:rPr>
        <w:t xml:space="preserve">SALATA, Rosemeire. </w:t>
      </w:r>
      <w:r w:rsidRPr="000E2350">
        <w:rPr>
          <w:rFonts w:ascii="Times New Roman" w:hAnsi="Times New Roman"/>
          <w:i/>
          <w:color w:val="000000"/>
          <w:sz w:val="20"/>
          <w:szCs w:val="20"/>
        </w:rPr>
        <w:t>Novas formas de organização da produção canavieira na região de Ribeirão Preto/SP</w:t>
      </w:r>
      <w:r w:rsidRPr="000E2350">
        <w:rPr>
          <w:rFonts w:ascii="Times New Roman" w:hAnsi="Times New Roman"/>
          <w:color w:val="000000"/>
          <w:sz w:val="20"/>
          <w:szCs w:val="20"/>
        </w:rPr>
        <w:t>: qualificação profissional e o “Programa Renovação”. Dissertação de Mestrado, Sociologia, Araraquara: UNESP, 2013</w:t>
      </w:r>
      <w:r>
        <w:rPr>
          <w:rFonts w:ascii="Times New Roman" w:hAnsi="Times New Roman"/>
          <w:sz w:val="20"/>
          <w:szCs w:val="20"/>
        </w:rPr>
        <w:t>, p. 53.</w:t>
      </w:r>
      <w:r w:rsidRPr="00BD5BEB">
        <w:rPr>
          <w:rFonts w:ascii="Times New Roman" w:hAnsi="Times New Roman"/>
          <w:sz w:val="20"/>
          <w:szCs w:val="20"/>
        </w:rPr>
        <w:t xml:space="preserve"> No CDES, ele foi divulgado pela iniciativa de Marcos Jank (Presidente da Única), através de uma apresentação no Subgrupo Requalificação... Ao que parece, o conselheiro obteve sucesso, de sorte que o conselheiro Cláudio Conz, conforme consta no Relatório da II Reunião do Subgrupo, </w:t>
      </w:r>
      <w:r>
        <w:rPr>
          <w:rFonts w:ascii="Times New Roman" w:hAnsi="Times New Roman"/>
          <w:sz w:val="20"/>
          <w:szCs w:val="20"/>
        </w:rPr>
        <w:t xml:space="preserve">afirmou que </w:t>
      </w:r>
      <w:r w:rsidRPr="00BD5BEB">
        <w:rPr>
          <w:rFonts w:ascii="Times New Roman" w:hAnsi="Times New Roman"/>
          <w:sz w:val="20"/>
          <w:szCs w:val="20"/>
        </w:rPr>
        <w:t xml:space="preserve">“o objetivo do subgrupo é desenvolver um projeto piloto voltado para a construção civil, pensando, sobretudo, na </w:t>
      </w:r>
      <w:r>
        <w:rPr>
          <w:rFonts w:ascii="Times New Roman" w:hAnsi="Times New Roman"/>
          <w:sz w:val="20"/>
          <w:szCs w:val="20"/>
        </w:rPr>
        <w:t>mão de obra</w:t>
      </w:r>
      <w:r w:rsidRPr="00BD5BEB">
        <w:rPr>
          <w:rFonts w:ascii="Times New Roman" w:hAnsi="Times New Roman"/>
          <w:sz w:val="20"/>
          <w:szCs w:val="20"/>
        </w:rPr>
        <w:t xml:space="preserve"> local e não na migrante. Esse projeto seria baseado na experiência bem sucedida do Projeto Renovação, desenvolvido pela ÚNICA”. </w:t>
      </w:r>
    </w:p>
  </w:footnote>
  <w:footnote w:id="608">
    <w:p w:rsidR="00DD31B9" w:rsidRPr="00BD5BEB" w:rsidRDefault="00DD31B9" w:rsidP="00837AC8">
      <w:pPr>
        <w:pStyle w:val="Textodenotaderodap"/>
        <w:rPr>
          <w:rFonts w:ascii="Times New Roman" w:hAnsi="Times New Roman"/>
        </w:rPr>
      </w:pPr>
      <w:r w:rsidRPr="00BD5BEB">
        <w:rPr>
          <w:rStyle w:val="Refdenotaderodap"/>
          <w:rFonts w:ascii="Times New Roman" w:hAnsi="Times New Roman"/>
        </w:rPr>
        <w:footnoteRef/>
      </w:r>
      <w:r w:rsidRPr="00BD5BEB">
        <w:rPr>
          <w:rFonts w:ascii="Times New Roman" w:hAnsi="Times New Roman"/>
        </w:rPr>
        <w:t xml:space="preserve"> Disponível em &lt;http://www.cdes.gov.br/noticia/15269/cdes-debate-requalificacao-dos-trabalhadores-da-cana-de-acucar.html&gt;. Acesso em 07/01/2015.</w:t>
      </w:r>
    </w:p>
  </w:footnote>
  <w:footnote w:id="609">
    <w:p w:rsidR="00DD31B9" w:rsidRPr="000E2350" w:rsidRDefault="00DD31B9" w:rsidP="00837AC8">
      <w:pPr>
        <w:pStyle w:val="Textodenotaderodap"/>
        <w:rPr>
          <w:rFonts w:ascii="Times New Roman" w:hAnsi="Times New Roman"/>
        </w:rPr>
      </w:pPr>
      <w:r w:rsidRPr="000E2350">
        <w:rPr>
          <w:rStyle w:val="Refdenotaderodap"/>
          <w:rFonts w:ascii="Times New Roman" w:hAnsi="Times New Roman"/>
        </w:rPr>
        <w:footnoteRef/>
      </w:r>
      <w:r>
        <w:rPr>
          <w:rFonts w:ascii="Times New Roman" w:hAnsi="Times New Roman"/>
        </w:rPr>
        <w:t xml:space="preserve">SRI. SEDES. </w:t>
      </w:r>
      <w:r w:rsidRPr="000E2350">
        <w:rPr>
          <w:rFonts w:ascii="Times New Roman" w:hAnsi="Times New Roman"/>
        </w:rPr>
        <w:t xml:space="preserve">GT Matriz Energética </w:t>
      </w:r>
      <w:r>
        <w:rPr>
          <w:rFonts w:ascii="Times New Roman" w:hAnsi="Times New Roman"/>
        </w:rPr>
        <w:t>... Op. cit.</w:t>
      </w:r>
      <w:r w:rsidRPr="000E2350">
        <w:rPr>
          <w:rFonts w:ascii="Times New Roman" w:hAnsi="Times New Roman"/>
        </w:rPr>
        <w:t xml:space="preserve">. </w:t>
      </w:r>
      <w:r w:rsidRPr="000E2350">
        <w:rPr>
          <w:rFonts w:ascii="Times New Roman" w:hAnsi="Times New Roman"/>
          <w:i/>
        </w:rPr>
        <w:t>Memória da reunião II</w:t>
      </w:r>
      <w:r w:rsidRPr="000E2350">
        <w:rPr>
          <w:rFonts w:ascii="Times New Roman" w:hAnsi="Times New Roman"/>
        </w:rPr>
        <w:t>. CDES, 2010b</w:t>
      </w:r>
      <w:r>
        <w:rPr>
          <w:rFonts w:ascii="Times New Roman" w:hAnsi="Times New Roman"/>
        </w:rPr>
        <w:t>.</w:t>
      </w:r>
    </w:p>
  </w:footnote>
  <w:footnote w:id="610">
    <w:p w:rsidR="00DD31B9" w:rsidRPr="004A54D8" w:rsidRDefault="00DD31B9" w:rsidP="00837AC8">
      <w:pPr>
        <w:pStyle w:val="Textodenotaderodap"/>
        <w:rPr>
          <w:rFonts w:ascii="Times New Roman" w:hAnsi="Times New Roman"/>
        </w:rPr>
      </w:pPr>
      <w:r w:rsidRPr="004A54D8">
        <w:rPr>
          <w:rStyle w:val="Refdenotaderodap"/>
          <w:rFonts w:ascii="Times New Roman" w:hAnsi="Times New Roman"/>
        </w:rPr>
        <w:footnoteRef/>
      </w:r>
      <w:r>
        <w:rPr>
          <w:rFonts w:ascii="Times New Roman" w:hAnsi="Times New Roman"/>
        </w:rPr>
        <w:t>Idem, p. 02. Arthur Henrique (Presidente da CUT); Cláudio Conz (Presidente da ANAMACO); Marcos Jank (Presidente da ÚNICA) e Paulo Simão (Presidente da CBIC).</w:t>
      </w:r>
    </w:p>
  </w:footnote>
  <w:footnote w:id="611">
    <w:p w:rsidR="00DD31B9" w:rsidRPr="0011435C" w:rsidRDefault="00DD31B9" w:rsidP="00837AC8">
      <w:pPr>
        <w:pStyle w:val="Textodenotaderodap"/>
        <w:rPr>
          <w:rFonts w:ascii="Times New Roman" w:hAnsi="Times New Roman"/>
        </w:rPr>
      </w:pPr>
      <w:r w:rsidRPr="0011435C">
        <w:rPr>
          <w:rStyle w:val="Refdenotaderodap"/>
          <w:rFonts w:ascii="Times New Roman" w:hAnsi="Times New Roman"/>
        </w:rPr>
        <w:footnoteRef/>
      </w:r>
      <w:r>
        <w:rPr>
          <w:rFonts w:ascii="Times New Roman" w:hAnsi="Times New Roman"/>
        </w:rPr>
        <w:t xml:space="preserve">Teixeira mostra como, devido à mecanização, novas formas de intensificação da exploração da força de trabalho se deram no interior dos canaviais, especialmente na época da safra quando os tratoristas promovem jornadas de corte que chegam a 15 horas seguidas, enquanto a colheideira funciona 24 horas por dia. Mecânicos, combustíveis e ferramentas são levados a campo para eventual utilização, viabilizando a estratégia de utilização dos maquinários em tempo integral. TEIXEIRA, Gabriel da Silva. </w:t>
      </w:r>
      <w:r w:rsidRPr="00CB77D8">
        <w:rPr>
          <w:rFonts w:ascii="Times New Roman" w:hAnsi="Times New Roman"/>
          <w:i/>
        </w:rPr>
        <w:t>Trabalho, tripartismo e processos sociais</w:t>
      </w:r>
      <w:r>
        <w:rPr>
          <w:rFonts w:ascii="Times New Roman" w:hAnsi="Times New Roman"/>
        </w:rPr>
        <w:t>... Op. cit. p. 133.</w:t>
      </w:r>
    </w:p>
  </w:footnote>
  <w:footnote w:id="612">
    <w:p w:rsidR="00DD31B9" w:rsidRDefault="00DD31B9" w:rsidP="00837AC8">
      <w:pPr>
        <w:pStyle w:val="Textodenotaderodap"/>
      </w:pPr>
      <w:r w:rsidRPr="00730BF0">
        <w:rPr>
          <w:rStyle w:val="Refdenotaderodap"/>
          <w:rFonts w:ascii="Times New Roman" w:hAnsi="Times New Roman"/>
        </w:rPr>
        <w:footnoteRef/>
      </w:r>
      <w:r>
        <w:rPr>
          <w:rFonts w:ascii="Times New Roman" w:hAnsi="Times New Roman"/>
        </w:rPr>
        <w:t xml:space="preserve">CBIC/FGV. </w:t>
      </w:r>
      <w:r>
        <w:rPr>
          <w:rFonts w:ascii="Times New Roman" w:hAnsi="Times New Roman"/>
          <w:i/>
        </w:rPr>
        <w:t xml:space="preserve">A produtividade da Construção Civil Brasileira. </w:t>
      </w:r>
      <w:r w:rsidRPr="00730BF0">
        <w:rPr>
          <w:rFonts w:ascii="Times New Roman" w:hAnsi="Times New Roman"/>
        </w:rPr>
        <w:t>2012, p. 13</w:t>
      </w:r>
      <w:r>
        <w:rPr>
          <w:rFonts w:ascii="Times New Roman" w:hAnsi="Times New Roman"/>
        </w:rPr>
        <w:t>, grifos meus</w:t>
      </w:r>
      <w:r w:rsidRPr="00730BF0">
        <w:rPr>
          <w:rFonts w:ascii="Times New Roman" w:hAnsi="Times New Roman"/>
        </w:rPr>
        <w:t>. Disponível</w:t>
      </w:r>
      <w:r>
        <w:rPr>
          <w:rFonts w:ascii="Times New Roman" w:hAnsi="Times New Roman"/>
        </w:rPr>
        <w:t xml:space="preserve"> em &lt;</w:t>
      </w:r>
      <w:r w:rsidRPr="00417CB6">
        <w:rPr>
          <w:rFonts w:ascii="Times New Roman" w:hAnsi="Times New Roman"/>
        </w:rPr>
        <w:t>http://www.cbicdados.com.br/media/anexos/066.pdf</w:t>
      </w:r>
      <w:r>
        <w:rPr>
          <w:rFonts w:ascii="Times New Roman" w:hAnsi="Times New Roman"/>
        </w:rPr>
        <w:t>&gt;. Acesso em 07/01/2015.</w:t>
      </w:r>
    </w:p>
  </w:footnote>
  <w:footnote w:id="613">
    <w:p w:rsidR="00DD31B9" w:rsidRPr="000645BE" w:rsidRDefault="00DD31B9" w:rsidP="00837AC8">
      <w:pPr>
        <w:autoSpaceDE w:val="0"/>
        <w:autoSpaceDN w:val="0"/>
        <w:adjustRightInd w:val="0"/>
        <w:spacing w:after="0" w:line="240" w:lineRule="auto"/>
        <w:rPr>
          <w:rFonts w:ascii="Times New Roman" w:hAnsi="Times New Roman"/>
          <w:sz w:val="20"/>
          <w:szCs w:val="20"/>
        </w:rPr>
      </w:pPr>
      <w:r w:rsidRPr="000645BE">
        <w:rPr>
          <w:rStyle w:val="Refdenotaderodap"/>
          <w:rFonts w:ascii="Times New Roman" w:hAnsi="Times New Roman"/>
          <w:sz w:val="20"/>
          <w:szCs w:val="20"/>
        </w:rPr>
        <w:footnoteRef/>
      </w:r>
      <w:r w:rsidRPr="000645BE">
        <w:rPr>
          <w:rFonts w:ascii="Times New Roman" w:eastAsia="TimesNewRomanPSMT" w:hAnsi="Times New Roman"/>
          <w:sz w:val="20"/>
          <w:szCs w:val="20"/>
        </w:rPr>
        <w:t xml:space="preserve">Ministério do Desenvolvimento Social e Combate à Fome. Ministério do Trabalhoe Emprego. </w:t>
      </w:r>
      <w:r w:rsidRPr="000645BE">
        <w:rPr>
          <w:rFonts w:ascii="Times New Roman" w:eastAsia="TimesNewRomanPS-ItalicMT" w:hAnsi="Times New Roman"/>
          <w:i/>
          <w:iCs/>
          <w:sz w:val="20"/>
          <w:szCs w:val="20"/>
        </w:rPr>
        <w:t>Qualificação profissional para beneficiários do Bolsa Família</w:t>
      </w:r>
      <w:r w:rsidRPr="000645BE">
        <w:rPr>
          <w:rFonts w:ascii="Times New Roman" w:eastAsia="TimesNewRomanPSMT" w:hAnsi="Times New Roman"/>
          <w:sz w:val="20"/>
          <w:szCs w:val="20"/>
        </w:rPr>
        <w:t>. Orientaçõestécnicas para o acompanhamento do Plano Setorial de Qualificação e Inserção Profissionalpara os beneficiários do programa Bolsa Família, [2008],</w:t>
      </w:r>
      <w:r>
        <w:rPr>
          <w:rFonts w:ascii="Times New Roman" w:eastAsia="TimesNewRomanPSMT" w:hAnsi="Times New Roman"/>
          <w:sz w:val="20"/>
          <w:szCs w:val="20"/>
        </w:rPr>
        <w:t xml:space="preserve"> p. 05.</w:t>
      </w:r>
      <w:r w:rsidRPr="000645BE">
        <w:rPr>
          <w:rFonts w:ascii="Times New Roman" w:eastAsia="TimesNewRomanPSMT" w:hAnsi="Times New Roman"/>
          <w:sz w:val="20"/>
          <w:szCs w:val="20"/>
        </w:rPr>
        <w:t xml:space="preserve"> Disponível em: &lt;http://www.mds.gov.br/backup/sites/banner</w:t>
      </w:r>
      <w:r>
        <w:rPr>
          <w:rFonts w:ascii="Times New Roman" w:eastAsia="TimesNewRomanPSMT" w:hAnsi="Times New Roman"/>
          <w:sz w:val="20"/>
          <w:szCs w:val="20"/>
        </w:rPr>
        <w:t>-</w:t>
      </w:r>
      <w:r w:rsidRPr="000645BE">
        <w:rPr>
          <w:rFonts w:ascii="Times New Roman" w:eastAsia="TimesNewRomanPSMT" w:hAnsi="Times New Roman"/>
          <w:sz w:val="20"/>
          <w:szCs w:val="20"/>
        </w:rPr>
        <w:t>internas/praticas</w:t>
      </w:r>
      <w:r>
        <w:rPr>
          <w:rFonts w:ascii="Times New Roman" w:eastAsia="TimesNewRomanPSMT" w:hAnsi="Times New Roman"/>
          <w:sz w:val="20"/>
          <w:szCs w:val="20"/>
        </w:rPr>
        <w:t>-</w:t>
      </w:r>
      <w:r w:rsidRPr="000645BE">
        <w:rPr>
          <w:rFonts w:ascii="Times New Roman" w:eastAsia="TimesNewRomanPSMT" w:hAnsi="Times New Roman"/>
          <w:sz w:val="20"/>
          <w:szCs w:val="20"/>
        </w:rPr>
        <w:t>inovadoras</w:t>
      </w:r>
      <w:r>
        <w:rPr>
          <w:rFonts w:ascii="Times New Roman" w:eastAsia="TimesNewRomanPSMT" w:hAnsi="Times New Roman"/>
          <w:sz w:val="20"/>
          <w:szCs w:val="20"/>
        </w:rPr>
        <w:t>-</w:t>
      </w:r>
      <w:r w:rsidRPr="000645BE">
        <w:rPr>
          <w:rFonts w:ascii="Times New Roman" w:eastAsia="TimesNewRomanPSMT" w:hAnsi="Times New Roman"/>
          <w:sz w:val="20"/>
          <w:szCs w:val="20"/>
        </w:rPr>
        <w:t>bf</w:t>
      </w:r>
      <w:r>
        <w:rPr>
          <w:rFonts w:ascii="Times New Roman" w:eastAsia="TimesNewRomanPSMT" w:hAnsi="Times New Roman"/>
          <w:sz w:val="20"/>
          <w:szCs w:val="20"/>
        </w:rPr>
        <w:t>-</w:t>
      </w:r>
      <w:r w:rsidRPr="000645BE">
        <w:rPr>
          <w:rFonts w:ascii="Times New Roman" w:eastAsia="TimesNewRomanPSMT" w:hAnsi="Times New Roman"/>
          <w:sz w:val="20"/>
          <w:szCs w:val="20"/>
        </w:rPr>
        <w:t>planseq/arquivos/orientacoes_tecnicas_</w:t>
      </w:r>
      <w:r>
        <w:rPr>
          <w:rFonts w:ascii="Times New Roman" w:eastAsia="TimesNewRomanPSMT" w:hAnsi="Times New Roman"/>
          <w:sz w:val="20"/>
          <w:szCs w:val="20"/>
        </w:rPr>
        <w:t>-</w:t>
      </w:r>
      <w:r w:rsidRPr="000645BE">
        <w:rPr>
          <w:rFonts w:ascii="Times New Roman" w:eastAsia="TimesNewRomanPSMT" w:hAnsi="Times New Roman"/>
          <w:sz w:val="20"/>
          <w:szCs w:val="20"/>
        </w:rPr>
        <w:t>_secom.pdf&gt;.</w:t>
      </w:r>
      <w:r>
        <w:rPr>
          <w:rFonts w:ascii="Times New Roman" w:eastAsia="TimesNewRomanPSMT" w:hAnsi="Times New Roman"/>
          <w:sz w:val="20"/>
          <w:szCs w:val="20"/>
        </w:rPr>
        <w:t xml:space="preserve"> Acesso 10/01/2015.</w:t>
      </w:r>
    </w:p>
  </w:footnote>
  <w:footnote w:id="614">
    <w:p w:rsidR="00DD31B9" w:rsidRDefault="00DD31B9" w:rsidP="00837AC8">
      <w:pPr>
        <w:autoSpaceDE w:val="0"/>
        <w:autoSpaceDN w:val="0"/>
        <w:adjustRightInd w:val="0"/>
        <w:spacing w:after="0" w:line="240" w:lineRule="auto"/>
        <w:rPr>
          <w:rFonts w:ascii="Times New Roman" w:hAnsi="Times New Roman"/>
          <w:sz w:val="20"/>
          <w:szCs w:val="20"/>
        </w:rPr>
      </w:pPr>
      <w:r w:rsidRPr="00730BF0">
        <w:rPr>
          <w:rStyle w:val="Refdenotaderodap"/>
          <w:rFonts w:ascii="Times New Roman" w:hAnsi="Times New Roman"/>
          <w:sz w:val="20"/>
          <w:szCs w:val="20"/>
        </w:rPr>
        <w:footnoteRef/>
      </w:r>
      <w:r w:rsidRPr="00730BF0">
        <w:rPr>
          <w:rFonts w:ascii="Times New Roman" w:hAnsi="Times New Roman"/>
          <w:sz w:val="20"/>
          <w:szCs w:val="20"/>
        </w:rPr>
        <w:t xml:space="preserve"> Secretaria de Relações Institucionais. </w:t>
      </w:r>
      <w:r>
        <w:rPr>
          <w:rFonts w:ascii="Times New Roman" w:hAnsi="Times New Roman"/>
          <w:sz w:val="20"/>
          <w:szCs w:val="20"/>
        </w:rPr>
        <w:t xml:space="preserve">SEDES. </w:t>
      </w:r>
      <w:r w:rsidRPr="00730BF0">
        <w:rPr>
          <w:rFonts w:ascii="Times New Roman" w:hAnsi="Times New Roman"/>
          <w:i/>
          <w:sz w:val="20"/>
          <w:szCs w:val="20"/>
        </w:rPr>
        <w:t>97ª Conferência Internacional do Trabalho – OIT</w:t>
      </w:r>
      <w:r w:rsidRPr="00730BF0">
        <w:rPr>
          <w:rFonts w:ascii="Times New Roman" w:hAnsi="Times New Roman"/>
          <w:sz w:val="20"/>
          <w:szCs w:val="20"/>
        </w:rPr>
        <w:t>: Memória da Participação do CDES. 2008d.</w:t>
      </w:r>
      <w:r>
        <w:rPr>
          <w:rFonts w:ascii="Times New Roman" w:hAnsi="Times New Roman"/>
          <w:sz w:val="20"/>
          <w:szCs w:val="20"/>
        </w:rPr>
        <w:t xml:space="preserve"> Disponível em </w:t>
      </w:r>
      <w:r w:rsidRPr="00730BF0">
        <w:rPr>
          <w:rFonts w:ascii="Times New Roman" w:hAnsi="Times New Roman"/>
          <w:sz w:val="20"/>
          <w:szCs w:val="20"/>
        </w:rPr>
        <w:t>file:///C:/Users/Andre/Downloads/Mem%C3%</w:t>
      </w:r>
    </w:p>
    <w:p w:rsidR="00DD31B9" w:rsidRPr="00730BF0" w:rsidRDefault="00DD31B9" w:rsidP="00837AC8">
      <w:pPr>
        <w:autoSpaceDE w:val="0"/>
        <w:autoSpaceDN w:val="0"/>
        <w:adjustRightInd w:val="0"/>
        <w:spacing w:after="0" w:line="240" w:lineRule="auto"/>
        <w:rPr>
          <w:rFonts w:ascii="Times New Roman" w:hAnsi="Times New Roman"/>
          <w:sz w:val="20"/>
          <w:szCs w:val="20"/>
        </w:rPr>
      </w:pPr>
      <w:r w:rsidRPr="00730BF0">
        <w:rPr>
          <w:rFonts w:ascii="Times New Roman" w:hAnsi="Times New Roman"/>
          <w:sz w:val="20"/>
          <w:szCs w:val="20"/>
        </w:rPr>
        <w:t>B3ria_da_97.%C2%AA_Conferencia_da_OIT_-_participa%C3%A7%C3%A3o_do_CDES_-_09_e_10.06.2008_-_%20(1).pdf&gt;. Acesso em 10/01/2015.</w:t>
      </w:r>
    </w:p>
  </w:footnote>
  <w:footnote w:id="615">
    <w:p w:rsidR="00DD31B9" w:rsidRPr="008323E9" w:rsidRDefault="00DD31B9" w:rsidP="00837AC8">
      <w:pPr>
        <w:pStyle w:val="Textodenotaderodap"/>
        <w:rPr>
          <w:rFonts w:ascii="Times New Roman" w:hAnsi="Times New Roman"/>
        </w:rPr>
      </w:pPr>
      <w:r w:rsidRPr="00730BF0">
        <w:rPr>
          <w:rStyle w:val="Refdenotaderodap"/>
          <w:rFonts w:ascii="Times New Roman" w:hAnsi="Times New Roman"/>
        </w:rPr>
        <w:footnoteRef/>
      </w:r>
      <w:r w:rsidRPr="00730BF0">
        <w:rPr>
          <w:rFonts w:ascii="Times New Roman" w:hAnsi="Times New Roman"/>
        </w:rPr>
        <w:t xml:space="preserve"> A diretora do Escritório da OIT no Brasil, Laís Wendel Abramo, participou da 32ª</w:t>
      </w:r>
      <w:r>
        <w:rPr>
          <w:rFonts w:ascii="Times New Roman" w:hAnsi="Times New Roman"/>
        </w:rPr>
        <w:t xml:space="preserve"> Reunião Plenária do CDES, em dezembro de 2009, para tratar de “Empregos Verdes” no Brasil. </w:t>
      </w:r>
    </w:p>
  </w:footnote>
  <w:footnote w:id="616">
    <w:p w:rsidR="00DD31B9" w:rsidRPr="00730BF0" w:rsidRDefault="00DD31B9" w:rsidP="00837AC8">
      <w:pPr>
        <w:pStyle w:val="Textodenotaderodap"/>
        <w:rPr>
          <w:rFonts w:ascii="Times New Roman" w:hAnsi="Times New Roman"/>
        </w:rPr>
      </w:pPr>
      <w:r w:rsidRPr="00730BF0">
        <w:rPr>
          <w:rStyle w:val="Refdenotaderodap"/>
          <w:rFonts w:ascii="Times New Roman" w:hAnsi="Times New Roman"/>
        </w:rPr>
        <w:footnoteRef/>
      </w:r>
      <w:r w:rsidRPr="00730BF0">
        <w:rPr>
          <w:rFonts w:ascii="Times New Roman" w:hAnsi="Times New Roman"/>
          <w:color w:val="000000"/>
        </w:rPr>
        <w:t>Revista Poli: Saúde, Educação e Trabalho – jornalismo público para o fortalecimento da Educação Profissional em Saúd</w:t>
      </w:r>
      <w:r>
        <w:rPr>
          <w:rFonts w:ascii="Times New Roman" w:hAnsi="Times New Roman"/>
          <w:color w:val="000000"/>
        </w:rPr>
        <w:t>e. Ano VI – nº 32, jan/fev 2014, p. 06.</w:t>
      </w:r>
    </w:p>
  </w:footnote>
  <w:footnote w:id="617">
    <w:p w:rsidR="00DD31B9" w:rsidRPr="00730BF0" w:rsidRDefault="00DD31B9" w:rsidP="00837AC8">
      <w:pPr>
        <w:pStyle w:val="Textodenotaderodap"/>
        <w:rPr>
          <w:rFonts w:ascii="Times New Roman" w:hAnsi="Times New Roman"/>
        </w:rPr>
      </w:pPr>
      <w:r w:rsidRPr="00730BF0">
        <w:rPr>
          <w:rStyle w:val="Refdenotaderodap"/>
          <w:rFonts w:ascii="Times New Roman" w:hAnsi="Times New Roman"/>
        </w:rPr>
        <w:footnoteRef/>
      </w:r>
      <w:r>
        <w:rPr>
          <w:rFonts w:ascii="Times New Roman" w:hAnsi="Times New Roman"/>
        </w:rPr>
        <w:t>“</w:t>
      </w:r>
      <w:r w:rsidRPr="00B577E1">
        <w:rPr>
          <w:rFonts w:ascii="Times New Roman" w:hAnsi="Times New Roman"/>
        </w:rPr>
        <w:t>O idealismo burguês precisa ser posto de lado, com seus compromissos mais ou menos fortes com qualquer reformismo autêntic</w:t>
      </w:r>
      <w:r>
        <w:rPr>
          <w:rFonts w:ascii="Times New Roman" w:hAnsi="Times New Roman"/>
        </w:rPr>
        <w:t>o</w:t>
      </w:r>
      <w:r w:rsidRPr="00B577E1">
        <w:rPr>
          <w:rFonts w:ascii="Times New Roman" w:hAnsi="Times New Roman"/>
        </w:rPr>
        <w:t>, com qualquer liberalismo radical, com qualquer nacionalismo democrático-burguês mais ou menos congruente</w:t>
      </w:r>
      <w:r>
        <w:rPr>
          <w:rFonts w:ascii="Times New Roman" w:hAnsi="Times New Roman"/>
        </w:rPr>
        <w:t xml:space="preserve">”. </w:t>
      </w:r>
      <w:r w:rsidRPr="00730BF0">
        <w:rPr>
          <w:rFonts w:ascii="Times New Roman" w:hAnsi="Times New Roman"/>
        </w:rPr>
        <w:t xml:space="preserve">FERNANDES, Florestan. </w:t>
      </w:r>
      <w:r w:rsidRPr="00730BF0">
        <w:rPr>
          <w:rFonts w:ascii="Times New Roman" w:hAnsi="Times New Roman"/>
          <w:i/>
        </w:rPr>
        <w:t>A Revolução Burguesa no Brasil</w:t>
      </w:r>
      <w:r w:rsidRPr="00730BF0">
        <w:rPr>
          <w:rFonts w:ascii="Times New Roman" w:hAnsi="Times New Roman"/>
        </w:rPr>
        <w:t>: ensaio de interpretação sociológica. 5ª ed. - São Paulo: Globo, 2005</w:t>
      </w:r>
      <w:r>
        <w:rPr>
          <w:rFonts w:ascii="Times New Roman" w:hAnsi="Times New Roman"/>
        </w:rPr>
        <w:t>, p. 345.</w:t>
      </w:r>
    </w:p>
  </w:footnote>
  <w:footnote w:id="618">
    <w:p w:rsidR="00DD31B9" w:rsidRDefault="00DD31B9" w:rsidP="00837AC8">
      <w:pPr>
        <w:pStyle w:val="Textodenotaderodap"/>
        <w:rPr>
          <w:rFonts w:ascii="Times New Roman" w:hAnsi="Times New Roman"/>
        </w:rPr>
      </w:pPr>
      <w:r w:rsidRPr="00E51F07">
        <w:rPr>
          <w:rStyle w:val="Refdenotaderodap"/>
          <w:rFonts w:ascii="Times New Roman" w:hAnsi="Times New Roman"/>
        </w:rPr>
        <w:footnoteRef/>
      </w:r>
      <w:r>
        <w:rPr>
          <w:rFonts w:ascii="Times New Roman" w:hAnsi="Times New Roman"/>
        </w:rPr>
        <w:t xml:space="preserve">Jornal Brasil de Fato. </w:t>
      </w:r>
      <w:r w:rsidRPr="006E3852">
        <w:rPr>
          <w:rFonts w:ascii="Times New Roman" w:hAnsi="Times New Roman"/>
          <w:i/>
        </w:rPr>
        <w:t>Trabalho escravo em hidrelétricas financiadas pelo BNDES</w:t>
      </w:r>
      <w:r>
        <w:rPr>
          <w:rFonts w:ascii="Times New Roman" w:hAnsi="Times New Roman"/>
        </w:rPr>
        <w:t>. Reportagem de Alexania Rossato. 15/12/2009. Disponível em &lt;</w:t>
      </w:r>
      <w:r w:rsidRPr="00E51F07">
        <w:rPr>
          <w:rFonts w:ascii="Times New Roman" w:hAnsi="Times New Roman"/>
        </w:rPr>
        <w:t>http://www.brasildefato.com.br/node/5009</w:t>
      </w:r>
      <w:r>
        <w:rPr>
          <w:rFonts w:ascii="Times New Roman" w:hAnsi="Times New Roman"/>
        </w:rPr>
        <w:t xml:space="preserve">&gt;.                                                                                                                                                                                              </w:t>
      </w:r>
    </w:p>
    <w:p w:rsidR="00DD31B9" w:rsidRPr="00E51F07" w:rsidRDefault="00DD31B9" w:rsidP="00837AC8">
      <w:pPr>
        <w:pStyle w:val="Textodenotaderodap"/>
        <w:rPr>
          <w:rFonts w:ascii="Times New Roman" w:hAnsi="Times New Roman"/>
        </w:rPr>
      </w:pPr>
      <w:r>
        <w:rPr>
          <w:rFonts w:ascii="Times New Roman" w:hAnsi="Times New Roman"/>
        </w:rPr>
        <w:t xml:space="preserve"> Acesso em 10/01/2015.</w:t>
      </w:r>
    </w:p>
  </w:footnote>
  <w:footnote w:id="619">
    <w:p w:rsidR="00DD31B9" w:rsidRPr="000118FC" w:rsidRDefault="00DD31B9">
      <w:pPr>
        <w:pStyle w:val="Textodenotaderodap"/>
        <w:rPr>
          <w:rFonts w:ascii="Times New Roman" w:hAnsi="Times New Roman"/>
        </w:rPr>
      </w:pPr>
      <w:r w:rsidRPr="000118FC">
        <w:rPr>
          <w:rStyle w:val="Refdenotaderodap"/>
          <w:rFonts w:ascii="Times New Roman" w:hAnsi="Times New Roman"/>
        </w:rPr>
        <w:footnoteRef/>
      </w:r>
      <w:r w:rsidRPr="000118FC">
        <w:rPr>
          <w:rFonts w:ascii="Times New Roman" w:hAnsi="Times New Roman"/>
        </w:rPr>
        <w:t xml:space="preserve"> FERNANDES, Florestan. </w:t>
      </w:r>
      <w:r w:rsidRPr="000118FC">
        <w:rPr>
          <w:rFonts w:ascii="Times New Roman" w:hAnsi="Times New Roman"/>
          <w:i/>
        </w:rPr>
        <w:t>A Revolução Burguesa no Brasil</w:t>
      </w:r>
      <w:r>
        <w:rPr>
          <w:rFonts w:ascii="Times New Roman" w:hAnsi="Times New Roman"/>
        </w:rPr>
        <w:t>... Op. cit., 345.</w:t>
      </w:r>
    </w:p>
  </w:footnote>
  <w:footnote w:id="620">
    <w:p w:rsidR="00DD31B9" w:rsidRPr="005276B7" w:rsidRDefault="00DD31B9" w:rsidP="00837AC8">
      <w:pPr>
        <w:pStyle w:val="Textodenotaderodap"/>
        <w:rPr>
          <w:rFonts w:ascii="Times New Roman" w:hAnsi="Times New Roman"/>
        </w:rPr>
      </w:pPr>
      <w:r w:rsidRPr="005276B7">
        <w:rPr>
          <w:rStyle w:val="Refdenotaderodap"/>
          <w:rFonts w:ascii="Times New Roman" w:hAnsi="Times New Roman"/>
        </w:rPr>
        <w:footnoteRef/>
      </w:r>
      <w:r w:rsidRPr="005276B7">
        <w:rPr>
          <w:rFonts w:ascii="Times New Roman" w:hAnsi="Times New Roman"/>
        </w:rPr>
        <w:t xml:space="preserve"> Aos remanescentes nos canaviais, a “qualificação” foi realizada, mas às custas de maior exploração da força de trabalho, principalmente nos períodos de safra, nos novos postos de trabalhos criados pelo “aperfeiçoamento técnico”. Vimos também que no processo relações sociais advindo da introdução de novas máquinas e procedimentos produtivos tampouco o trabalho precário e degradante se extinguiu, prosseguindo o surgimento de novas ocupações aviltantes. Cabe lembrar que o CDES não se envolveu com o treinamento da força de trabalho nos canaviais – ficando a cargo da entidade dos usineiros (ÚNICA) e dos trabalhadores (Feraesp/CUT) patrocinado por grupos empresariais internacionais, num projeto denominado RenovAção -, voltando-se à “requalificação” dos trabalhadores considerados excedentes e “realocados” para o setor da construção civil.</w:t>
      </w:r>
    </w:p>
  </w:footnote>
  <w:footnote w:id="621">
    <w:p w:rsidR="00DD31B9" w:rsidRPr="00730BF0" w:rsidRDefault="00DD31B9" w:rsidP="00837AC8">
      <w:pPr>
        <w:pStyle w:val="Textodenotaderodap"/>
        <w:rPr>
          <w:rFonts w:ascii="Times New Roman" w:hAnsi="Times New Roman"/>
        </w:rPr>
      </w:pPr>
      <w:r w:rsidRPr="00730BF0">
        <w:rPr>
          <w:rStyle w:val="Refdenotaderodap"/>
          <w:rFonts w:ascii="Times New Roman" w:hAnsi="Times New Roman"/>
        </w:rPr>
        <w:footnoteRef/>
      </w:r>
      <w:r w:rsidRPr="00730BF0">
        <w:rPr>
          <w:rFonts w:ascii="Times New Roman" w:hAnsi="Times New Roman"/>
        </w:rPr>
        <w:t xml:space="preserve"> GRAMSCI, Antonio. </w:t>
      </w:r>
      <w:r w:rsidRPr="00730BF0">
        <w:rPr>
          <w:rFonts w:ascii="Times New Roman" w:hAnsi="Times New Roman"/>
          <w:i/>
        </w:rPr>
        <w:t>Cadernos do Cárcere</w:t>
      </w:r>
      <w:r w:rsidRPr="00730BF0">
        <w:rPr>
          <w:rFonts w:ascii="Times New Roman" w:hAnsi="Times New Roman"/>
        </w:rPr>
        <w:t>, v. 2. Os Intelectuais; O princípio educativo; Jornalismo, 2004, p. 78.</w:t>
      </w:r>
    </w:p>
  </w:footnote>
  <w:footnote w:id="622">
    <w:p w:rsidR="00DD31B9" w:rsidRPr="00083726" w:rsidRDefault="00DD31B9" w:rsidP="004D7366">
      <w:pPr>
        <w:spacing w:after="0"/>
        <w:rPr>
          <w:rFonts w:ascii="Times New Roman" w:hAnsi="Times New Roman"/>
          <w:sz w:val="20"/>
          <w:szCs w:val="20"/>
        </w:rPr>
      </w:pPr>
      <w:r w:rsidRPr="00083726">
        <w:rPr>
          <w:rStyle w:val="Refdenotaderodap"/>
          <w:rFonts w:ascii="Times New Roman" w:hAnsi="Times New Roman"/>
          <w:sz w:val="20"/>
          <w:szCs w:val="20"/>
        </w:rPr>
        <w:footnoteRef/>
      </w:r>
      <w:r>
        <w:rPr>
          <w:rFonts w:ascii="Times New Roman" w:hAnsi="Times New Roman"/>
          <w:sz w:val="20"/>
          <w:szCs w:val="20"/>
        </w:rPr>
        <w:t xml:space="preserve">FONTES, Virgínia. </w:t>
      </w:r>
      <w:r w:rsidRPr="00083726">
        <w:rPr>
          <w:rFonts w:ascii="Times New Roman" w:hAnsi="Times New Roman"/>
          <w:i/>
          <w:sz w:val="20"/>
          <w:szCs w:val="20"/>
        </w:rPr>
        <w:t>Reflexões im-pertinentes:</w:t>
      </w:r>
      <w:r w:rsidRPr="00083726">
        <w:rPr>
          <w:rFonts w:ascii="Times New Roman" w:hAnsi="Times New Roman"/>
          <w:sz w:val="20"/>
          <w:szCs w:val="20"/>
        </w:rPr>
        <w:t xml:space="preserve"> História e capitalismo contemporâneo. Rio de Janeiro: Bom Texto, 2005, </w:t>
      </w:r>
      <w:r>
        <w:rPr>
          <w:rFonts w:ascii="Times New Roman" w:hAnsi="Times New Roman"/>
          <w:sz w:val="20"/>
          <w:szCs w:val="20"/>
        </w:rPr>
        <w:t>p</w:t>
      </w:r>
      <w:r w:rsidRPr="00083726">
        <w:rPr>
          <w:rFonts w:ascii="Times New Roman" w:hAnsi="Times New Roman"/>
          <w:sz w:val="20"/>
          <w:szCs w:val="20"/>
        </w:rPr>
        <w:t>. 279</w:t>
      </w:r>
      <w:r>
        <w:rPr>
          <w:rFonts w:ascii="Times New Roman" w:hAnsi="Times New Roman"/>
          <w:sz w:val="20"/>
          <w:szCs w:val="20"/>
        </w:rPr>
        <w:t>.</w:t>
      </w:r>
    </w:p>
  </w:footnote>
  <w:footnote w:id="623">
    <w:p w:rsidR="00DD31B9" w:rsidRPr="00083726" w:rsidRDefault="00DD31B9" w:rsidP="004D7366">
      <w:pPr>
        <w:pStyle w:val="Textodenotaderodap"/>
        <w:rPr>
          <w:rFonts w:ascii="Times New Roman" w:hAnsi="Times New Roman"/>
        </w:rPr>
      </w:pPr>
      <w:r w:rsidRPr="00083726">
        <w:rPr>
          <w:rStyle w:val="Refdenotaderodap"/>
          <w:rFonts w:ascii="Times New Roman" w:hAnsi="Times New Roman"/>
        </w:rPr>
        <w:footnoteRef/>
      </w:r>
      <w:r>
        <w:rPr>
          <w:rFonts w:ascii="Times New Roman" w:hAnsi="Times New Roman"/>
        </w:rPr>
        <w:t>Idem, p. 282, grifos meus.</w:t>
      </w:r>
    </w:p>
  </w:footnote>
  <w:footnote w:id="624">
    <w:p w:rsidR="00DD31B9" w:rsidRPr="00CB069C" w:rsidRDefault="00DD31B9" w:rsidP="004D7366">
      <w:pPr>
        <w:pStyle w:val="Textodenotaderodap"/>
        <w:rPr>
          <w:rFonts w:ascii="Times New Roman" w:hAnsi="Times New Roman"/>
        </w:rPr>
      </w:pPr>
      <w:r w:rsidRPr="00CB069C">
        <w:rPr>
          <w:rStyle w:val="Refdenotaderodap"/>
          <w:rFonts w:ascii="Times New Roman" w:hAnsi="Times New Roman"/>
        </w:rPr>
        <w:footnoteRef/>
      </w:r>
      <w:r w:rsidRPr="00CB069C">
        <w:rPr>
          <w:rFonts w:ascii="Times New Roman" w:hAnsi="Times New Roman"/>
        </w:rPr>
        <w:t xml:space="preserve"> O único como pertencente à tradição </w:t>
      </w:r>
      <w:r>
        <w:rPr>
          <w:rFonts w:ascii="Times New Roman" w:hAnsi="Times New Roman"/>
        </w:rPr>
        <w:t xml:space="preserve">intelectual </w:t>
      </w:r>
      <w:r w:rsidRPr="00CB069C">
        <w:rPr>
          <w:rFonts w:ascii="Times New Roman" w:hAnsi="Times New Roman"/>
        </w:rPr>
        <w:t>marxista foi Luis Manoel Fernandes, professor do Departamento de Ciência Política da UFF, filiado ao PC do B</w:t>
      </w:r>
      <w:r>
        <w:rPr>
          <w:rFonts w:ascii="Times New Roman" w:hAnsi="Times New Roman"/>
        </w:rPr>
        <w:t>, partido da base de apoio ao governo</w:t>
      </w:r>
      <w:r w:rsidRPr="00CB069C">
        <w:rPr>
          <w:rFonts w:ascii="Times New Roman" w:hAnsi="Times New Roman"/>
        </w:rPr>
        <w:t xml:space="preserve">. Foi conselheiro do CDES entre </w:t>
      </w:r>
      <w:r w:rsidRPr="00CB069C">
        <w:rPr>
          <w:rFonts w:ascii="Times New Roman" w:hAnsi="Times New Roman"/>
          <w:color w:val="000000"/>
        </w:rPr>
        <w:t>13/02/2003 a 06/05/2004 e à época era Presidente da Financiadora de Estudos e Projetos (FINEP).</w:t>
      </w:r>
    </w:p>
  </w:footnote>
  <w:footnote w:id="625">
    <w:p w:rsidR="00DD31B9" w:rsidRPr="00CB069C" w:rsidRDefault="00DD31B9" w:rsidP="004D7366">
      <w:pPr>
        <w:pStyle w:val="Textodenotaderodap"/>
        <w:rPr>
          <w:rFonts w:ascii="Times New Roman" w:hAnsi="Times New Roman"/>
        </w:rPr>
      </w:pPr>
      <w:r w:rsidRPr="00CB069C">
        <w:rPr>
          <w:rStyle w:val="Refdenotaderodap"/>
          <w:rFonts w:ascii="Times New Roman" w:hAnsi="Times New Roman"/>
        </w:rPr>
        <w:footnoteRef/>
      </w:r>
      <w:r w:rsidRPr="00CB069C">
        <w:rPr>
          <w:rFonts w:ascii="Times New Roman" w:hAnsi="Times New Roman"/>
        </w:rPr>
        <w:t xml:space="preserve"> Eram eles: Aparecida Carneiro, da Articulação Nacional de Mulheres Negras, conselheira de </w:t>
      </w:r>
      <w:r w:rsidRPr="00CB069C">
        <w:rPr>
          <w:rFonts w:ascii="Times New Roman" w:hAnsi="Times New Roman"/>
          <w:color w:val="000000"/>
        </w:rPr>
        <w:t>13/02/2003 a 14/02/2005</w:t>
      </w:r>
      <w:r w:rsidRPr="00CB069C">
        <w:rPr>
          <w:rFonts w:ascii="Times New Roman" w:hAnsi="Times New Roman"/>
        </w:rPr>
        <w:t xml:space="preserve">; Roberto Baggio, do Movimento dos Trabalhadores Rurais sem Terra, conselheiro de </w:t>
      </w:r>
      <w:r w:rsidRPr="00CB069C">
        <w:rPr>
          <w:rFonts w:ascii="Times New Roman" w:hAnsi="Times New Roman"/>
          <w:color w:val="000000"/>
        </w:rPr>
        <w:t>13/02/2003 a 14/02/2005</w:t>
      </w:r>
      <w:r w:rsidRPr="00CB069C">
        <w:rPr>
          <w:rFonts w:ascii="Times New Roman" w:hAnsi="Times New Roman"/>
        </w:rPr>
        <w:t xml:space="preserve">; Joênia Batista, do Conselho Indígena de Roraima, conselheira de </w:t>
      </w:r>
      <w:r w:rsidRPr="00CB069C">
        <w:rPr>
          <w:rFonts w:ascii="Times New Roman" w:hAnsi="Times New Roman"/>
          <w:color w:val="000000"/>
        </w:rPr>
        <w:t>09/03/2005 a 25/08/2009</w:t>
      </w:r>
      <w:r w:rsidRPr="00CB069C">
        <w:rPr>
          <w:rFonts w:ascii="Times New Roman" w:hAnsi="Times New Roman"/>
        </w:rPr>
        <w:t xml:space="preserve">; Julio Barbosa de Aquino, do Conselho Nacional de Seringueiros, conselheiro de </w:t>
      </w:r>
      <w:r w:rsidRPr="00CB069C">
        <w:rPr>
          <w:rFonts w:ascii="Times New Roman" w:hAnsi="Times New Roman"/>
          <w:color w:val="000000"/>
        </w:rPr>
        <w:t>09/03/2005 a 25/08/2009</w:t>
      </w:r>
      <w:r w:rsidRPr="00CB069C">
        <w:rPr>
          <w:rFonts w:ascii="Times New Roman" w:hAnsi="Times New Roman"/>
        </w:rPr>
        <w:t>. Reparem que os quatros jamais estiveram juntos no CDES: dois</w:t>
      </w:r>
      <w:r>
        <w:rPr>
          <w:rFonts w:ascii="Times New Roman" w:hAnsi="Times New Roman"/>
        </w:rPr>
        <w:t xml:space="preserve"> atuaram</w:t>
      </w:r>
      <w:r w:rsidRPr="00CB069C">
        <w:rPr>
          <w:rFonts w:ascii="Times New Roman" w:hAnsi="Times New Roman"/>
        </w:rPr>
        <w:t xml:space="preserve"> num primeiro período (2003-2005) e dois no período subseq</w:t>
      </w:r>
      <w:r>
        <w:rPr>
          <w:rFonts w:ascii="Times New Roman" w:hAnsi="Times New Roman"/>
        </w:rPr>
        <w:t>u</w:t>
      </w:r>
      <w:r w:rsidRPr="00CB069C">
        <w:rPr>
          <w:rFonts w:ascii="Times New Roman" w:hAnsi="Times New Roman"/>
        </w:rPr>
        <w:t>ente (2005-2009). Sendo assim,</w:t>
      </w:r>
      <w:r w:rsidRPr="00CB069C">
        <w:rPr>
          <w:rFonts w:ascii="Times New Roman" w:hAnsi="Times New Roman"/>
          <w:b/>
        </w:rPr>
        <w:t xml:space="preserve"> a representação dos movimentos sociais populares no CDES alcançou somente 2% da plenária</w:t>
      </w:r>
      <w:r w:rsidRPr="00CB069C">
        <w:rPr>
          <w:rFonts w:ascii="Times New Roman" w:hAnsi="Times New Roman"/>
        </w:rPr>
        <w:t>.</w:t>
      </w:r>
    </w:p>
  </w:footnote>
  <w:footnote w:id="626">
    <w:p w:rsidR="00DD31B9" w:rsidRPr="00083726" w:rsidRDefault="00DD31B9" w:rsidP="00893BFA">
      <w:pPr>
        <w:spacing w:after="0" w:line="240" w:lineRule="auto"/>
        <w:rPr>
          <w:rFonts w:ascii="Times New Roman" w:hAnsi="Times New Roman"/>
          <w:sz w:val="20"/>
          <w:szCs w:val="20"/>
        </w:rPr>
      </w:pPr>
      <w:r w:rsidRPr="00083726">
        <w:rPr>
          <w:rStyle w:val="Refdenotaderodap"/>
          <w:rFonts w:ascii="Times New Roman" w:hAnsi="Times New Roman"/>
          <w:sz w:val="20"/>
          <w:szCs w:val="20"/>
        </w:rPr>
        <w:footnoteRef/>
      </w:r>
      <w:r w:rsidRPr="00083726">
        <w:rPr>
          <w:rFonts w:ascii="Times New Roman" w:hAnsi="Times New Roman"/>
          <w:sz w:val="20"/>
          <w:szCs w:val="20"/>
        </w:rPr>
        <w:t xml:space="preserve"> FLEURY, Sonia (2006). </w:t>
      </w:r>
      <w:r w:rsidRPr="00083726">
        <w:rPr>
          <w:rFonts w:ascii="Times New Roman" w:hAnsi="Times New Roman"/>
          <w:i/>
          <w:sz w:val="20"/>
          <w:szCs w:val="20"/>
        </w:rPr>
        <w:t>O Conselho de Desenvolvimento Econômico e Social do Governo Lula</w:t>
      </w:r>
      <w:r w:rsidRPr="00083726">
        <w:rPr>
          <w:rFonts w:ascii="Times New Roman" w:hAnsi="Times New Roman"/>
          <w:sz w:val="20"/>
          <w:szCs w:val="20"/>
        </w:rPr>
        <w:t>... Op. cit., p. 31-32, grifos meus.</w:t>
      </w:r>
    </w:p>
  </w:footnote>
  <w:footnote w:id="627">
    <w:p w:rsidR="00DD31B9" w:rsidRPr="00D746B5" w:rsidRDefault="00DD31B9" w:rsidP="004D7366">
      <w:pPr>
        <w:pStyle w:val="Textodenotaderodap"/>
        <w:rPr>
          <w:rFonts w:ascii="Times New Roman" w:hAnsi="Times New Roman"/>
        </w:rPr>
      </w:pPr>
      <w:r w:rsidRPr="00D746B5">
        <w:rPr>
          <w:rStyle w:val="Refdenotaderodap"/>
          <w:rFonts w:ascii="Times New Roman" w:hAnsi="Times New Roman"/>
        </w:rPr>
        <w:footnoteRef/>
      </w:r>
      <w:r>
        <w:rPr>
          <w:rFonts w:ascii="Times New Roman" w:hAnsi="Times New Roman"/>
        </w:rPr>
        <w:t xml:space="preserve">GRAMSCI, Antonio. </w:t>
      </w:r>
      <w:r>
        <w:rPr>
          <w:rFonts w:ascii="Times New Roman" w:hAnsi="Times New Roman"/>
          <w:i/>
        </w:rPr>
        <w:t>Cadernos do Cárcere</w:t>
      </w:r>
      <w:r>
        <w:rPr>
          <w:rFonts w:ascii="Times New Roman" w:hAnsi="Times New Roman"/>
        </w:rPr>
        <w:t xml:space="preserve">. v.5. O </w:t>
      </w:r>
      <w:r>
        <w:rPr>
          <w:rFonts w:ascii="Times New Roman" w:hAnsi="Times New Roman"/>
          <w:i/>
        </w:rPr>
        <w:t>Risorgimento</w:t>
      </w:r>
      <w:r>
        <w:rPr>
          <w:rFonts w:ascii="Times New Roman" w:hAnsi="Times New Roman"/>
        </w:rPr>
        <w:t xml:space="preserve">. Notas sobre a história da Itália. 2ªed. Rio de Janeiro: Civilização Brasileira, 2011, p. 63. </w:t>
      </w:r>
    </w:p>
  </w:footnote>
  <w:footnote w:id="628">
    <w:p w:rsidR="00DD31B9" w:rsidRPr="00A7607B" w:rsidRDefault="00DD31B9" w:rsidP="004D7366">
      <w:pPr>
        <w:pStyle w:val="Textodenotaderodap"/>
        <w:rPr>
          <w:rFonts w:ascii="Times New Roman" w:hAnsi="Times New Roman"/>
        </w:rPr>
      </w:pPr>
      <w:r w:rsidRPr="00B24BA9">
        <w:rPr>
          <w:rStyle w:val="Refdenotaderodap"/>
          <w:rFonts w:ascii="Times New Roman" w:hAnsi="Times New Roman"/>
        </w:rPr>
        <w:footnoteRef/>
      </w:r>
      <w:r>
        <w:rPr>
          <w:rFonts w:ascii="Times New Roman" w:hAnsi="Times New Roman"/>
        </w:rPr>
        <w:t xml:space="preserve">Para uma profunda e refinada análise do fenômeno do transformismo nos Partidos dos Trabalhadores ler COELHO, Eurelino. </w:t>
      </w:r>
      <w:r>
        <w:rPr>
          <w:rFonts w:ascii="Times New Roman" w:hAnsi="Times New Roman"/>
          <w:i/>
        </w:rPr>
        <w:t>Uma esquerda para o capital</w:t>
      </w:r>
      <w:r>
        <w:rPr>
          <w:rFonts w:ascii="Times New Roman" w:hAnsi="Times New Roman"/>
        </w:rPr>
        <w:t>... Op. cit.</w:t>
      </w:r>
    </w:p>
  </w:footnote>
  <w:footnote w:id="629">
    <w:p w:rsidR="00DD31B9" w:rsidRPr="00611ED3" w:rsidRDefault="00DD31B9" w:rsidP="004D7366">
      <w:pPr>
        <w:pStyle w:val="Textodenotaderodap"/>
        <w:rPr>
          <w:rFonts w:ascii="Times New Roman" w:hAnsi="Times New Roman"/>
        </w:rPr>
      </w:pPr>
      <w:r w:rsidRPr="00611ED3">
        <w:rPr>
          <w:rStyle w:val="Refdenotaderodap"/>
          <w:rFonts w:ascii="Times New Roman" w:hAnsi="Times New Roman"/>
        </w:rPr>
        <w:footnoteRef/>
      </w:r>
      <w:r>
        <w:rPr>
          <w:rFonts w:ascii="Times New Roman" w:hAnsi="Times New Roman"/>
        </w:rPr>
        <w:t xml:space="preserve">FERNANDES, Florestan. </w:t>
      </w:r>
      <w:r>
        <w:rPr>
          <w:rFonts w:ascii="Times New Roman" w:hAnsi="Times New Roman"/>
          <w:i/>
        </w:rPr>
        <w:t xml:space="preserve">A transição prolongada: </w:t>
      </w:r>
      <w:r>
        <w:rPr>
          <w:rFonts w:ascii="Times New Roman" w:hAnsi="Times New Roman"/>
        </w:rPr>
        <w:t>o período pós-constitucional. São Paulo: Cortez, 1990, p.133, grifos meus. Este trecho corresponde ao artigo de Florestan na Folha de São Paulo em 16/12/1988, sob o título de “Os conselhos populares e o PT”.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88411"/>
      <w:docPartObj>
        <w:docPartGallery w:val="Page Numbers (Top of Page)"/>
        <w:docPartUnique/>
      </w:docPartObj>
    </w:sdtPr>
    <w:sdtEndPr>
      <w:rPr>
        <w:rFonts w:ascii="Times New Roman" w:hAnsi="Times New Roman"/>
      </w:rPr>
    </w:sdtEndPr>
    <w:sdtContent>
      <w:p w:rsidR="00DD31B9" w:rsidRPr="00AE55C1" w:rsidRDefault="00DB7322">
        <w:pPr>
          <w:pStyle w:val="Cabealho"/>
          <w:jc w:val="right"/>
          <w:rPr>
            <w:rFonts w:ascii="Times New Roman" w:hAnsi="Times New Roman"/>
          </w:rPr>
        </w:pPr>
        <w:r w:rsidRPr="00AE55C1">
          <w:rPr>
            <w:rFonts w:ascii="Times New Roman" w:hAnsi="Times New Roman"/>
          </w:rPr>
          <w:fldChar w:fldCharType="begin"/>
        </w:r>
        <w:r w:rsidR="00DD31B9" w:rsidRPr="00AE55C1">
          <w:rPr>
            <w:rFonts w:ascii="Times New Roman" w:hAnsi="Times New Roman"/>
          </w:rPr>
          <w:instrText xml:space="preserve"> PAGE   \* MERGEFORMAT </w:instrText>
        </w:r>
        <w:r w:rsidRPr="00AE55C1">
          <w:rPr>
            <w:rFonts w:ascii="Times New Roman" w:hAnsi="Times New Roman"/>
          </w:rPr>
          <w:fldChar w:fldCharType="separate"/>
        </w:r>
        <w:r w:rsidR="0078655D">
          <w:rPr>
            <w:rFonts w:ascii="Times New Roman" w:hAnsi="Times New Roman"/>
            <w:noProof/>
          </w:rPr>
          <w:t>304</w:t>
        </w:r>
        <w:r w:rsidRPr="00AE55C1">
          <w:rPr>
            <w:rFonts w:ascii="Times New Roman" w:hAnsi="Times New Roman"/>
          </w:rPr>
          <w:fldChar w:fldCharType="end"/>
        </w:r>
      </w:p>
    </w:sdtContent>
  </w:sdt>
  <w:p w:rsidR="00DD31B9" w:rsidRDefault="00DD31B9">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1B9" w:rsidRPr="00112763" w:rsidRDefault="00DB7322">
    <w:pPr>
      <w:pStyle w:val="Cabealho"/>
      <w:jc w:val="right"/>
      <w:rPr>
        <w:rFonts w:ascii="Times New Roman" w:hAnsi="Times New Roman"/>
      </w:rPr>
    </w:pPr>
    <w:r w:rsidRPr="00112763">
      <w:rPr>
        <w:rFonts w:ascii="Times New Roman" w:hAnsi="Times New Roman"/>
      </w:rPr>
      <w:fldChar w:fldCharType="begin"/>
    </w:r>
    <w:r w:rsidR="00DD31B9" w:rsidRPr="00112763">
      <w:rPr>
        <w:rFonts w:ascii="Times New Roman" w:hAnsi="Times New Roman"/>
      </w:rPr>
      <w:instrText xml:space="preserve"> PAGE   \* MERGEFORMAT </w:instrText>
    </w:r>
    <w:r w:rsidRPr="00112763">
      <w:rPr>
        <w:rFonts w:ascii="Times New Roman" w:hAnsi="Times New Roman"/>
      </w:rPr>
      <w:fldChar w:fldCharType="separate"/>
    </w:r>
    <w:r w:rsidR="0078655D">
      <w:rPr>
        <w:rFonts w:ascii="Times New Roman" w:hAnsi="Times New Roman"/>
        <w:noProof/>
      </w:rPr>
      <w:t>385</w:t>
    </w:r>
    <w:r w:rsidRPr="00112763">
      <w:rPr>
        <w:rFonts w:ascii="Times New Roman" w:hAnsi="Times New Roman"/>
      </w:rPr>
      <w:fldChar w:fldCharType="end"/>
    </w:r>
  </w:p>
  <w:p w:rsidR="00DD31B9" w:rsidRDefault="00DD31B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6BB5B47"/>
    <w:multiLevelType w:val="hybridMultilevel"/>
    <w:tmpl w:val="F8D6CD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7AC0867"/>
    <w:multiLevelType w:val="hybridMultilevel"/>
    <w:tmpl w:val="29446E56"/>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9497907"/>
    <w:multiLevelType w:val="hybridMultilevel"/>
    <w:tmpl w:val="CFAEEA76"/>
    <w:lvl w:ilvl="0" w:tplc="32BCD424">
      <w:start w:val="1"/>
      <w:numFmt w:val="bullet"/>
      <w:lvlText w:val=""/>
      <w:lvlJc w:val="left"/>
      <w:pPr>
        <w:ind w:left="720" w:hanging="360"/>
      </w:pPr>
      <w:rPr>
        <w:rFonts w:ascii="Symbol" w:hAnsi="Symbol" w:hint="default"/>
      </w:rPr>
    </w:lvl>
    <w:lvl w:ilvl="1" w:tplc="2B40C454" w:tentative="1">
      <w:start w:val="1"/>
      <w:numFmt w:val="bullet"/>
      <w:lvlText w:val="o"/>
      <w:lvlJc w:val="left"/>
      <w:pPr>
        <w:ind w:left="1440" w:hanging="360"/>
      </w:pPr>
      <w:rPr>
        <w:rFonts w:ascii="Courier New" w:hAnsi="Courier New" w:cs="Courier New" w:hint="default"/>
      </w:rPr>
    </w:lvl>
    <w:lvl w:ilvl="2" w:tplc="6B261628" w:tentative="1">
      <w:start w:val="1"/>
      <w:numFmt w:val="bullet"/>
      <w:lvlText w:val=""/>
      <w:lvlJc w:val="left"/>
      <w:pPr>
        <w:ind w:left="2160" w:hanging="360"/>
      </w:pPr>
      <w:rPr>
        <w:rFonts w:ascii="Wingdings" w:hAnsi="Wingdings" w:hint="default"/>
      </w:rPr>
    </w:lvl>
    <w:lvl w:ilvl="3" w:tplc="81DEBE14" w:tentative="1">
      <w:start w:val="1"/>
      <w:numFmt w:val="bullet"/>
      <w:lvlText w:val=""/>
      <w:lvlJc w:val="left"/>
      <w:pPr>
        <w:ind w:left="2880" w:hanging="360"/>
      </w:pPr>
      <w:rPr>
        <w:rFonts w:ascii="Symbol" w:hAnsi="Symbol" w:hint="default"/>
      </w:rPr>
    </w:lvl>
    <w:lvl w:ilvl="4" w:tplc="7FC05774" w:tentative="1">
      <w:start w:val="1"/>
      <w:numFmt w:val="bullet"/>
      <w:lvlText w:val="o"/>
      <w:lvlJc w:val="left"/>
      <w:pPr>
        <w:ind w:left="3600" w:hanging="360"/>
      </w:pPr>
      <w:rPr>
        <w:rFonts w:ascii="Courier New" w:hAnsi="Courier New" w:cs="Courier New" w:hint="default"/>
      </w:rPr>
    </w:lvl>
    <w:lvl w:ilvl="5" w:tplc="85E66B62" w:tentative="1">
      <w:start w:val="1"/>
      <w:numFmt w:val="bullet"/>
      <w:lvlText w:val=""/>
      <w:lvlJc w:val="left"/>
      <w:pPr>
        <w:ind w:left="4320" w:hanging="360"/>
      </w:pPr>
      <w:rPr>
        <w:rFonts w:ascii="Wingdings" w:hAnsi="Wingdings" w:hint="default"/>
      </w:rPr>
    </w:lvl>
    <w:lvl w:ilvl="6" w:tplc="257A3CD4" w:tentative="1">
      <w:start w:val="1"/>
      <w:numFmt w:val="bullet"/>
      <w:lvlText w:val=""/>
      <w:lvlJc w:val="left"/>
      <w:pPr>
        <w:ind w:left="5040" w:hanging="360"/>
      </w:pPr>
      <w:rPr>
        <w:rFonts w:ascii="Symbol" w:hAnsi="Symbol" w:hint="default"/>
      </w:rPr>
    </w:lvl>
    <w:lvl w:ilvl="7" w:tplc="07C0D35A" w:tentative="1">
      <w:start w:val="1"/>
      <w:numFmt w:val="bullet"/>
      <w:lvlText w:val="o"/>
      <w:lvlJc w:val="left"/>
      <w:pPr>
        <w:ind w:left="5760" w:hanging="360"/>
      </w:pPr>
      <w:rPr>
        <w:rFonts w:ascii="Courier New" w:hAnsi="Courier New" w:cs="Courier New" w:hint="default"/>
      </w:rPr>
    </w:lvl>
    <w:lvl w:ilvl="8" w:tplc="C1F2E962" w:tentative="1">
      <w:start w:val="1"/>
      <w:numFmt w:val="bullet"/>
      <w:lvlText w:val=""/>
      <w:lvlJc w:val="left"/>
      <w:pPr>
        <w:ind w:left="6480" w:hanging="360"/>
      </w:pPr>
      <w:rPr>
        <w:rFonts w:ascii="Wingdings" w:hAnsi="Wingdings" w:hint="default"/>
      </w:rPr>
    </w:lvl>
  </w:abstractNum>
  <w:abstractNum w:abstractNumId="4">
    <w:nsid w:val="0AAA51DF"/>
    <w:multiLevelType w:val="hybridMultilevel"/>
    <w:tmpl w:val="4FB8D5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B0B4CD7"/>
    <w:multiLevelType w:val="hybridMultilevel"/>
    <w:tmpl w:val="3BEC1F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5936B28"/>
    <w:multiLevelType w:val="multilevel"/>
    <w:tmpl w:val="355468C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nsid w:val="16405353"/>
    <w:multiLevelType w:val="hybridMultilevel"/>
    <w:tmpl w:val="B3E4DEE4"/>
    <w:lvl w:ilvl="0" w:tplc="B0E4924A">
      <w:start w:val="1"/>
      <w:numFmt w:val="bullet"/>
      <w:lvlText w:val=""/>
      <w:lvlJc w:val="left"/>
      <w:pPr>
        <w:ind w:left="651" w:hanging="360"/>
      </w:pPr>
      <w:rPr>
        <w:rFonts w:ascii="Symbol" w:hAnsi="Symbol" w:hint="default"/>
      </w:rPr>
    </w:lvl>
    <w:lvl w:ilvl="1" w:tplc="8C3A0566" w:tentative="1">
      <w:start w:val="1"/>
      <w:numFmt w:val="bullet"/>
      <w:lvlText w:val="o"/>
      <w:lvlJc w:val="left"/>
      <w:pPr>
        <w:ind w:left="1371" w:hanging="360"/>
      </w:pPr>
      <w:rPr>
        <w:rFonts w:ascii="Courier New" w:hAnsi="Courier New" w:cs="Courier New" w:hint="default"/>
      </w:rPr>
    </w:lvl>
    <w:lvl w:ilvl="2" w:tplc="87008D2E" w:tentative="1">
      <w:start w:val="1"/>
      <w:numFmt w:val="bullet"/>
      <w:lvlText w:val=""/>
      <w:lvlJc w:val="left"/>
      <w:pPr>
        <w:ind w:left="2091" w:hanging="360"/>
      </w:pPr>
      <w:rPr>
        <w:rFonts w:ascii="Wingdings" w:hAnsi="Wingdings" w:hint="default"/>
      </w:rPr>
    </w:lvl>
    <w:lvl w:ilvl="3" w:tplc="C04EFE40" w:tentative="1">
      <w:start w:val="1"/>
      <w:numFmt w:val="bullet"/>
      <w:lvlText w:val=""/>
      <w:lvlJc w:val="left"/>
      <w:pPr>
        <w:ind w:left="2811" w:hanging="360"/>
      </w:pPr>
      <w:rPr>
        <w:rFonts w:ascii="Symbol" w:hAnsi="Symbol" w:hint="default"/>
      </w:rPr>
    </w:lvl>
    <w:lvl w:ilvl="4" w:tplc="68ECA896" w:tentative="1">
      <w:start w:val="1"/>
      <w:numFmt w:val="bullet"/>
      <w:lvlText w:val="o"/>
      <w:lvlJc w:val="left"/>
      <w:pPr>
        <w:ind w:left="3531" w:hanging="360"/>
      </w:pPr>
      <w:rPr>
        <w:rFonts w:ascii="Courier New" w:hAnsi="Courier New" w:cs="Courier New" w:hint="default"/>
      </w:rPr>
    </w:lvl>
    <w:lvl w:ilvl="5" w:tplc="138402F0" w:tentative="1">
      <w:start w:val="1"/>
      <w:numFmt w:val="bullet"/>
      <w:lvlText w:val=""/>
      <w:lvlJc w:val="left"/>
      <w:pPr>
        <w:ind w:left="4251" w:hanging="360"/>
      </w:pPr>
      <w:rPr>
        <w:rFonts w:ascii="Wingdings" w:hAnsi="Wingdings" w:hint="default"/>
      </w:rPr>
    </w:lvl>
    <w:lvl w:ilvl="6" w:tplc="08701B58" w:tentative="1">
      <w:start w:val="1"/>
      <w:numFmt w:val="bullet"/>
      <w:lvlText w:val=""/>
      <w:lvlJc w:val="left"/>
      <w:pPr>
        <w:ind w:left="4971" w:hanging="360"/>
      </w:pPr>
      <w:rPr>
        <w:rFonts w:ascii="Symbol" w:hAnsi="Symbol" w:hint="default"/>
      </w:rPr>
    </w:lvl>
    <w:lvl w:ilvl="7" w:tplc="54548518" w:tentative="1">
      <w:start w:val="1"/>
      <w:numFmt w:val="bullet"/>
      <w:lvlText w:val="o"/>
      <w:lvlJc w:val="left"/>
      <w:pPr>
        <w:ind w:left="5691" w:hanging="360"/>
      </w:pPr>
      <w:rPr>
        <w:rFonts w:ascii="Courier New" w:hAnsi="Courier New" w:cs="Courier New" w:hint="default"/>
      </w:rPr>
    </w:lvl>
    <w:lvl w:ilvl="8" w:tplc="6B38D48A" w:tentative="1">
      <w:start w:val="1"/>
      <w:numFmt w:val="bullet"/>
      <w:lvlText w:val=""/>
      <w:lvlJc w:val="left"/>
      <w:pPr>
        <w:ind w:left="6411" w:hanging="360"/>
      </w:pPr>
      <w:rPr>
        <w:rFonts w:ascii="Wingdings" w:hAnsi="Wingdings" w:hint="default"/>
      </w:rPr>
    </w:lvl>
  </w:abstractNum>
  <w:abstractNum w:abstractNumId="8">
    <w:nsid w:val="222D4840"/>
    <w:multiLevelType w:val="hybridMultilevel"/>
    <w:tmpl w:val="01383300"/>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nsid w:val="232205D2"/>
    <w:multiLevelType w:val="hybridMultilevel"/>
    <w:tmpl w:val="FE885920"/>
    <w:lvl w:ilvl="0" w:tplc="04160001">
      <w:start w:val="1"/>
      <w:numFmt w:val="lowerLetter"/>
      <w:lvlText w:val="%1)"/>
      <w:lvlJc w:val="left"/>
      <w:pPr>
        <w:ind w:left="720" w:hanging="360"/>
      </w:pPr>
      <w:rPr>
        <w:rFonts w:ascii="Times New Roman" w:eastAsia="Times New Roman" w:hAnsi="Times New Roman" w:cs="Times New Roman"/>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10">
    <w:nsid w:val="27191F69"/>
    <w:multiLevelType w:val="hybridMultilevel"/>
    <w:tmpl w:val="7ECE47BE"/>
    <w:lvl w:ilvl="0" w:tplc="0416000F">
      <w:start w:val="1"/>
      <w:numFmt w:val="decimal"/>
      <w:lvlText w:val="%1."/>
      <w:lvlJc w:val="left"/>
      <w:pPr>
        <w:ind w:left="3272" w:hanging="360"/>
      </w:pPr>
    </w:lvl>
    <w:lvl w:ilvl="1" w:tplc="04160019" w:tentative="1">
      <w:start w:val="1"/>
      <w:numFmt w:val="lowerLetter"/>
      <w:lvlText w:val="%2."/>
      <w:lvlJc w:val="left"/>
      <w:pPr>
        <w:ind w:left="3992" w:hanging="360"/>
      </w:pPr>
    </w:lvl>
    <w:lvl w:ilvl="2" w:tplc="0416001B" w:tentative="1">
      <w:start w:val="1"/>
      <w:numFmt w:val="lowerRoman"/>
      <w:lvlText w:val="%3."/>
      <w:lvlJc w:val="right"/>
      <w:pPr>
        <w:ind w:left="4712" w:hanging="180"/>
      </w:pPr>
    </w:lvl>
    <w:lvl w:ilvl="3" w:tplc="0416000F" w:tentative="1">
      <w:start w:val="1"/>
      <w:numFmt w:val="decimal"/>
      <w:lvlText w:val="%4."/>
      <w:lvlJc w:val="left"/>
      <w:pPr>
        <w:ind w:left="5432" w:hanging="360"/>
      </w:pPr>
    </w:lvl>
    <w:lvl w:ilvl="4" w:tplc="04160019" w:tentative="1">
      <w:start w:val="1"/>
      <w:numFmt w:val="lowerLetter"/>
      <w:lvlText w:val="%5."/>
      <w:lvlJc w:val="left"/>
      <w:pPr>
        <w:ind w:left="6152" w:hanging="360"/>
      </w:pPr>
    </w:lvl>
    <w:lvl w:ilvl="5" w:tplc="0416001B" w:tentative="1">
      <w:start w:val="1"/>
      <w:numFmt w:val="lowerRoman"/>
      <w:lvlText w:val="%6."/>
      <w:lvlJc w:val="right"/>
      <w:pPr>
        <w:ind w:left="6872" w:hanging="180"/>
      </w:pPr>
    </w:lvl>
    <w:lvl w:ilvl="6" w:tplc="0416000F" w:tentative="1">
      <w:start w:val="1"/>
      <w:numFmt w:val="decimal"/>
      <w:lvlText w:val="%7."/>
      <w:lvlJc w:val="left"/>
      <w:pPr>
        <w:ind w:left="7592" w:hanging="360"/>
      </w:pPr>
    </w:lvl>
    <w:lvl w:ilvl="7" w:tplc="04160019" w:tentative="1">
      <w:start w:val="1"/>
      <w:numFmt w:val="lowerLetter"/>
      <w:lvlText w:val="%8."/>
      <w:lvlJc w:val="left"/>
      <w:pPr>
        <w:ind w:left="8312" w:hanging="360"/>
      </w:pPr>
    </w:lvl>
    <w:lvl w:ilvl="8" w:tplc="0416001B" w:tentative="1">
      <w:start w:val="1"/>
      <w:numFmt w:val="lowerRoman"/>
      <w:lvlText w:val="%9."/>
      <w:lvlJc w:val="right"/>
      <w:pPr>
        <w:ind w:left="9032" w:hanging="180"/>
      </w:pPr>
    </w:lvl>
  </w:abstractNum>
  <w:abstractNum w:abstractNumId="11">
    <w:nsid w:val="27813F4D"/>
    <w:multiLevelType w:val="hybridMultilevel"/>
    <w:tmpl w:val="AD5AD140"/>
    <w:lvl w:ilvl="0" w:tplc="0416000D">
      <w:start w:val="1"/>
      <w:numFmt w:val="bullet"/>
      <w:lvlText w:val=""/>
      <w:lvlJc w:val="left"/>
      <w:pPr>
        <w:ind w:left="1494" w:hanging="360"/>
      </w:pPr>
      <w:rPr>
        <w:rFonts w:ascii="Wingdings" w:hAnsi="Wingdings"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12">
    <w:nsid w:val="3213517D"/>
    <w:multiLevelType w:val="hybridMultilevel"/>
    <w:tmpl w:val="CCF6977E"/>
    <w:lvl w:ilvl="0" w:tplc="0416001B">
      <w:start w:val="1"/>
      <w:numFmt w:val="lowerRoman"/>
      <w:lvlText w:val="%1."/>
      <w:lvlJc w:val="right"/>
      <w:pPr>
        <w:ind w:left="4046" w:hanging="360"/>
      </w:pPr>
    </w:lvl>
    <w:lvl w:ilvl="1" w:tplc="04160019" w:tentative="1">
      <w:start w:val="1"/>
      <w:numFmt w:val="lowerLetter"/>
      <w:lvlText w:val="%2."/>
      <w:lvlJc w:val="left"/>
      <w:pPr>
        <w:ind w:left="4766" w:hanging="360"/>
      </w:pPr>
    </w:lvl>
    <w:lvl w:ilvl="2" w:tplc="0416001B" w:tentative="1">
      <w:start w:val="1"/>
      <w:numFmt w:val="lowerRoman"/>
      <w:lvlText w:val="%3."/>
      <w:lvlJc w:val="right"/>
      <w:pPr>
        <w:ind w:left="5486" w:hanging="180"/>
      </w:pPr>
    </w:lvl>
    <w:lvl w:ilvl="3" w:tplc="0416000F" w:tentative="1">
      <w:start w:val="1"/>
      <w:numFmt w:val="decimal"/>
      <w:lvlText w:val="%4."/>
      <w:lvlJc w:val="left"/>
      <w:pPr>
        <w:ind w:left="6206" w:hanging="360"/>
      </w:pPr>
    </w:lvl>
    <w:lvl w:ilvl="4" w:tplc="04160019" w:tentative="1">
      <w:start w:val="1"/>
      <w:numFmt w:val="lowerLetter"/>
      <w:lvlText w:val="%5."/>
      <w:lvlJc w:val="left"/>
      <w:pPr>
        <w:ind w:left="6926" w:hanging="360"/>
      </w:pPr>
    </w:lvl>
    <w:lvl w:ilvl="5" w:tplc="0416001B" w:tentative="1">
      <w:start w:val="1"/>
      <w:numFmt w:val="lowerRoman"/>
      <w:lvlText w:val="%6."/>
      <w:lvlJc w:val="right"/>
      <w:pPr>
        <w:ind w:left="7646" w:hanging="180"/>
      </w:pPr>
    </w:lvl>
    <w:lvl w:ilvl="6" w:tplc="0416000F" w:tentative="1">
      <w:start w:val="1"/>
      <w:numFmt w:val="decimal"/>
      <w:lvlText w:val="%7."/>
      <w:lvlJc w:val="left"/>
      <w:pPr>
        <w:ind w:left="8366" w:hanging="360"/>
      </w:pPr>
    </w:lvl>
    <w:lvl w:ilvl="7" w:tplc="04160019" w:tentative="1">
      <w:start w:val="1"/>
      <w:numFmt w:val="lowerLetter"/>
      <w:lvlText w:val="%8."/>
      <w:lvlJc w:val="left"/>
      <w:pPr>
        <w:ind w:left="9086" w:hanging="360"/>
      </w:pPr>
    </w:lvl>
    <w:lvl w:ilvl="8" w:tplc="0416001B" w:tentative="1">
      <w:start w:val="1"/>
      <w:numFmt w:val="lowerRoman"/>
      <w:lvlText w:val="%9."/>
      <w:lvlJc w:val="right"/>
      <w:pPr>
        <w:ind w:left="9806" w:hanging="180"/>
      </w:pPr>
    </w:lvl>
  </w:abstractNum>
  <w:abstractNum w:abstractNumId="13">
    <w:nsid w:val="4DF610FC"/>
    <w:multiLevelType w:val="hybridMultilevel"/>
    <w:tmpl w:val="8AF08E56"/>
    <w:lvl w:ilvl="0" w:tplc="9D04372A">
      <w:start w:val="1"/>
      <w:numFmt w:val="upperRoman"/>
      <w:lvlText w:val="%1."/>
      <w:lvlJc w:val="right"/>
      <w:pPr>
        <w:ind w:left="1017" w:hanging="360"/>
      </w:pPr>
      <w:rPr>
        <w:b w:val="0"/>
        <w:i/>
        <w:sz w:val="19"/>
        <w:szCs w:val="19"/>
      </w:rPr>
    </w:lvl>
    <w:lvl w:ilvl="1" w:tplc="04160019" w:tentative="1">
      <w:start w:val="1"/>
      <w:numFmt w:val="lowerLetter"/>
      <w:lvlText w:val="%2."/>
      <w:lvlJc w:val="left"/>
      <w:pPr>
        <w:ind w:left="1737" w:hanging="360"/>
      </w:pPr>
    </w:lvl>
    <w:lvl w:ilvl="2" w:tplc="0416001B" w:tentative="1">
      <w:start w:val="1"/>
      <w:numFmt w:val="lowerRoman"/>
      <w:lvlText w:val="%3."/>
      <w:lvlJc w:val="right"/>
      <w:pPr>
        <w:ind w:left="2457" w:hanging="180"/>
      </w:pPr>
    </w:lvl>
    <w:lvl w:ilvl="3" w:tplc="0416000F" w:tentative="1">
      <w:start w:val="1"/>
      <w:numFmt w:val="decimal"/>
      <w:lvlText w:val="%4."/>
      <w:lvlJc w:val="left"/>
      <w:pPr>
        <w:ind w:left="3177" w:hanging="360"/>
      </w:pPr>
    </w:lvl>
    <w:lvl w:ilvl="4" w:tplc="04160019" w:tentative="1">
      <w:start w:val="1"/>
      <w:numFmt w:val="lowerLetter"/>
      <w:lvlText w:val="%5."/>
      <w:lvlJc w:val="left"/>
      <w:pPr>
        <w:ind w:left="3897" w:hanging="360"/>
      </w:pPr>
    </w:lvl>
    <w:lvl w:ilvl="5" w:tplc="0416001B" w:tentative="1">
      <w:start w:val="1"/>
      <w:numFmt w:val="lowerRoman"/>
      <w:lvlText w:val="%6."/>
      <w:lvlJc w:val="right"/>
      <w:pPr>
        <w:ind w:left="4617" w:hanging="180"/>
      </w:pPr>
    </w:lvl>
    <w:lvl w:ilvl="6" w:tplc="0416000F" w:tentative="1">
      <w:start w:val="1"/>
      <w:numFmt w:val="decimal"/>
      <w:lvlText w:val="%7."/>
      <w:lvlJc w:val="left"/>
      <w:pPr>
        <w:ind w:left="5337" w:hanging="360"/>
      </w:pPr>
    </w:lvl>
    <w:lvl w:ilvl="7" w:tplc="04160019" w:tentative="1">
      <w:start w:val="1"/>
      <w:numFmt w:val="lowerLetter"/>
      <w:lvlText w:val="%8."/>
      <w:lvlJc w:val="left"/>
      <w:pPr>
        <w:ind w:left="6057" w:hanging="360"/>
      </w:pPr>
    </w:lvl>
    <w:lvl w:ilvl="8" w:tplc="0416001B" w:tentative="1">
      <w:start w:val="1"/>
      <w:numFmt w:val="lowerRoman"/>
      <w:lvlText w:val="%9."/>
      <w:lvlJc w:val="right"/>
      <w:pPr>
        <w:ind w:left="6777" w:hanging="180"/>
      </w:pPr>
    </w:lvl>
  </w:abstractNum>
  <w:abstractNum w:abstractNumId="14">
    <w:nsid w:val="50BC7BAE"/>
    <w:multiLevelType w:val="hybridMultilevel"/>
    <w:tmpl w:val="0BFE52A0"/>
    <w:lvl w:ilvl="0" w:tplc="04160001">
      <w:start w:val="1"/>
      <w:numFmt w:val="lowerLetter"/>
      <w:lvlText w:val="%1)"/>
      <w:lvlJc w:val="left"/>
      <w:pPr>
        <w:ind w:left="4046" w:hanging="360"/>
      </w:pPr>
      <w:rPr>
        <w:rFonts w:ascii="Times New Roman" w:eastAsia="Times New Roman" w:hAnsi="Times New Roman" w:cs="Times New Roman"/>
      </w:rPr>
    </w:lvl>
    <w:lvl w:ilvl="1" w:tplc="04160019" w:tentative="1">
      <w:start w:val="1"/>
      <w:numFmt w:val="lowerLetter"/>
      <w:lvlText w:val="%2."/>
      <w:lvlJc w:val="left"/>
      <w:pPr>
        <w:ind w:left="4766" w:hanging="360"/>
      </w:pPr>
    </w:lvl>
    <w:lvl w:ilvl="2" w:tplc="0416001B" w:tentative="1">
      <w:start w:val="1"/>
      <w:numFmt w:val="lowerRoman"/>
      <w:lvlText w:val="%3."/>
      <w:lvlJc w:val="right"/>
      <w:pPr>
        <w:ind w:left="5486" w:hanging="180"/>
      </w:pPr>
    </w:lvl>
    <w:lvl w:ilvl="3" w:tplc="0416000F" w:tentative="1">
      <w:start w:val="1"/>
      <w:numFmt w:val="decimal"/>
      <w:lvlText w:val="%4."/>
      <w:lvlJc w:val="left"/>
      <w:pPr>
        <w:ind w:left="6206" w:hanging="360"/>
      </w:pPr>
    </w:lvl>
    <w:lvl w:ilvl="4" w:tplc="04160019" w:tentative="1">
      <w:start w:val="1"/>
      <w:numFmt w:val="lowerLetter"/>
      <w:lvlText w:val="%5."/>
      <w:lvlJc w:val="left"/>
      <w:pPr>
        <w:ind w:left="6926" w:hanging="360"/>
      </w:pPr>
    </w:lvl>
    <w:lvl w:ilvl="5" w:tplc="0416001B" w:tentative="1">
      <w:start w:val="1"/>
      <w:numFmt w:val="lowerRoman"/>
      <w:lvlText w:val="%6."/>
      <w:lvlJc w:val="right"/>
      <w:pPr>
        <w:ind w:left="7646" w:hanging="180"/>
      </w:pPr>
    </w:lvl>
    <w:lvl w:ilvl="6" w:tplc="0416000F" w:tentative="1">
      <w:start w:val="1"/>
      <w:numFmt w:val="decimal"/>
      <w:lvlText w:val="%7."/>
      <w:lvlJc w:val="left"/>
      <w:pPr>
        <w:ind w:left="8366" w:hanging="360"/>
      </w:pPr>
    </w:lvl>
    <w:lvl w:ilvl="7" w:tplc="04160019" w:tentative="1">
      <w:start w:val="1"/>
      <w:numFmt w:val="lowerLetter"/>
      <w:lvlText w:val="%8."/>
      <w:lvlJc w:val="left"/>
      <w:pPr>
        <w:ind w:left="9086" w:hanging="360"/>
      </w:pPr>
    </w:lvl>
    <w:lvl w:ilvl="8" w:tplc="0416001B" w:tentative="1">
      <w:start w:val="1"/>
      <w:numFmt w:val="lowerRoman"/>
      <w:lvlText w:val="%9."/>
      <w:lvlJc w:val="right"/>
      <w:pPr>
        <w:ind w:left="9806" w:hanging="180"/>
      </w:pPr>
    </w:lvl>
  </w:abstractNum>
  <w:abstractNum w:abstractNumId="15">
    <w:nsid w:val="5188264D"/>
    <w:multiLevelType w:val="hybridMultilevel"/>
    <w:tmpl w:val="D3667042"/>
    <w:lvl w:ilvl="0" w:tplc="EA928C14">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16">
    <w:nsid w:val="51B542F5"/>
    <w:multiLevelType w:val="multilevel"/>
    <w:tmpl w:val="CDCA3884"/>
    <w:lvl w:ilvl="0">
      <w:start w:val="4"/>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nsid w:val="52D21587"/>
    <w:multiLevelType w:val="multilevel"/>
    <w:tmpl w:val="2BA6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813284"/>
    <w:multiLevelType w:val="multilevel"/>
    <w:tmpl w:val="7FAE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302752"/>
    <w:multiLevelType w:val="hybridMultilevel"/>
    <w:tmpl w:val="5C3AA40E"/>
    <w:lvl w:ilvl="0" w:tplc="04160001">
      <w:start w:val="1"/>
      <w:numFmt w:val="bullet"/>
      <w:lvlText w:val=""/>
      <w:lvlJc w:val="left"/>
      <w:pPr>
        <w:ind w:left="2070" w:hanging="360"/>
      </w:pPr>
      <w:rPr>
        <w:rFonts w:ascii="Symbol" w:hAnsi="Symbol" w:hint="default"/>
      </w:rPr>
    </w:lvl>
    <w:lvl w:ilvl="1" w:tplc="04160003" w:tentative="1">
      <w:start w:val="1"/>
      <w:numFmt w:val="bullet"/>
      <w:lvlText w:val="o"/>
      <w:lvlJc w:val="left"/>
      <w:pPr>
        <w:ind w:left="2790" w:hanging="360"/>
      </w:pPr>
      <w:rPr>
        <w:rFonts w:ascii="Courier New" w:hAnsi="Courier New" w:cs="Courier New" w:hint="default"/>
      </w:rPr>
    </w:lvl>
    <w:lvl w:ilvl="2" w:tplc="04160005" w:tentative="1">
      <w:start w:val="1"/>
      <w:numFmt w:val="bullet"/>
      <w:lvlText w:val=""/>
      <w:lvlJc w:val="left"/>
      <w:pPr>
        <w:ind w:left="3510" w:hanging="360"/>
      </w:pPr>
      <w:rPr>
        <w:rFonts w:ascii="Wingdings" w:hAnsi="Wingdings" w:hint="default"/>
      </w:rPr>
    </w:lvl>
    <w:lvl w:ilvl="3" w:tplc="04160001" w:tentative="1">
      <w:start w:val="1"/>
      <w:numFmt w:val="bullet"/>
      <w:lvlText w:val=""/>
      <w:lvlJc w:val="left"/>
      <w:pPr>
        <w:ind w:left="4230" w:hanging="360"/>
      </w:pPr>
      <w:rPr>
        <w:rFonts w:ascii="Symbol" w:hAnsi="Symbol" w:hint="default"/>
      </w:rPr>
    </w:lvl>
    <w:lvl w:ilvl="4" w:tplc="04160003" w:tentative="1">
      <w:start w:val="1"/>
      <w:numFmt w:val="bullet"/>
      <w:lvlText w:val="o"/>
      <w:lvlJc w:val="left"/>
      <w:pPr>
        <w:ind w:left="4950" w:hanging="360"/>
      </w:pPr>
      <w:rPr>
        <w:rFonts w:ascii="Courier New" w:hAnsi="Courier New" w:cs="Courier New" w:hint="default"/>
      </w:rPr>
    </w:lvl>
    <w:lvl w:ilvl="5" w:tplc="04160005" w:tentative="1">
      <w:start w:val="1"/>
      <w:numFmt w:val="bullet"/>
      <w:lvlText w:val=""/>
      <w:lvlJc w:val="left"/>
      <w:pPr>
        <w:ind w:left="5670" w:hanging="360"/>
      </w:pPr>
      <w:rPr>
        <w:rFonts w:ascii="Wingdings" w:hAnsi="Wingdings" w:hint="default"/>
      </w:rPr>
    </w:lvl>
    <w:lvl w:ilvl="6" w:tplc="04160001" w:tentative="1">
      <w:start w:val="1"/>
      <w:numFmt w:val="bullet"/>
      <w:lvlText w:val=""/>
      <w:lvlJc w:val="left"/>
      <w:pPr>
        <w:ind w:left="6390" w:hanging="360"/>
      </w:pPr>
      <w:rPr>
        <w:rFonts w:ascii="Symbol" w:hAnsi="Symbol" w:hint="default"/>
      </w:rPr>
    </w:lvl>
    <w:lvl w:ilvl="7" w:tplc="04160003" w:tentative="1">
      <w:start w:val="1"/>
      <w:numFmt w:val="bullet"/>
      <w:lvlText w:val="o"/>
      <w:lvlJc w:val="left"/>
      <w:pPr>
        <w:ind w:left="7110" w:hanging="360"/>
      </w:pPr>
      <w:rPr>
        <w:rFonts w:ascii="Courier New" w:hAnsi="Courier New" w:cs="Courier New" w:hint="default"/>
      </w:rPr>
    </w:lvl>
    <w:lvl w:ilvl="8" w:tplc="04160005" w:tentative="1">
      <w:start w:val="1"/>
      <w:numFmt w:val="bullet"/>
      <w:lvlText w:val=""/>
      <w:lvlJc w:val="left"/>
      <w:pPr>
        <w:ind w:left="7830" w:hanging="360"/>
      </w:pPr>
      <w:rPr>
        <w:rFonts w:ascii="Wingdings" w:hAnsi="Wingdings" w:hint="default"/>
      </w:rPr>
    </w:lvl>
  </w:abstractNum>
  <w:abstractNum w:abstractNumId="20">
    <w:nsid w:val="5C8816C3"/>
    <w:multiLevelType w:val="multilevel"/>
    <w:tmpl w:val="3CFAD2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2260FEE"/>
    <w:multiLevelType w:val="hybridMultilevel"/>
    <w:tmpl w:val="94C24FC8"/>
    <w:lvl w:ilvl="0" w:tplc="04160001">
      <w:start w:val="1"/>
      <w:numFmt w:val="upperRoman"/>
      <w:lvlText w:val="%1."/>
      <w:lvlJc w:val="right"/>
      <w:pPr>
        <w:ind w:left="1017" w:hanging="360"/>
      </w:pPr>
      <w:rPr>
        <w:i/>
        <w:sz w:val="19"/>
        <w:szCs w:val="19"/>
      </w:rPr>
    </w:lvl>
    <w:lvl w:ilvl="1" w:tplc="04160003" w:tentative="1">
      <w:start w:val="1"/>
      <w:numFmt w:val="lowerLetter"/>
      <w:lvlText w:val="%2."/>
      <w:lvlJc w:val="left"/>
      <w:pPr>
        <w:ind w:left="1737" w:hanging="360"/>
      </w:pPr>
    </w:lvl>
    <w:lvl w:ilvl="2" w:tplc="04160005" w:tentative="1">
      <w:start w:val="1"/>
      <w:numFmt w:val="lowerRoman"/>
      <w:lvlText w:val="%3."/>
      <w:lvlJc w:val="right"/>
      <w:pPr>
        <w:ind w:left="2457" w:hanging="180"/>
      </w:pPr>
    </w:lvl>
    <w:lvl w:ilvl="3" w:tplc="04160001" w:tentative="1">
      <w:start w:val="1"/>
      <w:numFmt w:val="decimal"/>
      <w:lvlText w:val="%4."/>
      <w:lvlJc w:val="left"/>
      <w:pPr>
        <w:ind w:left="3177" w:hanging="360"/>
      </w:pPr>
    </w:lvl>
    <w:lvl w:ilvl="4" w:tplc="04160003" w:tentative="1">
      <w:start w:val="1"/>
      <w:numFmt w:val="lowerLetter"/>
      <w:lvlText w:val="%5."/>
      <w:lvlJc w:val="left"/>
      <w:pPr>
        <w:ind w:left="3897" w:hanging="360"/>
      </w:pPr>
    </w:lvl>
    <w:lvl w:ilvl="5" w:tplc="04160005" w:tentative="1">
      <w:start w:val="1"/>
      <w:numFmt w:val="lowerRoman"/>
      <w:lvlText w:val="%6."/>
      <w:lvlJc w:val="right"/>
      <w:pPr>
        <w:ind w:left="4617" w:hanging="180"/>
      </w:pPr>
    </w:lvl>
    <w:lvl w:ilvl="6" w:tplc="04160001" w:tentative="1">
      <w:start w:val="1"/>
      <w:numFmt w:val="decimal"/>
      <w:lvlText w:val="%7."/>
      <w:lvlJc w:val="left"/>
      <w:pPr>
        <w:ind w:left="5337" w:hanging="360"/>
      </w:pPr>
    </w:lvl>
    <w:lvl w:ilvl="7" w:tplc="04160003" w:tentative="1">
      <w:start w:val="1"/>
      <w:numFmt w:val="lowerLetter"/>
      <w:lvlText w:val="%8."/>
      <w:lvlJc w:val="left"/>
      <w:pPr>
        <w:ind w:left="6057" w:hanging="360"/>
      </w:pPr>
    </w:lvl>
    <w:lvl w:ilvl="8" w:tplc="04160005" w:tentative="1">
      <w:start w:val="1"/>
      <w:numFmt w:val="lowerRoman"/>
      <w:lvlText w:val="%9."/>
      <w:lvlJc w:val="right"/>
      <w:pPr>
        <w:ind w:left="6777" w:hanging="180"/>
      </w:pPr>
    </w:lvl>
  </w:abstractNum>
  <w:abstractNum w:abstractNumId="22">
    <w:nsid w:val="625B7BC1"/>
    <w:multiLevelType w:val="hybridMultilevel"/>
    <w:tmpl w:val="A03A4760"/>
    <w:lvl w:ilvl="0" w:tplc="16DA11AE">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23">
    <w:nsid w:val="62D258CC"/>
    <w:multiLevelType w:val="hybridMultilevel"/>
    <w:tmpl w:val="C4A6C9FC"/>
    <w:lvl w:ilvl="0" w:tplc="0416000D">
      <w:start w:val="1"/>
      <w:numFmt w:val="bullet"/>
      <w:lvlText w:val=""/>
      <w:lvlJc w:val="left"/>
      <w:pPr>
        <w:ind w:left="5606" w:hanging="360"/>
      </w:pPr>
      <w:rPr>
        <w:rFonts w:ascii="Wingdings" w:hAnsi="Wingdings" w:hint="default"/>
      </w:rPr>
    </w:lvl>
    <w:lvl w:ilvl="1" w:tplc="04160003" w:tentative="1">
      <w:start w:val="1"/>
      <w:numFmt w:val="bullet"/>
      <w:lvlText w:val="o"/>
      <w:lvlJc w:val="left"/>
      <w:pPr>
        <w:ind w:left="6326" w:hanging="360"/>
      </w:pPr>
      <w:rPr>
        <w:rFonts w:ascii="Courier New" w:hAnsi="Courier New" w:cs="Courier New" w:hint="default"/>
      </w:rPr>
    </w:lvl>
    <w:lvl w:ilvl="2" w:tplc="04160005" w:tentative="1">
      <w:start w:val="1"/>
      <w:numFmt w:val="bullet"/>
      <w:lvlText w:val=""/>
      <w:lvlJc w:val="left"/>
      <w:pPr>
        <w:ind w:left="7046" w:hanging="360"/>
      </w:pPr>
      <w:rPr>
        <w:rFonts w:ascii="Wingdings" w:hAnsi="Wingdings" w:hint="default"/>
      </w:rPr>
    </w:lvl>
    <w:lvl w:ilvl="3" w:tplc="04160001" w:tentative="1">
      <w:start w:val="1"/>
      <w:numFmt w:val="bullet"/>
      <w:lvlText w:val=""/>
      <w:lvlJc w:val="left"/>
      <w:pPr>
        <w:ind w:left="7766" w:hanging="360"/>
      </w:pPr>
      <w:rPr>
        <w:rFonts w:ascii="Symbol" w:hAnsi="Symbol" w:hint="default"/>
      </w:rPr>
    </w:lvl>
    <w:lvl w:ilvl="4" w:tplc="04160003" w:tentative="1">
      <w:start w:val="1"/>
      <w:numFmt w:val="bullet"/>
      <w:lvlText w:val="o"/>
      <w:lvlJc w:val="left"/>
      <w:pPr>
        <w:ind w:left="8486" w:hanging="360"/>
      </w:pPr>
      <w:rPr>
        <w:rFonts w:ascii="Courier New" w:hAnsi="Courier New" w:cs="Courier New" w:hint="default"/>
      </w:rPr>
    </w:lvl>
    <w:lvl w:ilvl="5" w:tplc="04160005" w:tentative="1">
      <w:start w:val="1"/>
      <w:numFmt w:val="bullet"/>
      <w:lvlText w:val=""/>
      <w:lvlJc w:val="left"/>
      <w:pPr>
        <w:ind w:left="9206" w:hanging="360"/>
      </w:pPr>
      <w:rPr>
        <w:rFonts w:ascii="Wingdings" w:hAnsi="Wingdings" w:hint="default"/>
      </w:rPr>
    </w:lvl>
    <w:lvl w:ilvl="6" w:tplc="04160001" w:tentative="1">
      <w:start w:val="1"/>
      <w:numFmt w:val="bullet"/>
      <w:lvlText w:val=""/>
      <w:lvlJc w:val="left"/>
      <w:pPr>
        <w:ind w:left="9926" w:hanging="360"/>
      </w:pPr>
      <w:rPr>
        <w:rFonts w:ascii="Symbol" w:hAnsi="Symbol" w:hint="default"/>
      </w:rPr>
    </w:lvl>
    <w:lvl w:ilvl="7" w:tplc="04160003" w:tentative="1">
      <w:start w:val="1"/>
      <w:numFmt w:val="bullet"/>
      <w:lvlText w:val="o"/>
      <w:lvlJc w:val="left"/>
      <w:pPr>
        <w:ind w:left="10646" w:hanging="360"/>
      </w:pPr>
      <w:rPr>
        <w:rFonts w:ascii="Courier New" w:hAnsi="Courier New" w:cs="Courier New" w:hint="default"/>
      </w:rPr>
    </w:lvl>
    <w:lvl w:ilvl="8" w:tplc="04160005" w:tentative="1">
      <w:start w:val="1"/>
      <w:numFmt w:val="bullet"/>
      <w:lvlText w:val=""/>
      <w:lvlJc w:val="left"/>
      <w:pPr>
        <w:ind w:left="11366" w:hanging="360"/>
      </w:pPr>
      <w:rPr>
        <w:rFonts w:ascii="Wingdings" w:hAnsi="Wingdings" w:hint="default"/>
      </w:rPr>
    </w:lvl>
  </w:abstractNum>
  <w:abstractNum w:abstractNumId="24">
    <w:nsid w:val="755D3DC3"/>
    <w:multiLevelType w:val="multilevel"/>
    <w:tmpl w:val="2FB0D5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6BB354E"/>
    <w:multiLevelType w:val="hybridMultilevel"/>
    <w:tmpl w:val="6D04974E"/>
    <w:lvl w:ilvl="0" w:tplc="1A4C38FE">
      <w:start w:val="1"/>
      <w:numFmt w:val="bullet"/>
      <w:lvlText w:val=""/>
      <w:lvlJc w:val="left"/>
      <w:pPr>
        <w:ind w:left="720" w:hanging="360"/>
      </w:pPr>
      <w:rPr>
        <w:rFonts w:ascii="Symbol" w:hAnsi="Symbol" w:hint="default"/>
      </w:rPr>
    </w:lvl>
    <w:lvl w:ilvl="1" w:tplc="DBBE938A" w:tentative="1">
      <w:start w:val="1"/>
      <w:numFmt w:val="bullet"/>
      <w:lvlText w:val="o"/>
      <w:lvlJc w:val="left"/>
      <w:pPr>
        <w:ind w:left="1440" w:hanging="360"/>
      </w:pPr>
      <w:rPr>
        <w:rFonts w:ascii="Courier New" w:hAnsi="Courier New" w:cs="Courier New" w:hint="default"/>
      </w:rPr>
    </w:lvl>
    <w:lvl w:ilvl="2" w:tplc="B492E95A" w:tentative="1">
      <w:start w:val="1"/>
      <w:numFmt w:val="bullet"/>
      <w:lvlText w:val=""/>
      <w:lvlJc w:val="left"/>
      <w:pPr>
        <w:ind w:left="2160" w:hanging="360"/>
      </w:pPr>
      <w:rPr>
        <w:rFonts w:ascii="Wingdings" w:hAnsi="Wingdings" w:hint="default"/>
      </w:rPr>
    </w:lvl>
    <w:lvl w:ilvl="3" w:tplc="CDD60AFE" w:tentative="1">
      <w:start w:val="1"/>
      <w:numFmt w:val="bullet"/>
      <w:lvlText w:val=""/>
      <w:lvlJc w:val="left"/>
      <w:pPr>
        <w:ind w:left="2880" w:hanging="360"/>
      </w:pPr>
      <w:rPr>
        <w:rFonts w:ascii="Symbol" w:hAnsi="Symbol" w:hint="default"/>
      </w:rPr>
    </w:lvl>
    <w:lvl w:ilvl="4" w:tplc="18DAB434" w:tentative="1">
      <w:start w:val="1"/>
      <w:numFmt w:val="bullet"/>
      <w:lvlText w:val="o"/>
      <w:lvlJc w:val="left"/>
      <w:pPr>
        <w:ind w:left="3600" w:hanging="360"/>
      </w:pPr>
      <w:rPr>
        <w:rFonts w:ascii="Courier New" w:hAnsi="Courier New" w:cs="Courier New" w:hint="default"/>
      </w:rPr>
    </w:lvl>
    <w:lvl w:ilvl="5" w:tplc="B7F6FB48" w:tentative="1">
      <w:start w:val="1"/>
      <w:numFmt w:val="bullet"/>
      <w:lvlText w:val=""/>
      <w:lvlJc w:val="left"/>
      <w:pPr>
        <w:ind w:left="4320" w:hanging="360"/>
      </w:pPr>
      <w:rPr>
        <w:rFonts w:ascii="Wingdings" w:hAnsi="Wingdings" w:hint="default"/>
      </w:rPr>
    </w:lvl>
    <w:lvl w:ilvl="6" w:tplc="B330A6B6" w:tentative="1">
      <w:start w:val="1"/>
      <w:numFmt w:val="bullet"/>
      <w:lvlText w:val=""/>
      <w:lvlJc w:val="left"/>
      <w:pPr>
        <w:ind w:left="5040" w:hanging="360"/>
      </w:pPr>
      <w:rPr>
        <w:rFonts w:ascii="Symbol" w:hAnsi="Symbol" w:hint="default"/>
      </w:rPr>
    </w:lvl>
    <w:lvl w:ilvl="7" w:tplc="0AC22478" w:tentative="1">
      <w:start w:val="1"/>
      <w:numFmt w:val="bullet"/>
      <w:lvlText w:val="o"/>
      <w:lvlJc w:val="left"/>
      <w:pPr>
        <w:ind w:left="5760" w:hanging="360"/>
      </w:pPr>
      <w:rPr>
        <w:rFonts w:ascii="Courier New" w:hAnsi="Courier New" w:cs="Courier New" w:hint="default"/>
      </w:rPr>
    </w:lvl>
    <w:lvl w:ilvl="8" w:tplc="91808724" w:tentative="1">
      <w:start w:val="1"/>
      <w:numFmt w:val="bullet"/>
      <w:lvlText w:val=""/>
      <w:lvlJc w:val="left"/>
      <w:pPr>
        <w:ind w:left="6480" w:hanging="360"/>
      </w:pPr>
      <w:rPr>
        <w:rFonts w:ascii="Wingdings" w:hAnsi="Wingdings" w:hint="default"/>
      </w:rPr>
    </w:lvl>
  </w:abstractNum>
  <w:abstractNum w:abstractNumId="26">
    <w:nsid w:val="79417468"/>
    <w:multiLevelType w:val="multilevel"/>
    <w:tmpl w:val="32A2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0C0497"/>
    <w:multiLevelType w:val="multilevel"/>
    <w:tmpl w:val="9142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25"/>
  </w:num>
  <w:num w:numId="4">
    <w:abstractNumId w:val="19"/>
  </w:num>
  <w:num w:numId="5">
    <w:abstractNumId w:val="24"/>
  </w:num>
  <w:num w:numId="6">
    <w:abstractNumId w:val="4"/>
  </w:num>
  <w:num w:numId="7">
    <w:abstractNumId w:val="15"/>
  </w:num>
  <w:num w:numId="8">
    <w:abstractNumId w:val="22"/>
  </w:num>
  <w:num w:numId="9">
    <w:abstractNumId w:val="6"/>
  </w:num>
  <w:num w:numId="10">
    <w:abstractNumId w:val="21"/>
  </w:num>
  <w:num w:numId="11">
    <w:abstractNumId w:val="13"/>
  </w:num>
  <w:num w:numId="12">
    <w:abstractNumId w:val="3"/>
  </w:num>
  <w:num w:numId="13">
    <w:abstractNumId w:val="7"/>
  </w:num>
  <w:num w:numId="14">
    <w:abstractNumId w:val="1"/>
  </w:num>
  <w:num w:numId="15">
    <w:abstractNumId w:val="11"/>
  </w:num>
  <w:num w:numId="16">
    <w:abstractNumId w:val="8"/>
  </w:num>
  <w:num w:numId="17">
    <w:abstractNumId w:val="23"/>
  </w:num>
  <w:num w:numId="18">
    <w:abstractNumId w:val="14"/>
  </w:num>
  <w:num w:numId="19">
    <w:abstractNumId w:val="20"/>
  </w:num>
  <w:num w:numId="20">
    <w:abstractNumId w:val="2"/>
  </w:num>
  <w:num w:numId="21">
    <w:abstractNumId w:val="12"/>
  </w:num>
  <w:num w:numId="22">
    <w:abstractNumId w:val="27"/>
  </w:num>
  <w:num w:numId="23">
    <w:abstractNumId w:val="18"/>
  </w:num>
  <w:num w:numId="24">
    <w:abstractNumId w:val="17"/>
  </w:num>
  <w:num w:numId="25">
    <w:abstractNumId w:val="26"/>
  </w:num>
  <w:num w:numId="26">
    <w:abstractNumId w:val="0"/>
  </w:num>
  <w:num w:numId="27">
    <w:abstractNumId w:val="16"/>
  </w:num>
  <w:num w:numId="28">
    <w:abstractNumId w:val="1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582426"/>
    <w:rsid w:val="00001820"/>
    <w:rsid w:val="00003307"/>
    <w:rsid w:val="000034F6"/>
    <w:rsid w:val="00004C9F"/>
    <w:rsid w:val="0000520A"/>
    <w:rsid w:val="00005F41"/>
    <w:rsid w:val="00005FEB"/>
    <w:rsid w:val="00006405"/>
    <w:rsid w:val="00006A5B"/>
    <w:rsid w:val="00007777"/>
    <w:rsid w:val="000101F4"/>
    <w:rsid w:val="0001130C"/>
    <w:rsid w:val="000114CF"/>
    <w:rsid w:val="000118FC"/>
    <w:rsid w:val="00011C6A"/>
    <w:rsid w:val="00011D13"/>
    <w:rsid w:val="0001388A"/>
    <w:rsid w:val="00013EB3"/>
    <w:rsid w:val="000146AA"/>
    <w:rsid w:val="00016576"/>
    <w:rsid w:val="0001658A"/>
    <w:rsid w:val="00016975"/>
    <w:rsid w:val="00020455"/>
    <w:rsid w:val="00022265"/>
    <w:rsid w:val="00022E35"/>
    <w:rsid w:val="00023593"/>
    <w:rsid w:val="0002487F"/>
    <w:rsid w:val="00024A27"/>
    <w:rsid w:val="00026005"/>
    <w:rsid w:val="00026271"/>
    <w:rsid w:val="00027F03"/>
    <w:rsid w:val="000306A5"/>
    <w:rsid w:val="00030CE0"/>
    <w:rsid w:val="000314AD"/>
    <w:rsid w:val="00032429"/>
    <w:rsid w:val="0003492B"/>
    <w:rsid w:val="00034CE0"/>
    <w:rsid w:val="00035058"/>
    <w:rsid w:val="000368DB"/>
    <w:rsid w:val="0004024B"/>
    <w:rsid w:val="00040F8B"/>
    <w:rsid w:val="000410BB"/>
    <w:rsid w:val="000432CB"/>
    <w:rsid w:val="00043EF9"/>
    <w:rsid w:val="00044DBE"/>
    <w:rsid w:val="000503BF"/>
    <w:rsid w:val="00057BB4"/>
    <w:rsid w:val="00060D90"/>
    <w:rsid w:val="000618C7"/>
    <w:rsid w:val="00063790"/>
    <w:rsid w:val="000666A8"/>
    <w:rsid w:val="00067C62"/>
    <w:rsid w:val="00071C54"/>
    <w:rsid w:val="00073884"/>
    <w:rsid w:val="000740DA"/>
    <w:rsid w:val="00074156"/>
    <w:rsid w:val="00077A77"/>
    <w:rsid w:val="000807DE"/>
    <w:rsid w:val="00083432"/>
    <w:rsid w:val="000834BC"/>
    <w:rsid w:val="00083726"/>
    <w:rsid w:val="00084B4B"/>
    <w:rsid w:val="00085A5D"/>
    <w:rsid w:val="00090ABF"/>
    <w:rsid w:val="0009140E"/>
    <w:rsid w:val="00091A28"/>
    <w:rsid w:val="00092A76"/>
    <w:rsid w:val="00092BF3"/>
    <w:rsid w:val="00094536"/>
    <w:rsid w:val="00094845"/>
    <w:rsid w:val="000948C6"/>
    <w:rsid w:val="00094D22"/>
    <w:rsid w:val="000950BA"/>
    <w:rsid w:val="00095250"/>
    <w:rsid w:val="0009528F"/>
    <w:rsid w:val="00095FEA"/>
    <w:rsid w:val="00096253"/>
    <w:rsid w:val="00096DF4"/>
    <w:rsid w:val="0009772B"/>
    <w:rsid w:val="000A179E"/>
    <w:rsid w:val="000A2693"/>
    <w:rsid w:val="000A3B7E"/>
    <w:rsid w:val="000A5336"/>
    <w:rsid w:val="000A730D"/>
    <w:rsid w:val="000B006E"/>
    <w:rsid w:val="000B184F"/>
    <w:rsid w:val="000B2D91"/>
    <w:rsid w:val="000B330C"/>
    <w:rsid w:val="000B663A"/>
    <w:rsid w:val="000B69F4"/>
    <w:rsid w:val="000B737E"/>
    <w:rsid w:val="000B7C36"/>
    <w:rsid w:val="000C00B2"/>
    <w:rsid w:val="000C0830"/>
    <w:rsid w:val="000C18E5"/>
    <w:rsid w:val="000C34E2"/>
    <w:rsid w:val="000C41D5"/>
    <w:rsid w:val="000C5429"/>
    <w:rsid w:val="000C56C3"/>
    <w:rsid w:val="000C5BE4"/>
    <w:rsid w:val="000C6AB6"/>
    <w:rsid w:val="000C7233"/>
    <w:rsid w:val="000C73ED"/>
    <w:rsid w:val="000C7CF7"/>
    <w:rsid w:val="000D185B"/>
    <w:rsid w:val="000D404A"/>
    <w:rsid w:val="000D49AA"/>
    <w:rsid w:val="000D52BD"/>
    <w:rsid w:val="000D550E"/>
    <w:rsid w:val="000D7A8A"/>
    <w:rsid w:val="000D7BC3"/>
    <w:rsid w:val="000E004A"/>
    <w:rsid w:val="000E1BC9"/>
    <w:rsid w:val="000E1E28"/>
    <w:rsid w:val="000E2F38"/>
    <w:rsid w:val="000E70D1"/>
    <w:rsid w:val="000E7CAF"/>
    <w:rsid w:val="000E7E2A"/>
    <w:rsid w:val="000F038F"/>
    <w:rsid w:val="000F1C5F"/>
    <w:rsid w:val="000F455C"/>
    <w:rsid w:val="000F608E"/>
    <w:rsid w:val="0010021B"/>
    <w:rsid w:val="00100553"/>
    <w:rsid w:val="00100BE1"/>
    <w:rsid w:val="00102456"/>
    <w:rsid w:val="00102D23"/>
    <w:rsid w:val="0010452C"/>
    <w:rsid w:val="00105698"/>
    <w:rsid w:val="00105787"/>
    <w:rsid w:val="001061B3"/>
    <w:rsid w:val="001064E2"/>
    <w:rsid w:val="00112763"/>
    <w:rsid w:val="001147AF"/>
    <w:rsid w:val="00116130"/>
    <w:rsid w:val="00124055"/>
    <w:rsid w:val="001247DB"/>
    <w:rsid w:val="00124FA7"/>
    <w:rsid w:val="001258FD"/>
    <w:rsid w:val="00131DFC"/>
    <w:rsid w:val="001323FA"/>
    <w:rsid w:val="00132E62"/>
    <w:rsid w:val="00133B9B"/>
    <w:rsid w:val="00133BE9"/>
    <w:rsid w:val="001362D2"/>
    <w:rsid w:val="00136827"/>
    <w:rsid w:val="00140182"/>
    <w:rsid w:val="001411E7"/>
    <w:rsid w:val="00143D89"/>
    <w:rsid w:val="00143D9E"/>
    <w:rsid w:val="00143E9F"/>
    <w:rsid w:val="00144491"/>
    <w:rsid w:val="00144CAC"/>
    <w:rsid w:val="00146B1C"/>
    <w:rsid w:val="00147D4D"/>
    <w:rsid w:val="0015084E"/>
    <w:rsid w:val="00150A5C"/>
    <w:rsid w:val="00151134"/>
    <w:rsid w:val="00151CB4"/>
    <w:rsid w:val="00152901"/>
    <w:rsid w:val="00152CF8"/>
    <w:rsid w:val="001538AF"/>
    <w:rsid w:val="00153EA3"/>
    <w:rsid w:val="00156A02"/>
    <w:rsid w:val="00160A4F"/>
    <w:rsid w:val="001630DC"/>
    <w:rsid w:val="0016498E"/>
    <w:rsid w:val="00164AD6"/>
    <w:rsid w:val="00166AD9"/>
    <w:rsid w:val="001724A5"/>
    <w:rsid w:val="001730DC"/>
    <w:rsid w:val="00173D94"/>
    <w:rsid w:val="00174E54"/>
    <w:rsid w:val="00175286"/>
    <w:rsid w:val="00175E42"/>
    <w:rsid w:val="00176CA6"/>
    <w:rsid w:val="00177625"/>
    <w:rsid w:val="00177966"/>
    <w:rsid w:val="001804F0"/>
    <w:rsid w:val="0018054E"/>
    <w:rsid w:val="00181258"/>
    <w:rsid w:val="0018135C"/>
    <w:rsid w:val="001816FF"/>
    <w:rsid w:val="001820BF"/>
    <w:rsid w:val="001820EC"/>
    <w:rsid w:val="00182A15"/>
    <w:rsid w:val="001830A4"/>
    <w:rsid w:val="001909EF"/>
    <w:rsid w:val="00190EDD"/>
    <w:rsid w:val="00190EF4"/>
    <w:rsid w:val="0019114D"/>
    <w:rsid w:val="001915AF"/>
    <w:rsid w:val="00191C67"/>
    <w:rsid w:val="001923EC"/>
    <w:rsid w:val="00193AC2"/>
    <w:rsid w:val="00194434"/>
    <w:rsid w:val="001954C7"/>
    <w:rsid w:val="001956C1"/>
    <w:rsid w:val="00195E2B"/>
    <w:rsid w:val="001A161A"/>
    <w:rsid w:val="001A2E3A"/>
    <w:rsid w:val="001A3AE2"/>
    <w:rsid w:val="001A453F"/>
    <w:rsid w:val="001A5D4D"/>
    <w:rsid w:val="001A6593"/>
    <w:rsid w:val="001A6CA2"/>
    <w:rsid w:val="001A7C5A"/>
    <w:rsid w:val="001B2294"/>
    <w:rsid w:val="001B26F6"/>
    <w:rsid w:val="001B39CE"/>
    <w:rsid w:val="001B61D0"/>
    <w:rsid w:val="001C02C8"/>
    <w:rsid w:val="001C1CC9"/>
    <w:rsid w:val="001C211A"/>
    <w:rsid w:val="001C2A03"/>
    <w:rsid w:val="001C69D1"/>
    <w:rsid w:val="001D16CC"/>
    <w:rsid w:val="001D2AC3"/>
    <w:rsid w:val="001D5149"/>
    <w:rsid w:val="001D5546"/>
    <w:rsid w:val="001D557D"/>
    <w:rsid w:val="001D58B7"/>
    <w:rsid w:val="001D6639"/>
    <w:rsid w:val="001E409B"/>
    <w:rsid w:val="001E4B9E"/>
    <w:rsid w:val="001F3779"/>
    <w:rsid w:val="001F43E8"/>
    <w:rsid w:val="001F48B8"/>
    <w:rsid w:val="00200AA6"/>
    <w:rsid w:val="00202AB5"/>
    <w:rsid w:val="00203D4A"/>
    <w:rsid w:val="00206DBF"/>
    <w:rsid w:val="00207979"/>
    <w:rsid w:val="00207C23"/>
    <w:rsid w:val="0021137A"/>
    <w:rsid w:val="002114D1"/>
    <w:rsid w:val="00213009"/>
    <w:rsid w:val="00213967"/>
    <w:rsid w:val="00213CFE"/>
    <w:rsid w:val="002143BA"/>
    <w:rsid w:val="00214FB9"/>
    <w:rsid w:val="0021566B"/>
    <w:rsid w:val="002157FD"/>
    <w:rsid w:val="002159B1"/>
    <w:rsid w:val="0021770C"/>
    <w:rsid w:val="002228CB"/>
    <w:rsid w:val="0022312B"/>
    <w:rsid w:val="00223EA0"/>
    <w:rsid w:val="00230E48"/>
    <w:rsid w:val="002316FF"/>
    <w:rsid w:val="0023182A"/>
    <w:rsid w:val="00232237"/>
    <w:rsid w:val="00234339"/>
    <w:rsid w:val="002348D6"/>
    <w:rsid w:val="0023553E"/>
    <w:rsid w:val="00236EC2"/>
    <w:rsid w:val="00240964"/>
    <w:rsid w:val="00240CBD"/>
    <w:rsid w:val="00241281"/>
    <w:rsid w:val="00241530"/>
    <w:rsid w:val="0024458A"/>
    <w:rsid w:val="00245001"/>
    <w:rsid w:val="00250576"/>
    <w:rsid w:val="002505D2"/>
    <w:rsid w:val="00250D38"/>
    <w:rsid w:val="00251345"/>
    <w:rsid w:val="00252F7C"/>
    <w:rsid w:val="00252FD9"/>
    <w:rsid w:val="0025356B"/>
    <w:rsid w:val="00253E09"/>
    <w:rsid w:val="0025434D"/>
    <w:rsid w:val="00254662"/>
    <w:rsid w:val="00254DA5"/>
    <w:rsid w:val="002553C6"/>
    <w:rsid w:val="00256C61"/>
    <w:rsid w:val="00257FD9"/>
    <w:rsid w:val="0026008D"/>
    <w:rsid w:val="00261E64"/>
    <w:rsid w:val="00264CC0"/>
    <w:rsid w:val="002654ED"/>
    <w:rsid w:val="00266248"/>
    <w:rsid w:val="00266DA3"/>
    <w:rsid w:val="00270917"/>
    <w:rsid w:val="002719FE"/>
    <w:rsid w:val="00271AFB"/>
    <w:rsid w:val="00273B42"/>
    <w:rsid w:val="0027411E"/>
    <w:rsid w:val="00277134"/>
    <w:rsid w:val="00277FC9"/>
    <w:rsid w:val="00282E0E"/>
    <w:rsid w:val="002838D3"/>
    <w:rsid w:val="002838EF"/>
    <w:rsid w:val="0028414A"/>
    <w:rsid w:val="0029106A"/>
    <w:rsid w:val="002910B4"/>
    <w:rsid w:val="00292BF9"/>
    <w:rsid w:val="00294168"/>
    <w:rsid w:val="002952A7"/>
    <w:rsid w:val="0029622E"/>
    <w:rsid w:val="0029755B"/>
    <w:rsid w:val="002A13ED"/>
    <w:rsid w:val="002A3A41"/>
    <w:rsid w:val="002A5F07"/>
    <w:rsid w:val="002A5F34"/>
    <w:rsid w:val="002A68FE"/>
    <w:rsid w:val="002A6CF5"/>
    <w:rsid w:val="002A6D13"/>
    <w:rsid w:val="002A712C"/>
    <w:rsid w:val="002B054C"/>
    <w:rsid w:val="002B0871"/>
    <w:rsid w:val="002B1E6A"/>
    <w:rsid w:val="002B21F1"/>
    <w:rsid w:val="002B3496"/>
    <w:rsid w:val="002B39BA"/>
    <w:rsid w:val="002B67EF"/>
    <w:rsid w:val="002B6C80"/>
    <w:rsid w:val="002B773A"/>
    <w:rsid w:val="002B77C5"/>
    <w:rsid w:val="002C204F"/>
    <w:rsid w:val="002C2FBF"/>
    <w:rsid w:val="002C3796"/>
    <w:rsid w:val="002C3FB3"/>
    <w:rsid w:val="002C78B3"/>
    <w:rsid w:val="002C797D"/>
    <w:rsid w:val="002D0053"/>
    <w:rsid w:val="002D0835"/>
    <w:rsid w:val="002D12B3"/>
    <w:rsid w:val="002D290D"/>
    <w:rsid w:val="002D332C"/>
    <w:rsid w:val="002D4F2D"/>
    <w:rsid w:val="002D6438"/>
    <w:rsid w:val="002D6473"/>
    <w:rsid w:val="002D69D4"/>
    <w:rsid w:val="002D795F"/>
    <w:rsid w:val="002E074D"/>
    <w:rsid w:val="002E0A0E"/>
    <w:rsid w:val="002E0CA0"/>
    <w:rsid w:val="002E1801"/>
    <w:rsid w:val="002E51E7"/>
    <w:rsid w:val="002E524E"/>
    <w:rsid w:val="002E54F0"/>
    <w:rsid w:val="002E5E77"/>
    <w:rsid w:val="002E6389"/>
    <w:rsid w:val="002F1B37"/>
    <w:rsid w:val="002F2C3A"/>
    <w:rsid w:val="002F32A8"/>
    <w:rsid w:val="002F3BE6"/>
    <w:rsid w:val="002F561F"/>
    <w:rsid w:val="002F568A"/>
    <w:rsid w:val="002F6ECD"/>
    <w:rsid w:val="002F7E94"/>
    <w:rsid w:val="00302757"/>
    <w:rsid w:val="00302984"/>
    <w:rsid w:val="00303CF1"/>
    <w:rsid w:val="00303FA9"/>
    <w:rsid w:val="003044EA"/>
    <w:rsid w:val="00304E4C"/>
    <w:rsid w:val="00306050"/>
    <w:rsid w:val="00306450"/>
    <w:rsid w:val="00306626"/>
    <w:rsid w:val="003073B7"/>
    <w:rsid w:val="003079F1"/>
    <w:rsid w:val="00307AF3"/>
    <w:rsid w:val="00307CA7"/>
    <w:rsid w:val="00310297"/>
    <w:rsid w:val="00310896"/>
    <w:rsid w:val="00312DC9"/>
    <w:rsid w:val="0031455F"/>
    <w:rsid w:val="003155B5"/>
    <w:rsid w:val="00315645"/>
    <w:rsid w:val="003156B9"/>
    <w:rsid w:val="003162FB"/>
    <w:rsid w:val="00317483"/>
    <w:rsid w:val="00317850"/>
    <w:rsid w:val="00317A2A"/>
    <w:rsid w:val="00317D03"/>
    <w:rsid w:val="00321AE4"/>
    <w:rsid w:val="003227A8"/>
    <w:rsid w:val="003228BC"/>
    <w:rsid w:val="00324589"/>
    <w:rsid w:val="0032612B"/>
    <w:rsid w:val="00330126"/>
    <w:rsid w:val="00330207"/>
    <w:rsid w:val="0033087C"/>
    <w:rsid w:val="00332E06"/>
    <w:rsid w:val="00334607"/>
    <w:rsid w:val="00340C19"/>
    <w:rsid w:val="00341C78"/>
    <w:rsid w:val="00346DBF"/>
    <w:rsid w:val="003474CF"/>
    <w:rsid w:val="00350A10"/>
    <w:rsid w:val="00352BA2"/>
    <w:rsid w:val="00353A9B"/>
    <w:rsid w:val="003558D7"/>
    <w:rsid w:val="00360EFC"/>
    <w:rsid w:val="00360F49"/>
    <w:rsid w:val="003626B3"/>
    <w:rsid w:val="00362EFD"/>
    <w:rsid w:val="003636D0"/>
    <w:rsid w:val="00363AF1"/>
    <w:rsid w:val="00364F88"/>
    <w:rsid w:val="00366569"/>
    <w:rsid w:val="00366A12"/>
    <w:rsid w:val="00367006"/>
    <w:rsid w:val="00367706"/>
    <w:rsid w:val="003703D6"/>
    <w:rsid w:val="003727CE"/>
    <w:rsid w:val="0037305F"/>
    <w:rsid w:val="003778EE"/>
    <w:rsid w:val="00384015"/>
    <w:rsid w:val="003879C1"/>
    <w:rsid w:val="003879DE"/>
    <w:rsid w:val="0039062B"/>
    <w:rsid w:val="0039094A"/>
    <w:rsid w:val="0039095F"/>
    <w:rsid w:val="00392F17"/>
    <w:rsid w:val="00393411"/>
    <w:rsid w:val="003963FE"/>
    <w:rsid w:val="00397BEC"/>
    <w:rsid w:val="003A22BA"/>
    <w:rsid w:val="003A2CB8"/>
    <w:rsid w:val="003A5269"/>
    <w:rsid w:val="003A59D3"/>
    <w:rsid w:val="003A5ACA"/>
    <w:rsid w:val="003A6180"/>
    <w:rsid w:val="003A69C2"/>
    <w:rsid w:val="003A7107"/>
    <w:rsid w:val="003B4C01"/>
    <w:rsid w:val="003B572B"/>
    <w:rsid w:val="003B6CD1"/>
    <w:rsid w:val="003B6FB5"/>
    <w:rsid w:val="003B7A2C"/>
    <w:rsid w:val="003C2FB3"/>
    <w:rsid w:val="003C4354"/>
    <w:rsid w:val="003C4A83"/>
    <w:rsid w:val="003C5AFD"/>
    <w:rsid w:val="003C7BDD"/>
    <w:rsid w:val="003C7C4B"/>
    <w:rsid w:val="003D08BD"/>
    <w:rsid w:val="003D2804"/>
    <w:rsid w:val="003D747C"/>
    <w:rsid w:val="003D773B"/>
    <w:rsid w:val="003D7D4D"/>
    <w:rsid w:val="003D7E26"/>
    <w:rsid w:val="003E1B1C"/>
    <w:rsid w:val="003E22B2"/>
    <w:rsid w:val="003E3C54"/>
    <w:rsid w:val="003E659F"/>
    <w:rsid w:val="003E7B44"/>
    <w:rsid w:val="003F12E4"/>
    <w:rsid w:val="003F399D"/>
    <w:rsid w:val="003F3EC6"/>
    <w:rsid w:val="003F424B"/>
    <w:rsid w:val="003F701B"/>
    <w:rsid w:val="0040010A"/>
    <w:rsid w:val="00401038"/>
    <w:rsid w:val="004017C0"/>
    <w:rsid w:val="0040458F"/>
    <w:rsid w:val="004047F3"/>
    <w:rsid w:val="00404B3C"/>
    <w:rsid w:val="004056D4"/>
    <w:rsid w:val="00406554"/>
    <w:rsid w:val="00407F7F"/>
    <w:rsid w:val="0041159E"/>
    <w:rsid w:val="004124BE"/>
    <w:rsid w:val="00412ADF"/>
    <w:rsid w:val="00412C2A"/>
    <w:rsid w:val="004130D0"/>
    <w:rsid w:val="00413E44"/>
    <w:rsid w:val="00414D01"/>
    <w:rsid w:val="0041548B"/>
    <w:rsid w:val="00415D59"/>
    <w:rsid w:val="0041616A"/>
    <w:rsid w:val="00416E82"/>
    <w:rsid w:val="00422643"/>
    <w:rsid w:val="00422A68"/>
    <w:rsid w:val="004248A5"/>
    <w:rsid w:val="0043050E"/>
    <w:rsid w:val="00430C9A"/>
    <w:rsid w:val="00430CEB"/>
    <w:rsid w:val="00430F38"/>
    <w:rsid w:val="00434415"/>
    <w:rsid w:val="0043614D"/>
    <w:rsid w:val="004408E9"/>
    <w:rsid w:val="00440CD6"/>
    <w:rsid w:val="0044170C"/>
    <w:rsid w:val="004423D7"/>
    <w:rsid w:val="00443B19"/>
    <w:rsid w:val="00443ED0"/>
    <w:rsid w:val="00444B94"/>
    <w:rsid w:val="00444F8A"/>
    <w:rsid w:val="00446B98"/>
    <w:rsid w:val="00447B3C"/>
    <w:rsid w:val="004504F4"/>
    <w:rsid w:val="004527D1"/>
    <w:rsid w:val="00453664"/>
    <w:rsid w:val="004537B1"/>
    <w:rsid w:val="004538C7"/>
    <w:rsid w:val="0045467A"/>
    <w:rsid w:val="00454BAC"/>
    <w:rsid w:val="00455439"/>
    <w:rsid w:val="00455CBF"/>
    <w:rsid w:val="00457718"/>
    <w:rsid w:val="00457CC1"/>
    <w:rsid w:val="00457CF5"/>
    <w:rsid w:val="00462C70"/>
    <w:rsid w:val="00463DB9"/>
    <w:rsid w:val="004640A8"/>
    <w:rsid w:val="004641CA"/>
    <w:rsid w:val="004651D0"/>
    <w:rsid w:val="0046523C"/>
    <w:rsid w:val="0046535E"/>
    <w:rsid w:val="00465811"/>
    <w:rsid w:val="004674DB"/>
    <w:rsid w:val="00470A73"/>
    <w:rsid w:val="00470FD0"/>
    <w:rsid w:val="00471916"/>
    <w:rsid w:val="00471B43"/>
    <w:rsid w:val="004726E9"/>
    <w:rsid w:val="004734BE"/>
    <w:rsid w:val="00473BB8"/>
    <w:rsid w:val="00474476"/>
    <w:rsid w:val="00475F49"/>
    <w:rsid w:val="004765F7"/>
    <w:rsid w:val="00480F3B"/>
    <w:rsid w:val="00481A34"/>
    <w:rsid w:val="00481ACB"/>
    <w:rsid w:val="00482430"/>
    <w:rsid w:val="00483DE9"/>
    <w:rsid w:val="0048421B"/>
    <w:rsid w:val="004876F4"/>
    <w:rsid w:val="00490E6A"/>
    <w:rsid w:val="004958D5"/>
    <w:rsid w:val="00496CD3"/>
    <w:rsid w:val="004A0429"/>
    <w:rsid w:val="004A0803"/>
    <w:rsid w:val="004A0973"/>
    <w:rsid w:val="004A0C1B"/>
    <w:rsid w:val="004A1F5C"/>
    <w:rsid w:val="004A38F1"/>
    <w:rsid w:val="004A5D85"/>
    <w:rsid w:val="004B1828"/>
    <w:rsid w:val="004B3EF3"/>
    <w:rsid w:val="004B482F"/>
    <w:rsid w:val="004B4BBC"/>
    <w:rsid w:val="004B73DC"/>
    <w:rsid w:val="004B75D3"/>
    <w:rsid w:val="004B775E"/>
    <w:rsid w:val="004B78A3"/>
    <w:rsid w:val="004C005E"/>
    <w:rsid w:val="004C50D8"/>
    <w:rsid w:val="004C764E"/>
    <w:rsid w:val="004C7B95"/>
    <w:rsid w:val="004C7D77"/>
    <w:rsid w:val="004D02BB"/>
    <w:rsid w:val="004D4B7C"/>
    <w:rsid w:val="004D629A"/>
    <w:rsid w:val="004D6783"/>
    <w:rsid w:val="004D7366"/>
    <w:rsid w:val="004D75C6"/>
    <w:rsid w:val="004E1438"/>
    <w:rsid w:val="004E47FC"/>
    <w:rsid w:val="004E4884"/>
    <w:rsid w:val="004E5C48"/>
    <w:rsid w:val="004F1B08"/>
    <w:rsid w:val="004F253C"/>
    <w:rsid w:val="004F292F"/>
    <w:rsid w:val="004F3993"/>
    <w:rsid w:val="004F4510"/>
    <w:rsid w:val="004F45A8"/>
    <w:rsid w:val="004F50B8"/>
    <w:rsid w:val="004F6DBA"/>
    <w:rsid w:val="004F6F38"/>
    <w:rsid w:val="004F736A"/>
    <w:rsid w:val="004F7A83"/>
    <w:rsid w:val="00500CC8"/>
    <w:rsid w:val="005029C3"/>
    <w:rsid w:val="00503346"/>
    <w:rsid w:val="005034FF"/>
    <w:rsid w:val="00505301"/>
    <w:rsid w:val="0050575D"/>
    <w:rsid w:val="005064E8"/>
    <w:rsid w:val="0050723B"/>
    <w:rsid w:val="00507E7D"/>
    <w:rsid w:val="00511590"/>
    <w:rsid w:val="0051241A"/>
    <w:rsid w:val="00512E58"/>
    <w:rsid w:val="00513282"/>
    <w:rsid w:val="00515936"/>
    <w:rsid w:val="00521664"/>
    <w:rsid w:val="00523BB6"/>
    <w:rsid w:val="0052596F"/>
    <w:rsid w:val="00527F77"/>
    <w:rsid w:val="00530429"/>
    <w:rsid w:val="005305C4"/>
    <w:rsid w:val="00533AFA"/>
    <w:rsid w:val="00533F4E"/>
    <w:rsid w:val="00534353"/>
    <w:rsid w:val="00534612"/>
    <w:rsid w:val="00534B15"/>
    <w:rsid w:val="00536204"/>
    <w:rsid w:val="005375DC"/>
    <w:rsid w:val="00540808"/>
    <w:rsid w:val="0054188E"/>
    <w:rsid w:val="00542E7C"/>
    <w:rsid w:val="00542F75"/>
    <w:rsid w:val="00543619"/>
    <w:rsid w:val="005457A1"/>
    <w:rsid w:val="0054787C"/>
    <w:rsid w:val="00551A7E"/>
    <w:rsid w:val="00552363"/>
    <w:rsid w:val="00552FEF"/>
    <w:rsid w:val="0055496A"/>
    <w:rsid w:val="00554C68"/>
    <w:rsid w:val="0055546B"/>
    <w:rsid w:val="00561106"/>
    <w:rsid w:val="00561123"/>
    <w:rsid w:val="005618F3"/>
    <w:rsid w:val="005625C4"/>
    <w:rsid w:val="005631C1"/>
    <w:rsid w:val="00565578"/>
    <w:rsid w:val="005674C0"/>
    <w:rsid w:val="00567AD8"/>
    <w:rsid w:val="00572133"/>
    <w:rsid w:val="005721F6"/>
    <w:rsid w:val="00572692"/>
    <w:rsid w:val="00573F80"/>
    <w:rsid w:val="005742E2"/>
    <w:rsid w:val="005762F3"/>
    <w:rsid w:val="005775E4"/>
    <w:rsid w:val="00577BCB"/>
    <w:rsid w:val="00580CD1"/>
    <w:rsid w:val="00580E56"/>
    <w:rsid w:val="005819F4"/>
    <w:rsid w:val="00581A89"/>
    <w:rsid w:val="00582185"/>
    <w:rsid w:val="00582426"/>
    <w:rsid w:val="00585057"/>
    <w:rsid w:val="00587D60"/>
    <w:rsid w:val="005904A9"/>
    <w:rsid w:val="0059127D"/>
    <w:rsid w:val="00591349"/>
    <w:rsid w:val="005913F9"/>
    <w:rsid w:val="00591881"/>
    <w:rsid w:val="005919E6"/>
    <w:rsid w:val="00592C93"/>
    <w:rsid w:val="00593F82"/>
    <w:rsid w:val="00594337"/>
    <w:rsid w:val="0059455D"/>
    <w:rsid w:val="00594728"/>
    <w:rsid w:val="00595135"/>
    <w:rsid w:val="005A0195"/>
    <w:rsid w:val="005A06F1"/>
    <w:rsid w:val="005A0AF3"/>
    <w:rsid w:val="005A101C"/>
    <w:rsid w:val="005A2E20"/>
    <w:rsid w:val="005A3F9A"/>
    <w:rsid w:val="005A40FA"/>
    <w:rsid w:val="005A5124"/>
    <w:rsid w:val="005A6771"/>
    <w:rsid w:val="005A75F4"/>
    <w:rsid w:val="005A7FF0"/>
    <w:rsid w:val="005B19F1"/>
    <w:rsid w:val="005B2F33"/>
    <w:rsid w:val="005B38C8"/>
    <w:rsid w:val="005B4425"/>
    <w:rsid w:val="005B456F"/>
    <w:rsid w:val="005B5298"/>
    <w:rsid w:val="005B6960"/>
    <w:rsid w:val="005B6DE9"/>
    <w:rsid w:val="005C0211"/>
    <w:rsid w:val="005C0725"/>
    <w:rsid w:val="005C1C89"/>
    <w:rsid w:val="005C1D0B"/>
    <w:rsid w:val="005C2153"/>
    <w:rsid w:val="005C286E"/>
    <w:rsid w:val="005C2972"/>
    <w:rsid w:val="005C4DD0"/>
    <w:rsid w:val="005C5B29"/>
    <w:rsid w:val="005C7AE9"/>
    <w:rsid w:val="005D22D7"/>
    <w:rsid w:val="005D2C9B"/>
    <w:rsid w:val="005D2F3D"/>
    <w:rsid w:val="005D4C9D"/>
    <w:rsid w:val="005D5D7F"/>
    <w:rsid w:val="005D72BB"/>
    <w:rsid w:val="005E2211"/>
    <w:rsid w:val="005E2ED7"/>
    <w:rsid w:val="005E5700"/>
    <w:rsid w:val="005E578B"/>
    <w:rsid w:val="005E603D"/>
    <w:rsid w:val="005F0283"/>
    <w:rsid w:val="005F045C"/>
    <w:rsid w:val="005F2112"/>
    <w:rsid w:val="005F3433"/>
    <w:rsid w:val="005F7BC6"/>
    <w:rsid w:val="0060013D"/>
    <w:rsid w:val="006001D3"/>
    <w:rsid w:val="00602673"/>
    <w:rsid w:val="00603DAF"/>
    <w:rsid w:val="00604C9D"/>
    <w:rsid w:val="00605AC2"/>
    <w:rsid w:val="006061A5"/>
    <w:rsid w:val="006077C9"/>
    <w:rsid w:val="00607D0D"/>
    <w:rsid w:val="0061163F"/>
    <w:rsid w:val="00613DB1"/>
    <w:rsid w:val="0061572B"/>
    <w:rsid w:val="00615F6A"/>
    <w:rsid w:val="00615FFB"/>
    <w:rsid w:val="00617961"/>
    <w:rsid w:val="0062276E"/>
    <w:rsid w:val="00622D0D"/>
    <w:rsid w:val="00624189"/>
    <w:rsid w:val="006263C5"/>
    <w:rsid w:val="00630CA0"/>
    <w:rsid w:val="006315B4"/>
    <w:rsid w:val="00635BAC"/>
    <w:rsid w:val="00635D49"/>
    <w:rsid w:val="006361AA"/>
    <w:rsid w:val="0064036B"/>
    <w:rsid w:val="00641388"/>
    <w:rsid w:val="00641DEA"/>
    <w:rsid w:val="00642482"/>
    <w:rsid w:val="00643961"/>
    <w:rsid w:val="006446DD"/>
    <w:rsid w:val="0064541E"/>
    <w:rsid w:val="00645741"/>
    <w:rsid w:val="00645B53"/>
    <w:rsid w:val="006470D9"/>
    <w:rsid w:val="00650589"/>
    <w:rsid w:val="00651429"/>
    <w:rsid w:val="00651886"/>
    <w:rsid w:val="00653C75"/>
    <w:rsid w:val="0065432B"/>
    <w:rsid w:val="00654F0B"/>
    <w:rsid w:val="006559A4"/>
    <w:rsid w:val="006561DA"/>
    <w:rsid w:val="006569F2"/>
    <w:rsid w:val="006575B1"/>
    <w:rsid w:val="00657A7F"/>
    <w:rsid w:val="00660045"/>
    <w:rsid w:val="00662D2E"/>
    <w:rsid w:val="00662F09"/>
    <w:rsid w:val="00663708"/>
    <w:rsid w:val="006640DD"/>
    <w:rsid w:val="00664148"/>
    <w:rsid w:val="006664E5"/>
    <w:rsid w:val="00667A1C"/>
    <w:rsid w:val="006707ED"/>
    <w:rsid w:val="00670CED"/>
    <w:rsid w:val="0067142F"/>
    <w:rsid w:val="006719F5"/>
    <w:rsid w:val="00672A45"/>
    <w:rsid w:val="00672FEE"/>
    <w:rsid w:val="0067333F"/>
    <w:rsid w:val="00673C42"/>
    <w:rsid w:val="00673F61"/>
    <w:rsid w:val="006740BD"/>
    <w:rsid w:val="00675DDE"/>
    <w:rsid w:val="00676B23"/>
    <w:rsid w:val="00677471"/>
    <w:rsid w:val="00681411"/>
    <w:rsid w:val="00681610"/>
    <w:rsid w:val="00681702"/>
    <w:rsid w:val="00681F75"/>
    <w:rsid w:val="006836F4"/>
    <w:rsid w:val="00683A7A"/>
    <w:rsid w:val="00683D6C"/>
    <w:rsid w:val="00684342"/>
    <w:rsid w:val="0068451C"/>
    <w:rsid w:val="00684F8A"/>
    <w:rsid w:val="0068548A"/>
    <w:rsid w:val="00687238"/>
    <w:rsid w:val="00690858"/>
    <w:rsid w:val="0069100E"/>
    <w:rsid w:val="00691380"/>
    <w:rsid w:val="00691CC6"/>
    <w:rsid w:val="00692F9C"/>
    <w:rsid w:val="00694291"/>
    <w:rsid w:val="0069548C"/>
    <w:rsid w:val="00695B0B"/>
    <w:rsid w:val="00696A38"/>
    <w:rsid w:val="006A1BE3"/>
    <w:rsid w:val="006A2291"/>
    <w:rsid w:val="006A2FDB"/>
    <w:rsid w:val="006A656B"/>
    <w:rsid w:val="006A6793"/>
    <w:rsid w:val="006B01E0"/>
    <w:rsid w:val="006B080F"/>
    <w:rsid w:val="006B0A31"/>
    <w:rsid w:val="006B0EB6"/>
    <w:rsid w:val="006B3186"/>
    <w:rsid w:val="006B333A"/>
    <w:rsid w:val="006B4417"/>
    <w:rsid w:val="006B5C00"/>
    <w:rsid w:val="006B6A05"/>
    <w:rsid w:val="006C102C"/>
    <w:rsid w:val="006C1D5F"/>
    <w:rsid w:val="006C2160"/>
    <w:rsid w:val="006C41F8"/>
    <w:rsid w:val="006C5A96"/>
    <w:rsid w:val="006C7AE9"/>
    <w:rsid w:val="006D1316"/>
    <w:rsid w:val="006D1A77"/>
    <w:rsid w:val="006D1C57"/>
    <w:rsid w:val="006D1F0A"/>
    <w:rsid w:val="006D1FCA"/>
    <w:rsid w:val="006D2526"/>
    <w:rsid w:val="006D2F73"/>
    <w:rsid w:val="006D30AB"/>
    <w:rsid w:val="006D38F4"/>
    <w:rsid w:val="006D7499"/>
    <w:rsid w:val="006D78AF"/>
    <w:rsid w:val="006E0A12"/>
    <w:rsid w:val="006E3865"/>
    <w:rsid w:val="006E7494"/>
    <w:rsid w:val="006E7CA2"/>
    <w:rsid w:val="006F13B7"/>
    <w:rsid w:val="006F1BCE"/>
    <w:rsid w:val="006F4873"/>
    <w:rsid w:val="006F556B"/>
    <w:rsid w:val="006F620B"/>
    <w:rsid w:val="006F7603"/>
    <w:rsid w:val="00700362"/>
    <w:rsid w:val="007010D3"/>
    <w:rsid w:val="007016F0"/>
    <w:rsid w:val="0070275B"/>
    <w:rsid w:val="00703B46"/>
    <w:rsid w:val="00703D40"/>
    <w:rsid w:val="00705D00"/>
    <w:rsid w:val="00707A11"/>
    <w:rsid w:val="00707E60"/>
    <w:rsid w:val="00711451"/>
    <w:rsid w:val="0071250D"/>
    <w:rsid w:val="00712812"/>
    <w:rsid w:val="0071409A"/>
    <w:rsid w:val="00714705"/>
    <w:rsid w:val="0071795A"/>
    <w:rsid w:val="00720548"/>
    <w:rsid w:val="00723056"/>
    <w:rsid w:val="00723308"/>
    <w:rsid w:val="00725379"/>
    <w:rsid w:val="007265CE"/>
    <w:rsid w:val="00726DC2"/>
    <w:rsid w:val="00727858"/>
    <w:rsid w:val="0073049F"/>
    <w:rsid w:val="0073273C"/>
    <w:rsid w:val="00736387"/>
    <w:rsid w:val="00741284"/>
    <w:rsid w:val="00741A5B"/>
    <w:rsid w:val="007425AF"/>
    <w:rsid w:val="00752C15"/>
    <w:rsid w:val="007613A8"/>
    <w:rsid w:val="00761765"/>
    <w:rsid w:val="007619AD"/>
    <w:rsid w:val="007629D8"/>
    <w:rsid w:val="00762FB3"/>
    <w:rsid w:val="0076460F"/>
    <w:rsid w:val="007651EE"/>
    <w:rsid w:val="00765A8B"/>
    <w:rsid w:val="007676D0"/>
    <w:rsid w:val="00773180"/>
    <w:rsid w:val="00773F04"/>
    <w:rsid w:val="00774149"/>
    <w:rsid w:val="0077418F"/>
    <w:rsid w:val="00775C93"/>
    <w:rsid w:val="00776C33"/>
    <w:rsid w:val="00780E08"/>
    <w:rsid w:val="00780FF0"/>
    <w:rsid w:val="00781356"/>
    <w:rsid w:val="0078204A"/>
    <w:rsid w:val="0078370A"/>
    <w:rsid w:val="0078488A"/>
    <w:rsid w:val="0078507F"/>
    <w:rsid w:val="0078655D"/>
    <w:rsid w:val="00791543"/>
    <w:rsid w:val="00792AEE"/>
    <w:rsid w:val="007938F1"/>
    <w:rsid w:val="007956FA"/>
    <w:rsid w:val="0079572D"/>
    <w:rsid w:val="00797D0A"/>
    <w:rsid w:val="007A2F7C"/>
    <w:rsid w:val="007A35D1"/>
    <w:rsid w:val="007A48DD"/>
    <w:rsid w:val="007A4A10"/>
    <w:rsid w:val="007A4DA4"/>
    <w:rsid w:val="007A574B"/>
    <w:rsid w:val="007A5CD0"/>
    <w:rsid w:val="007A6AE5"/>
    <w:rsid w:val="007A6D92"/>
    <w:rsid w:val="007B0529"/>
    <w:rsid w:val="007B25CF"/>
    <w:rsid w:val="007B3B7B"/>
    <w:rsid w:val="007B4198"/>
    <w:rsid w:val="007B4975"/>
    <w:rsid w:val="007B5782"/>
    <w:rsid w:val="007B58C2"/>
    <w:rsid w:val="007B5FC2"/>
    <w:rsid w:val="007C0A15"/>
    <w:rsid w:val="007C16E0"/>
    <w:rsid w:val="007C5153"/>
    <w:rsid w:val="007C54FD"/>
    <w:rsid w:val="007C5934"/>
    <w:rsid w:val="007D12FD"/>
    <w:rsid w:val="007D13DD"/>
    <w:rsid w:val="007D186C"/>
    <w:rsid w:val="007D1D9B"/>
    <w:rsid w:val="007D2375"/>
    <w:rsid w:val="007D28C1"/>
    <w:rsid w:val="007D2C0F"/>
    <w:rsid w:val="007D55FD"/>
    <w:rsid w:val="007D767D"/>
    <w:rsid w:val="007E1580"/>
    <w:rsid w:val="007E2439"/>
    <w:rsid w:val="007E4782"/>
    <w:rsid w:val="007E4791"/>
    <w:rsid w:val="007E4942"/>
    <w:rsid w:val="007F0FE5"/>
    <w:rsid w:val="007F18B4"/>
    <w:rsid w:val="007F2A75"/>
    <w:rsid w:val="007F40CD"/>
    <w:rsid w:val="007F42AB"/>
    <w:rsid w:val="007F4F80"/>
    <w:rsid w:val="007F5D0A"/>
    <w:rsid w:val="007F5DD2"/>
    <w:rsid w:val="007F6115"/>
    <w:rsid w:val="0080040C"/>
    <w:rsid w:val="00801E6A"/>
    <w:rsid w:val="0080444D"/>
    <w:rsid w:val="008052FA"/>
    <w:rsid w:val="0080543F"/>
    <w:rsid w:val="008057AE"/>
    <w:rsid w:val="00806E73"/>
    <w:rsid w:val="008106A0"/>
    <w:rsid w:val="00812F7E"/>
    <w:rsid w:val="008133F0"/>
    <w:rsid w:val="00813716"/>
    <w:rsid w:val="00813A28"/>
    <w:rsid w:val="00816762"/>
    <w:rsid w:val="00817111"/>
    <w:rsid w:val="00817EB5"/>
    <w:rsid w:val="008211FD"/>
    <w:rsid w:val="008218F1"/>
    <w:rsid w:val="00822877"/>
    <w:rsid w:val="00822D69"/>
    <w:rsid w:val="00822FAC"/>
    <w:rsid w:val="00823557"/>
    <w:rsid w:val="00825433"/>
    <w:rsid w:val="00825BCE"/>
    <w:rsid w:val="00825E3B"/>
    <w:rsid w:val="00830F34"/>
    <w:rsid w:val="0083334A"/>
    <w:rsid w:val="00833C3C"/>
    <w:rsid w:val="008344C8"/>
    <w:rsid w:val="008369D6"/>
    <w:rsid w:val="008372FA"/>
    <w:rsid w:val="00837AC8"/>
    <w:rsid w:val="00840D69"/>
    <w:rsid w:val="00840DC2"/>
    <w:rsid w:val="00841010"/>
    <w:rsid w:val="0084112E"/>
    <w:rsid w:val="0084160C"/>
    <w:rsid w:val="00841A68"/>
    <w:rsid w:val="00841D58"/>
    <w:rsid w:val="008429D6"/>
    <w:rsid w:val="00842D87"/>
    <w:rsid w:val="00843AA5"/>
    <w:rsid w:val="00844A45"/>
    <w:rsid w:val="00845AFE"/>
    <w:rsid w:val="00845B19"/>
    <w:rsid w:val="00850BD4"/>
    <w:rsid w:val="008510B2"/>
    <w:rsid w:val="0085212C"/>
    <w:rsid w:val="00854D4E"/>
    <w:rsid w:val="008631A0"/>
    <w:rsid w:val="008669CC"/>
    <w:rsid w:val="008670A5"/>
    <w:rsid w:val="0086737A"/>
    <w:rsid w:val="00867853"/>
    <w:rsid w:val="00871264"/>
    <w:rsid w:val="008716D1"/>
    <w:rsid w:val="0087182C"/>
    <w:rsid w:val="008731AE"/>
    <w:rsid w:val="008737F6"/>
    <w:rsid w:val="00873E2A"/>
    <w:rsid w:val="00874850"/>
    <w:rsid w:val="008751C8"/>
    <w:rsid w:val="0087743E"/>
    <w:rsid w:val="00877B9D"/>
    <w:rsid w:val="0088131E"/>
    <w:rsid w:val="00883186"/>
    <w:rsid w:val="00884D08"/>
    <w:rsid w:val="0088518E"/>
    <w:rsid w:val="008862F6"/>
    <w:rsid w:val="00886A40"/>
    <w:rsid w:val="00886B87"/>
    <w:rsid w:val="00887032"/>
    <w:rsid w:val="008918F3"/>
    <w:rsid w:val="00891C61"/>
    <w:rsid w:val="00891CA3"/>
    <w:rsid w:val="00891EBD"/>
    <w:rsid w:val="0089208F"/>
    <w:rsid w:val="008938AD"/>
    <w:rsid w:val="00893947"/>
    <w:rsid w:val="00893BFA"/>
    <w:rsid w:val="008A1BC5"/>
    <w:rsid w:val="008A5F17"/>
    <w:rsid w:val="008B0B2A"/>
    <w:rsid w:val="008B0BF4"/>
    <w:rsid w:val="008B2F47"/>
    <w:rsid w:val="008B36B2"/>
    <w:rsid w:val="008B43EF"/>
    <w:rsid w:val="008B547C"/>
    <w:rsid w:val="008B7A37"/>
    <w:rsid w:val="008B7EE6"/>
    <w:rsid w:val="008C1E0C"/>
    <w:rsid w:val="008C384D"/>
    <w:rsid w:val="008C43DD"/>
    <w:rsid w:val="008C51F3"/>
    <w:rsid w:val="008C526D"/>
    <w:rsid w:val="008C66BC"/>
    <w:rsid w:val="008D305F"/>
    <w:rsid w:val="008D3EE0"/>
    <w:rsid w:val="008D4D39"/>
    <w:rsid w:val="008D6009"/>
    <w:rsid w:val="008D648E"/>
    <w:rsid w:val="008D70D0"/>
    <w:rsid w:val="008D7EBC"/>
    <w:rsid w:val="008E0097"/>
    <w:rsid w:val="008E3292"/>
    <w:rsid w:val="008E4AE2"/>
    <w:rsid w:val="008E4E92"/>
    <w:rsid w:val="008E4EE7"/>
    <w:rsid w:val="008E5BE7"/>
    <w:rsid w:val="008E5D53"/>
    <w:rsid w:val="008E6552"/>
    <w:rsid w:val="008E702E"/>
    <w:rsid w:val="008E76A5"/>
    <w:rsid w:val="008E7E03"/>
    <w:rsid w:val="008E7E11"/>
    <w:rsid w:val="008F013E"/>
    <w:rsid w:val="008F0D33"/>
    <w:rsid w:val="008F17BD"/>
    <w:rsid w:val="008F17C6"/>
    <w:rsid w:val="008F2B39"/>
    <w:rsid w:val="008F413B"/>
    <w:rsid w:val="008F444D"/>
    <w:rsid w:val="008F4FFC"/>
    <w:rsid w:val="009002E8"/>
    <w:rsid w:val="00900B6F"/>
    <w:rsid w:val="00901D02"/>
    <w:rsid w:val="009023FA"/>
    <w:rsid w:val="00905591"/>
    <w:rsid w:val="009067CA"/>
    <w:rsid w:val="00910072"/>
    <w:rsid w:val="00910852"/>
    <w:rsid w:val="00910C88"/>
    <w:rsid w:val="00912AE6"/>
    <w:rsid w:val="00914B41"/>
    <w:rsid w:val="00914C20"/>
    <w:rsid w:val="0092012D"/>
    <w:rsid w:val="009216F3"/>
    <w:rsid w:val="00922114"/>
    <w:rsid w:val="009222AD"/>
    <w:rsid w:val="0092247E"/>
    <w:rsid w:val="00922DF6"/>
    <w:rsid w:val="00924E80"/>
    <w:rsid w:val="00924EA7"/>
    <w:rsid w:val="00924F64"/>
    <w:rsid w:val="0092514F"/>
    <w:rsid w:val="0092655B"/>
    <w:rsid w:val="00926B51"/>
    <w:rsid w:val="0092747D"/>
    <w:rsid w:val="00927BCF"/>
    <w:rsid w:val="00931A15"/>
    <w:rsid w:val="00933B67"/>
    <w:rsid w:val="00933DDA"/>
    <w:rsid w:val="00934B40"/>
    <w:rsid w:val="0093518C"/>
    <w:rsid w:val="00936D6B"/>
    <w:rsid w:val="00941848"/>
    <w:rsid w:val="00941AD5"/>
    <w:rsid w:val="00941EF9"/>
    <w:rsid w:val="00942240"/>
    <w:rsid w:val="009422F3"/>
    <w:rsid w:val="009423A5"/>
    <w:rsid w:val="009433E8"/>
    <w:rsid w:val="00943D69"/>
    <w:rsid w:val="00946D1D"/>
    <w:rsid w:val="00946D59"/>
    <w:rsid w:val="0095032F"/>
    <w:rsid w:val="00950864"/>
    <w:rsid w:val="00950DE7"/>
    <w:rsid w:val="00951189"/>
    <w:rsid w:val="009512DE"/>
    <w:rsid w:val="00951B5F"/>
    <w:rsid w:val="00951E4F"/>
    <w:rsid w:val="00952A20"/>
    <w:rsid w:val="009532DF"/>
    <w:rsid w:val="00955F73"/>
    <w:rsid w:val="00957AF3"/>
    <w:rsid w:val="00960C62"/>
    <w:rsid w:val="00960CA9"/>
    <w:rsid w:val="00962402"/>
    <w:rsid w:val="00965085"/>
    <w:rsid w:val="009653BF"/>
    <w:rsid w:val="00965A2F"/>
    <w:rsid w:val="00970BC6"/>
    <w:rsid w:val="009727AC"/>
    <w:rsid w:val="00973555"/>
    <w:rsid w:val="009771B7"/>
    <w:rsid w:val="00977576"/>
    <w:rsid w:val="00977B6C"/>
    <w:rsid w:val="00981652"/>
    <w:rsid w:val="00981A86"/>
    <w:rsid w:val="009826EF"/>
    <w:rsid w:val="009849AC"/>
    <w:rsid w:val="00986614"/>
    <w:rsid w:val="00986E19"/>
    <w:rsid w:val="009871FB"/>
    <w:rsid w:val="0098760A"/>
    <w:rsid w:val="009974F5"/>
    <w:rsid w:val="00997B92"/>
    <w:rsid w:val="009A0C3B"/>
    <w:rsid w:val="009A243A"/>
    <w:rsid w:val="009A3111"/>
    <w:rsid w:val="009A4AFE"/>
    <w:rsid w:val="009A5ABF"/>
    <w:rsid w:val="009A69CE"/>
    <w:rsid w:val="009A7824"/>
    <w:rsid w:val="009B06C5"/>
    <w:rsid w:val="009B212C"/>
    <w:rsid w:val="009B283B"/>
    <w:rsid w:val="009B2C01"/>
    <w:rsid w:val="009B30F7"/>
    <w:rsid w:val="009B3650"/>
    <w:rsid w:val="009B4060"/>
    <w:rsid w:val="009B753E"/>
    <w:rsid w:val="009B7E75"/>
    <w:rsid w:val="009C1F07"/>
    <w:rsid w:val="009C3A78"/>
    <w:rsid w:val="009C476A"/>
    <w:rsid w:val="009C4BC4"/>
    <w:rsid w:val="009C5093"/>
    <w:rsid w:val="009C63CE"/>
    <w:rsid w:val="009C6AB9"/>
    <w:rsid w:val="009D04AA"/>
    <w:rsid w:val="009D07F0"/>
    <w:rsid w:val="009D2FCA"/>
    <w:rsid w:val="009D3308"/>
    <w:rsid w:val="009D3E57"/>
    <w:rsid w:val="009D42B4"/>
    <w:rsid w:val="009D59DB"/>
    <w:rsid w:val="009D64F9"/>
    <w:rsid w:val="009E0FFE"/>
    <w:rsid w:val="009E21DE"/>
    <w:rsid w:val="009E441F"/>
    <w:rsid w:val="009E4D02"/>
    <w:rsid w:val="009E501F"/>
    <w:rsid w:val="009E531E"/>
    <w:rsid w:val="009E620A"/>
    <w:rsid w:val="009E6948"/>
    <w:rsid w:val="009E7A73"/>
    <w:rsid w:val="009E7AC3"/>
    <w:rsid w:val="009F1827"/>
    <w:rsid w:val="009F21C7"/>
    <w:rsid w:val="009F4BCE"/>
    <w:rsid w:val="009F63D9"/>
    <w:rsid w:val="009F647D"/>
    <w:rsid w:val="009F7B48"/>
    <w:rsid w:val="00A0080E"/>
    <w:rsid w:val="00A02131"/>
    <w:rsid w:val="00A029AA"/>
    <w:rsid w:val="00A02A11"/>
    <w:rsid w:val="00A03004"/>
    <w:rsid w:val="00A04BAB"/>
    <w:rsid w:val="00A04BFD"/>
    <w:rsid w:val="00A04E2C"/>
    <w:rsid w:val="00A04EA8"/>
    <w:rsid w:val="00A05B55"/>
    <w:rsid w:val="00A07270"/>
    <w:rsid w:val="00A078BC"/>
    <w:rsid w:val="00A10211"/>
    <w:rsid w:val="00A10DED"/>
    <w:rsid w:val="00A113E2"/>
    <w:rsid w:val="00A11C88"/>
    <w:rsid w:val="00A12C41"/>
    <w:rsid w:val="00A130B3"/>
    <w:rsid w:val="00A14D72"/>
    <w:rsid w:val="00A20EB1"/>
    <w:rsid w:val="00A2169E"/>
    <w:rsid w:val="00A249A8"/>
    <w:rsid w:val="00A24FF3"/>
    <w:rsid w:val="00A3064C"/>
    <w:rsid w:val="00A30E9B"/>
    <w:rsid w:val="00A32306"/>
    <w:rsid w:val="00A32BF5"/>
    <w:rsid w:val="00A333FB"/>
    <w:rsid w:val="00A34480"/>
    <w:rsid w:val="00A36952"/>
    <w:rsid w:val="00A36DC3"/>
    <w:rsid w:val="00A3772B"/>
    <w:rsid w:val="00A4005E"/>
    <w:rsid w:val="00A47AE6"/>
    <w:rsid w:val="00A47D64"/>
    <w:rsid w:val="00A47E6D"/>
    <w:rsid w:val="00A50230"/>
    <w:rsid w:val="00A50908"/>
    <w:rsid w:val="00A50E6B"/>
    <w:rsid w:val="00A52871"/>
    <w:rsid w:val="00A52F4D"/>
    <w:rsid w:val="00A536C1"/>
    <w:rsid w:val="00A5454E"/>
    <w:rsid w:val="00A574EE"/>
    <w:rsid w:val="00A57A25"/>
    <w:rsid w:val="00A57DAF"/>
    <w:rsid w:val="00A60488"/>
    <w:rsid w:val="00A6063D"/>
    <w:rsid w:val="00A617DC"/>
    <w:rsid w:val="00A62A89"/>
    <w:rsid w:val="00A643EF"/>
    <w:rsid w:val="00A67363"/>
    <w:rsid w:val="00A6758E"/>
    <w:rsid w:val="00A67826"/>
    <w:rsid w:val="00A70652"/>
    <w:rsid w:val="00A71202"/>
    <w:rsid w:val="00A716F9"/>
    <w:rsid w:val="00A71977"/>
    <w:rsid w:val="00A72B0B"/>
    <w:rsid w:val="00A731A2"/>
    <w:rsid w:val="00A758A4"/>
    <w:rsid w:val="00A801A7"/>
    <w:rsid w:val="00A81D2F"/>
    <w:rsid w:val="00A82989"/>
    <w:rsid w:val="00A837AA"/>
    <w:rsid w:val="00A86579"/>
    <w:rsid w:val="00A87CE6"/>
    <w:rsid w:val="00A9016D"/>
    <w:rsid w:val="00A91C53"/>
    <w:rsid w:val="00A92652"/>
    <w:rsid w:val="00A92C7C"/>
    <w:rsid w:val="00A94071"/>
    <w:rsid w:val="00A94690"/>
    <w:rsid w:val="00A963B8"/>
    <w:rsid w:val="00AA039C"/>
    <w:rsid w:val="00AA070E"/>
    <w:rsid w:val="00AA1E7E"/>
    <w:rsid w:val="00AA2282"/>
    <w:rsid w:val="00AA40F2"/>
    <w:rsid w:val="00AA5711"/>
    <w:rsid w:val="00AA584B"/>
    <w:rsid w:val="00AA63B1"/>
    <w:rsid w:val="00AB0892"/>
    <w:rsid w:val="00AB0A35"/>
    <w:rsid w:val="00AB0FE0"/>
    <w:rsid w:val="00AB4224"/>
    <w:rsid w:val="00AB53BF"/>
    <w:rsid w:val="00AB5F71"/>
    <w:rsid w:val="00AB6180"/>
    <w:rsid w:val="00AB6B4A"/>
    <w:rsid w:val="00AC2641"/>
    <w:rsid w:val="00AC290F"/>
    <w:rsid w:val="00AC4DBF"/>
    <w:rsid w:val="00AC550A"/>
    <w:rsid w:val="00AD03B0"/>
    <w:rsid w:val="00AD0595"/>
    <w:rsid w:val="00AD23B7"/>
    <w:rsid w:val="00AD2C72"/>
    <w:rsid w:val="00AD43D0"/>
    <w:rsid w:val="00AD4A36"/>
    <w:rsid w:val="00AD5E5D"/>
    <w:rsid w:val="00AD6371"/>
    <w:rsid w:val="00AD6394"/>
    <w:rsid w:val="00AD7412"/>
    <w:rsid w:val="00AD7939"/>
    <w:rsid w:val="00AD7F63"/>
    <w:rsid w:val="00AE0B67"/>
    <w:rsid w:val="00AE175F"/>
    <w:rsid w:val="00AE1A42"/>
    <w:rsid w:val="00AE1E56"/>
    <w:rsid w:val="00AE4130"/>
    <w:rsid w:val="00AE55C1"/>
    <w:rsid w:val="00AE708D"/>
    <w:rsid w:val="00AE79FC"/>
    <w:rsid w:val="00AE7A2F"/>
    <w:rsid w:val="00AF00AB"/>
    <w:rsid w:val="00AF0FCE"/>
    <w:rsid w:val="00AF135C"/>
    <w:rsid w:val="00AF4373"/>
    <w:rsid w:val="00AF49CB"/>
    <w:rsid w:val="00AF5569"/>
    <w:rsid w:val="00AF5C95"/>
    <w:rsid w:val="00AF782D"/>
    <w:rsid w:val="00B062AE"/>
    <w:rsid w:val="00B064F3"/>
    <w:rsid w:val="00B0765E"/>
    <w:rsid w:val="00B076BA"/>
    <w:rsid w:val="00B07C68"/>
    <w:rsid w:val="00B1048A"/>
    <w:rsid w:val="00B117FF"/>
    <w:rsid w:val="00B11D8A"/>
    <w:rsid w:val="00B13A72"/>
    <w:rsid w:val="00B13E04"/>
    <w:rsid w:val="00B175E3"/>
    <w:rsid w:val="00B176C3"/>
    <w:rsid w:val="00B20A74"/>
    <w:rsid w:val="00B214C4"/>
    <w:rsid w:val="00B215E5"/>
    <w:rsid w:val="00B215FF"/>
    <w:rsid w:val="00B2214E"/>
    <w:rsid w:val="00B23D60"/>
    <w:rsid w:val="00B2478D"/>
    <w:rsid w:val="00B31CF8"/>
    <w:rsid w:val="00B3363A"/>
    <w:rsid w:val="00B37AE3"/>
    <w:rsid w:val="00B4246D"/>
    <w:rsid w:val="00B43304"/>
    <w:rsid w:val="00B4581B"/>
    <w:rsid w:val="00B4660C"/>
    <w:rsid w:val="00B4661B"/>
    <w:rsid w:val="00B51FF3"/>
    <w:rsid w:val="00B528ED"/>
    <w:rsid w:val="00B53302"/>
    <w:rsid w:val="00B537D2"/>
    <w:rsid w:val="00B55433"/>
    <w:rsid w:val="00B559F7"/>
    <w:rsid w:val="00B60783"/>
    <w:rsid w:val="00B626B5"/>
    <w:rsid w:val="00B632A6"/>
    <w:rsid w:val="00B63793"/>
    <w:rsid w:val="00B71551"/>
    <w:rsid w:val="00B74C54"/>
    <w:rsid w:val="00B760F0"/>
    <w:rsid w:val="00B8183E"/>
    <w:rsid w:val="00B83064"/>
    <w:rsid w:val="00B83E5D"/>
    <w:rsid w:val="00B853EE"/>
    <w:rsid w:val="00B87700"/>
    <w:rsid w:val="00B87CE6"/>
    <w:rsid w:val="00B907B2"/>
    <w:rsid w:val="00B910E0"/>
    <w:rsid w:val="00B91AC1"/>
    <w:rsid w:val="00B93A65"/>
    <w:rsid w:val="00B947AC"/>
    <w:rsid w:val="00BA0F77"/>
    <w:rsid w:val="00BA2304"/>
    <w:rsid w:val="00BA258A"/>
    <w:rsid w:val="00BA25BA"/>
    <w:rsid w:val="00BA260C"/>
    <w:rsid w:val="00BA388F"/>
    <w:rsid w:val="00BA63CE"/>
    <w:rsid w:val="00BA78E3"/>
    <w:rsid w:val="00BB1788"/>
    <w:rsid w:val="00BB315D"/>
    <w:rsid w:val="00BB35D7"/>
    <w:rsid w:val="00BB7DEF"/>
    <w:rsid w:val="00BC0D9E"/>
    <w:rsid w:val="00BC1347"/>
    <w:rsid w:val="00BC2432"/>
    <w:rsid w:val="00BC476D"/>
    <w:rsid w:val="00BC47CB"/>
    <w:rsid w:val="00BC586A"/>
    <w:rsid w:val="00BC6E51"/>
    <w:rsid w:val="00BC7008"/>
    <w:rsid w:val="00BD02FF"/>
    <w:rsid w:val="00BD6493"/>
    <w:rsid w:val="00BD71C7"/>
    <w:rsid w:val="00BE48D1"/>
    <w:rsid w:val="00BE4AD2"/>
    <w:rsid w:val="00BE6C96"/>
    <w:rsid w:val="00BE7F77"/>
    <w:rsid w:val="00BE7F9F"/>
    <w:rsid w:val="00BF2FC7"/>
    <w:rsid w:val="00BF39B1"/>
    <w:rsid w:val="00BF3CC3"/>
    <w:rsid w:val="00BF4A73"/>
    <w:rsid w:val="00BF51E7"/>
    <w:rsid w:val="00BF5C31"/>
    <w:rsid w:val="00BF61AD"/>
    <w:rsid w:val="00BF7CF1"/>
    <w:rsid w:val="00C00ABE"/>
    <w:rsid w:val="00C00DCF"/>
    <w:rsid w:val="00C010B2"/>
    <w:rsid w:val="00C02D4E"/>
    <w:rsid w:val="00C0307C"/>
    <w:rsid w:val="00C0554A"/>
    <w:rsid w:val="00C062B3"/>
    <w:rsid w:val="00C06EFD"/>
    <w:rsid w:val="00C07EF5"/>
    <w:rsid w:val="00C13269"/>
    <w:rsid w:val="00C13B28"/>
    <w:rsid w:val="00C13BF7"/>
    <w:rsid w:val="00C141B4"/>
    <w:rsid w:val="00C1495D"/>
    <w:rsid w:val="00C178D0"/>
    <w:rsid w:val="00C21111"/>
    <w:rsid w:val="00C24830"/>
    <w:rsid w:val="00C266E8"/>
    <w:rsid w:val="00C31B89"/>
    <w:rsid w:val="00C33974"/>
    <w:rsid w:val="00C33BA3"/>
    <w:rsid w:val="00C33FA2"/>
    <w:rsid w:val="00C34B74"/>
    <w:rsid w:val="00C361A5"/>
    <w:rsid w:val="00C3642C"/>
    <w:rsid w:val="00C36EF1"/>
    <w:rsid w:val="00C372BA"/>
    <w:rsid w:val="00C40D31"/>
    <w:rsid w:val="00C40FC0"/>
    <w:rsid w:val="00C413E5"/>
    <w:rsid w:val="00C41889"/>
    <w:rsid w:val="00C41FFA"/>
    <w:rsid w:val="00C43081"/>
    <w:rsid w:val="00C43120"/>
    <w:rsid w:val="00C434DD"/>
    <w:rsid w:val="00C445DE"/>
    <w:rsid w:val="00C45B6A"/>
    <w:rsid w:val="00C46FD4"/>
    <w:rsid w:val="00C47C03"/>
    <w:rsid w:val="00C508CB"/>
    <w:rsid w:val="00C51B94"/>
    <w:rsid w:val="00C530C1"/>
    <w:rsid w:val="00C536C2"/>
    <w:rsid w:val="00C55679"/>
    <w:rsid w:val="00C568CB"/>
    <w:rsid w:val="00C61FBD"/>
    <w:rsid w:val="00C626B6"/>
    <w:rsid w:val="00C62FDC"/>
    <w:rsid w:val="00C65D25"/>
    <w:rsid w:val="00C660C1"/>
    <w:rsid w:val="00C72E51"/>
    <w:rsid w:val="00C74C2B"/>
    <w:rsid w:val="00C77971"/>
    <w:rsid w:val="00C77D00"/>
    <w:rsid w:val="00C80967"/>
    <w:rsid w:val="00C81AC6"/>
    <w:rsid w:val="00C81CB8"/>
    <w:rsid w:val="00C835AC"/>
    <w:rsid w:val="00C86774"/>
    <w:rsid w:val="00C86C4E"/>
    <w:rsid w:val="00C87B04"/>
    <w:rsid w:val="00C90668"/>
    <w:rsid w:val="00C92890"/>
    <w:rsid w:val="00C92B02"/>
    <w:rsid w:val="00C92CE4"/>
    <w:rsid w:val="00C94153"/>
    <w:rsid w:val="00C95DB5"/>
    <w:rsid w:val="00C96334"/>
    <w:rsid w:val="00C96A72"/>
    <w:rsid w:val="00C96BAC"/>
    <w:rsid w:val="00C970E6"/>
    <w:rsid w:val="00CA0999"/>
    <w:rsid w:val="00CA37CD"/>
    <w:rsid w:val="00CA4BC3"/>
    <w:rsid w:val="00CA4C79"/>
    <w:rsid w:val="00CA5B18"/>
    <w:rsid w:val="00CA683B"/>
    <w:rsid w:val="00CA717C"/>
    <w:rsid w:val="00CA7F44"/>
    <w:rsid w:val="00CB1E63"/>
    <w:rsid w:val="00CB3F9D"/>
    <w:rsid w:val="00CB4C62"/>
    <w:rsid w:val="00CB4EB8"/>
    <w:rsid w:val="00CB514E"/>
    <w:rsid w:val="00CB6754"/>
    <w:rsid w:val="00CB67DF"/>
    <w:rsid w:val="00CC0574"/>
    <w:rsid w:val="00CC0712"/>
    <w:rsid w:val="00CC21A2"/>
    <w:rsid w:val="00CC3E9A"/>
    <w:rsid w:val="00CC4B24"/>
    <w:rsid w:val="00CC5806"/>
    <w:rsid w:val="00CC7720"/>
    <w:rsid w:val="00CC796F"/>
    <w:rsid w:val="00CC7F99"/>
    <w:rsid w:val="00CD15E1"/>
    <w:rsid w:val="00CD252D"/>
    <w:rsid w:val="00CD3357"/>
    <w:rsid w:val="00CD354E"/>
    <w:rsid w:val="00CD3FF7"/>
    <w:rsid w:val="00CD511C"/>
    <w:rsid w:val="00CD6336"/>
    <w:rsid w:val="00CD6337"/>
    <w:rsid w:val="00CE0D29"/>
    <w:rsid w:val="00CE3614"/>
    <w:rsid w:val="00CE3680"/>
    <w:rsid w:val="00CE4F47"/>
    <w:rsid w:val="00CE6354"/>
    <w:rsid w:val="00CE7364"/>
    <w:rsid w:val="00CF4A41"/>
    <w:rsid w:val="00CF60F5"/>
    <w:rsid w:val="00D04387"/>
    <w:rsid w:val="00D056BE"/>
    <w:rsid w:val="00D0691E"/>
    <w:rsid w:val="00D076CA"/>
    <w:rsid w:val="00D077FD"/>
    <w:rsid w:val="00D10D49"/>
    <w:rsid w:val="00D12A8F"/>
    <w:rsid w:val="00D12C50"/>
    <w:rsid w:val="00D1400E"/>
    <w:rsid w:val="00D16402"/>
    <w:rsid w:val="00D175B0"/>
    <w:rsid w:val="00D2218A"/>
    <w:rsid w:val="00D2270B"/>
    <w:rsid w:val="00D242D7"/>
    <w:rsid w:val="00D24EC8"/>
    <w:rsid w:val="00D260EA"/>
    <w:rsid w:val="00D355EB"/>
    <w:rsid w:val="00D36B19"/>
    <w:rsid w:val="00D36C3F"/>
    <w:rsid w:val="00D40CF5"/>
    <w:rsid w:val="00D40F30"/>
    <w:rsid w:val="00D41A3E"/>
    <w:rsid w:val="00D41C5A"/>
    <w:rsid w:val="00D43CC3"/>
    <w:rsid w:val="00D4769E"/>
    <w:rsid w:val="00D47DD5"/>
    <w:rsid w:val="00D50583"/>
    <w:rsid w:val="00D55F25"/>
    <w:rsid w:val="00D573A8"/>
    <w:rsid w:val="00D57412"/>
    <w:rsid w:val="00D60F67"/>
    <w:rsid w:val="00D61476"/>
    <w:rsid w:val="00D61EB3"/>
    <w:rsid w:val="00D65B8F"/>
    <w:rsid w:val="00D667F5"/>
    <w:rsid w:val="00D66C2E"/>
    <w:rsid w:val="00D70716"/>
    <w:rsid w:val="00D70E15"/>
    <w:rsid w:val="00D73A28"/>
    <w:rsid w:val="00D73DCA"/>
    <w:rsid w:val="00D74572"/>
    <w:rsid w:val="00D75247"/>
    <w:rsid w:val="00D763EB"/>
    <w:rsid w:val="00D76CF8"/>
    <w:rsid w:val="00D77FC2"/>
    <w:rsid w:val="00D82E15"/>
    <w:rsid w:val="00D836A1"/>
    <w:rsid w:val="00D83CFC"/>
    <w:rsid w:val="00D843EC"/>
    <w:rsid w:val="00D851B7"/>
    <w:rsid w:val="00D8621D"/>
    <w:rsid w:val="00D8632F"/>
    <w:rsid w:val="00D87B10"/>
    <w:rsid w:val="00D90D7F"/>
    <w:rsid w:val="00D90D8D"/>
    <w:rsid w:val="00D92A55"/>
    <w:rsid w:val="00D9390D"/>
    <w:rsid w:val="00D93A03"/>
    <w:rsid w:val="00D93CBD"/>
    <w:rsid w:val="00D958AC"/>
    <w:rsid w:val="00D97A19"/>
    <w:rsid w:val="00DA0864"/>
    <w:rsid w:val="00DA24D8"/>
    <w:rsid w:val="00DA2F28"/>
    <w:rsid w:val="00DA32BB"/>
    <w:rsid w:val="00DA365F"/>
    <w:rsid w:val="00DA6866"/>
    <w:rsid w:val="00DB0016"/>
    <w:rsid w:val="00DB2287"/>
    <w:rsid w:val="00DB3842"/>
    <w:rsid w:val="00DB50D3"/>
    <w:rsid w:val="00DB6EC5"/>
    <w:rsid w:val="00DB7322"/>
    <w:rsid w:val="00DB76F1"/>
    <w:rsid w:val="00DC06BD"/>
    <w:rsid w:val="00DC26A9"/>
    <w:rsid w:val="00DC3EF8"/>
    <w:rsid w:val="00DC4692"/>
    <w:rsid w:val="00DC613E"/>
    <w:rsid w:val="00DC67B0"/>
    <w:rsid w:val="00DC6B2E"/>
    <w:rsid w:val="00DD124B"/>
    <w:rsid w:val="00DD16A0"/>
    <w:rsid w:val="00DD31B9"/>
    <w:rsid w:val="00DD4598"/>
    <w:rsid w:val="00DD54B4"/>
    <w:rsid w:val="00DD65EE"/>
    <w:rsid w:val="00DD66C5"/>
    <w:rsid w:val="00DD696F"/>
    <w:rsid w:val="00DD6B88"/>
    <w:rsid w:val="00DD6CA6"/>
    <w:rsid w:val="00DE00C5"/>
    <w:rsid w:val="00DE03FC"/>
    <w:rsid w:val="00DE300E"/>
    <w:rsid w:val="00DE37D0"/>
    <w:rsid w:val="00DE3828"/>
    <w:rsid w:val="00DE4698"/>
    <w:rsid w:val="00DE47C6"/>
    <w:rsid w:val="00DE6A6E"/>
    <w:rsid w:val="00DE7DDD"/>
    <w:rsid w:val="00DE7E8A"/>
    <w:rsid w:val="00DF02A8"/>
    <w:rsid w:val="00DF2F06"/>
    <w:rsid w:val="00DF4242"/>
    <w:rsid w:val="00DF483B"/>
    <w:rsid w:val="00DF4EAE"/>
    <w:rsid w:val="00DF7F93"/>
    <w:rsid w:val="00E0065C"/>
    <w:rsid w:val="00E008CD"/>
    <w:rsid w:val="00E01193"/>
    <w:rsid w:val="00E02BB1"/>
    <w:rsid w:val="00E034D0"/>
    <w:rsid w:val="00E04F9E"/>
    <w:rsid w:val="00E05F7C"/>
    <w:rsid w:val="00E06430"/>
    <w:rsid w:val="00E07B63"/>
    <w:rsid w:val="00E109A1"/>
    <w:rsid w:val="00E120A3"/>
    <w:rsid w:val="00E12905"/>
    <w:rsid w:val="00E14AAD"/>
    <w:rsid w:val="00E22830"/>
    <w:rsid w:val="00E2425C"/>
    <w:rsid w:val="00E27045"/>
    <w:rsid w:val="00E31259"/>
    <w:rsid w:val="00E33B53"/>
    <w:rsid w:val="00E3474E"/>
    <w:rsid w:val="00E360A5"/>
    <w:rsid w:val="00E36F63"/>
    <w:rsid w:val="00E403E8"/>
    <w:rsid w:val="00E4096B"/>
    <w:rsid w:val="00E40ED2"/>
    <w:rsid w:val="00E4389B"/>
    <w:rsid w:val="00E451BC"/>
    <w:rsid w:val="00E468A1"/>
    <w:rsid w:val="00E47591"/>
    <w:rsid w:val="00E50AA1"/>
    <w:rsid w:val="00E519E2"/>
    <w:rsid w:val="00E5267B"/>
    <w:rsid w:val="00E5283C"/>
    <w:rsid w:val="00E60202"/>
    <w:rsid w:val="00E61118"/>
    <w:rsid w:val="00E61685"/>
    <w:rsid w:val="00E628E6"/>
    <w:rsid w:val="00E62A91"/>
    <w:rsid w:val="00E62FC9"/>
    <w:rsid w:val="00E6312C"/>
    <w:rsid w:val="00E65A15"/>
    <w:rsid w:val="00E7213F"/>
    <w:rsid w:val="00E7489C"/>
    <w:rsid w:val="00E74E9C"/>
    <w:rsid w:val="00E75A5B"/>
    <w:rsid w:val="00E75BBA"/>
    <w:rsid w:val="00E75C06"/>
    <w:rsid w:val="00E76822"/>
    <w:rsid w:val="00E769DE"/>
    <w:rsid w:val="00E772D8"/>
    <w:rsid w:val="00E776C4"/>
    <w:rsid w:val="00E8116A"/>
    <w:rsid w:val="00E835F1"/>
    <w:rsid w:val="00E83D90"/>
    <w:rsid w:val="00E8461B"/>
    <w:rsid w:val="00E85009"/>
    <w:rsid w:val="00E85E0C"/>
    <w:rsid w:val="00E86905"/>
    <w:rsid w:val="00E86A0D"/>
    <w:rsid w:val="00E918B9"/>
    <w:rsid w:val="00E91D35"/>
    <w:rsid w:val="00E9307F"/>
    <w:rsid w:val="00E94E51"/>
    <w:rsid w:val="00E9532F"/>
    <w:rsid w:val="00E9562F"/>
    <w:rsid w:val="00E976B6"/>
    <w:rsid w:val="00E976E0"/>
    <w:rsid w:val="00EA1CE3"/>
    <w:rsid w:val="00EA5DDF"/>
    <w:rsid w:val="00EA6141"/>
    <w:rsid w:val="00EA6193"/>
    <w:rsid w:val="00EA6C56"/>
    <w:rsid w:val="00EB000F"/>
    <w:rsid w:val="00EB1A50"/>
    <w:rsid w:val="00EB2938"/>
    <w:rsid w:val="00EB2F29"/>
    <w:rsid w:val="00EB4951"/>
    <w:rsid w:val="00EB50E1"/>
    <w:rsid w:val="00EB55BB"/>
    <w:rsid w:val="00EB59C3"/>
    <w:rsid w:val="00EB5EFB"/>
    <w:rsid w:val="00EB6955"/>
    <w:rsid w:val="00EB760D"/>
    <w:rsid w:val="00EB7E82"/>
    <w:rsid w:val="00EC2704"/>
    <w:rsid w:val="00EC2AC4"/>
    <w:rsid w:val="00EC3A70"/>
    <w:rsid w:val="00EC490B"/>
    <w:rsid w:val="00EC62CA"/>
    <w:rsid w:val="00EC7520"/>
    <w:rsid w:val="00ED05AF"/>
    <w:rsid w:val="00ED3B79"/>
    <w:rsid w:val="00ED6F07"/>
    <w:rsid w:val="00ED779A"/>
    <w:rsid w:val="00EE1870"/>
    <w:rsid w:val="00EE1CD8"/>
    <w:rsid w:val="00EE1F63"/>
    <w:rsid w:val="00EE4535"/>
    <w:rsid w:val="00EE4D30"/>
    <w:rsid w:val="00EE5476"/>
    <w:rsid w:val="00EE6D6F"/>
    <w:rsid w:val="00EE7412"/>
    <w:rsid w:val="00EF2BE4"/>
    <w:rsid w:val="00EF2EC3"/>
    <w:rsid w:val="00EF3C4D"/>
    <w:rsid w:val="00F02DDB"/>
    <w:rsid w:val="00F07482"/>
    <w:rsid w:val="00F118DE"/>
    <w:rsid w:val="00F12AFB"/>
    <w:rsid w:val="00F1308C"/>
    <w:rsid w:val="00F138F0"/>
    <w:rsid w:val="00F15F68"/>
    <w:rsid w:val="00F177B4"/>
    <w:rsid w:val="00F200D3"/>
    <w:rsid w:val="00F20A37"/>
    <w:rsid w:val="00F22701"/>
    <w:rsid w:val="00F22A11"/>
    <w:rsid w:val="00F23503"/>
    <w:rsid w:val="00F23F84"/>
    <w:rsid w:val="00F2709B"/>
    <w:rsid w:val="00F2767E"/>
    <w:rsid w:val="00F30616"/>
    <w:rsid w:val="00F30E20"/>
    <w:rsid w:val="00F32689"/>
    <w:rsid w:val="00F32BD0"/>
    <w:rsid w:val="00F3348F"/>
    <w:rsid w:val="00F346DF"/>
    <w:rsid w:val="00F35DCE"/>
    <w:rsid w:val="00F369F9"/>
    <w:rsid w:val="00F36F11"/>
    <w:rsid w:val="00F3703D"/>
    <w:rsid w:val="00F37A90"/>
    <w:rsid w:val="00F421D1"/>
    <w:rsid w:val="00F4335C"/>
    <w:rsid w:val="00F43F4D"/>
    <w:rsid w:val="00F44622"/>
    <w:rsid w:val="00F45304"/>
    <w:rsid w:val="00F45577"/>
    <w:rsid w:val="00F45A76"/>
    <w:rsid w:val="00F45E52"/>
    <w:rsid w:val="00F46595"/>
    <w:rsid w:val="00F5157E"/>
    <w:rsid w:val="00F516EF"/>
    <w:rsid w:val="00F53010"/>
    <w:rsid w:val="00F56679"/>
    <w:rsid w:val="00F605D4"/>
    <w:rsid w:val="00F60B59"/>
    <w:rsid w:val="00F60BB0"/>
    <w:rsid w:val="00F619EB"/>
    <w:rsid w:val="00F61DE0"/>
    <w:rsid w:val="00F6213C"/>
    <w:rsid w:val="00F62AB1"/>
    <w:rsid w:val="00F64836"/>
    <w:rsid w:val="00F64C4B"/>
    <w:rsid w:val="00F64C92"/>
    <w:rsid w:val="00F653B7"/>
    <w:rsid w:val="00F6589E"/>
    <w:rsid w:val="00F6741D"/>
    <w:rsid w:val="00F729D2"/>
    <w:rsid w:val="00F73329"/>
    <w:rsid w:val="00F7525D"/>
    <w:rsid w:val="00F768A1"/>
    <w:rsid w:val="00F773B1"/>
    <w:rsid w:val="00F825FB"/>
    <w:rsid w:val="00F82C56"/>
    <w:rsid w:val="00F83758"/>
    <w:rsid w:val="00F85FE9"/>
    <w:rsid w:val="00F862ED"/>
    <w:rsid w:val="00F86B8A"/>
    <w:rsid w:val="00F86EA0"/>
    <w:rsid w:val="00F9035C"/>
    <w:rsid w:val="00F91551"/>
    <w:rsid w:val="00F928B3"/>
    <w:rsid w:val="00F937E8"/>
    <w:rsid w:val="00F94CBF"/>
    <w:rsid w:val="00F957AD"/>
    <w:rsid w:val="00FA0403"/>
    <w:rsid w:val="00FA1601"/>
    <w:rsid w:val="00FA22D6"/>
    <w:rsid w:val="00FA47EB"/>
    <w:rsid w:val="00FA4F35"/>
    <w:rsid w:val="00FA5292"/>
    <w:rsid w:val="00FA53E3"/>
    <w:rsid w:val="00FA6D72"/>
    <w:rsid w:val="00FA6E74"/>
    <w:rsid w:val="00FA741E"/>
    <w:rsid w:val="00FB081F"/>
    <w:rsid w:val="00FB0873"/>
    <w:rsid w:val="00FB13EF"/>
    <w:rsid w:val="00FB2124"/>
    <w:rsid w:val="00FB31A2"/>
    <w:rsid w:val="00FB3728"/>
    <w:rsid w:val="00FB42EB"/>
    <w:rsid w:val="00FB5109"/>
    <w:rsid w:val="00FB75F5"/>
    <w:rsid w:val="00FC28E6"/>
    <w:rsid w:val="00FC4B8E"/>
    <w:rsid w:val="00FC6829"/>
    <w:rsid w:val="00FD1504"/>
    <w:rsid w:val="00FD4D0B"/>
    <w:rsid w:val="00FD610C"/>
    <w:rsid w:val="00FD6968"/>
    <w:rsid w:val="00FD6C69"/>
    <w:rsid w:val="00FD7186"/>
    <w:rsid w:val="00FD7286"/>
    <w:rsid w:val="00FD74F7"/>
    <w:rsid w:val="00FD76F0"/>
    <w:rsid w:val="00FE1EEE"/>
    <w:rsid w:val="00FE30AE"/>
    <w:rsid w:val="00FE348B"/>
    <w:rsid w:val="00FE428A"/>
    <w:rsid w:val="00FF0878"/>
    <w:rsid w:val="00FF1289"/>
    <w:rsid w:val="00FF213F"/>
    <w:rsid w:val="00FF274B"/>
    <w:rsid w:val="00FF3D29"/>
    <w:rsid w:val="00FF530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3" type="connector" idref="#_x0000_s1038"/>
        <o:r id="V:Rule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426"/>
    <w:pPr>
      <w:spacing w:after="200" w:line="276" w:lineRule="auto"/>
    </w:pPr>
    <w:rPr>
      <w:sz w:val="22"/>
      <w:szCs w:val="22"/>
      <w:lang w:eastAsia="en-US"/>
    </w:rPr>
  </w:style>
  <w:style w:type="paragraph" w:styleId="Ttulo1">
    <w:name w:val="heading 1"/>
    <w:basedOn w:val="Normal"/>
    <w:link w:val="Ttulo1Char"/>
    <w:qFormat/>
    <w:rsid w:val="00303FA9"/>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paragraph" w:styleId="Ttulo2">
    <w:name w:val="heading 2"/>
    <w:basedOn w:val="Normal"/>
    <w:link w:val="Ttulo2Char"/>
    <w:uiPriority w:val="9"/>
    <w:qFormat/>
    <w:rsid w:val="00837AC8"/>
    <w:pPr>
      <w:spacing w:before="100" w:beforeAutospacing="1" w:after="100" w:afterAutospacing="1" w:line="240" w:lineRule="auto"/>
      <w:outlineLvl w:val="1"/>
    </w:pPr>
    <w:rPr>
      <w:rFonts w:ascii="Times New Roman" w:eastAsia="Times New Roman" w:hAnsi="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582426"/>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582426"/>
    <w:rPr>
      <w:sz w:val="20"/>
      <w:szCs w:val="20"/>
    </w:rPr>
  </w:style>
  <w:style w:type="character" w:styleId="Refdenotaderodap">
    <w:name w:val="footnote reference"/>
    <w:basedOn w:val="Fontepargpadro"/>
    <w:semiHidden/>
    <w:unhideWhenUsed/>
    <w:rsid w:val="00582426"/>
    <w:rPr>
      <w:vertAlign w:val="superscript"/>
    </w:rPr>
  </w:style>
  <w:style w:type="paragraph" w:styleId="Corpodetexto">
    <w:name w:val="Body Text"/>
    <w:basedOn w:val="Normal"/>
    <w:link w:val="CorpodetextoChar"/>
    <w:rsid w:val="00582426"/>
    <w:pPr>
      <w:spacing w:after="0" w:line="240" w:lineRule="auto"/>
      <w:jc w:val="both"/>
    </w:pPr>
    <w:rPr>
      <w:rFonts w:ascii="Times New Roman" w:eastAsia="Times New Roman" w:hAnsi="Times New Roman"/>
      <w:sz w:val="24"/>
      <w:szCs w:val="20"/>
      <w:lang w:eastAsia="pt-BR"/>
    </w:rPr>
  </w:style>
  <w:style w:type="character" w:customStyle="1" w:styleId="CorpodetextoChar">
    <w:name w:val="Corpo de texto Char"/>
    <w:basedOn w:val="Fontepargpadro"/>
    <w:link w:val="Corpodetexto"/>
    <w:rsid w:val="00582426"/>
    <w:rPr>
      <w:rFonts w:ascii="Times New Roman" w:eastAsia="Times New Roman" w:hAnsi="Times New Roman" w:cs="Times New Roman"/>
      <w:sz w:val="24"/>
      <w:szCs w:val="20"/>
      <w:lang w:eastAsia="pt-BR"/>
    </w:rPr>
  </w:style>
  <w:style w:type="paragraph" w:styleId="Rodap">
    <w:name w:val="footer"/>
    <w:basedOn w:val="Normal"/>
    <w:link w:val="RodapChar"/>
    <w:uiPriority w:val="99"/>
    <w:unhideWhenUsed/>
    <w:rsid w:val="00582426"/>
    <w:pPr>
      <w:tabs>
        <w:tab w:val="center" w:pos="4252"/>
        <w:tab w:val="right" w:pos="8504"/>
      </w:tabs>
      <w:spacing w:after="0" w:line="240" w:lineRule="auto"/>
    </w:pPr>
  </w:style>
  <w:style w:type="character" w:customStyle="1" w:styleId="RodapChar">
    <w:name w:val="Rodapé Char"/>
    <w:basedOn w:val="Fontepargpadro"/>
    <w:link w:val="Rodap"/>
    <w:uiPriority w:val="99"/>
    <w:rsid w:val="00582426"/>
  </w:style>
  <w:style w:type="paragraph" w:styleId="NormalWeb">
    <w:name w:val="Normal (Web)"/>
    <w:basedOn w:val="Normal"/>
    <w:uiPriority w:val="99"/>
    <w:rsid w:val="00582426"/>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basedOn w:val="Fontepargpadro"/>
    <w:unhideWhenUsed/>
    <w:rsid w:val="00582426"/>
    <w:rPr>
      <w:color w:val="0000FF"/>
      <w:u w:val="single"/>
    </w:rPr>
  </w:style>
  <w:style w:type="character" w:styleId="Forte">
    <w:name w:val="Strong"/>
    <w:basedOn w:val="Fontepargpadro"/>
    <w:uiPriority w:val="22"/>
    <w:qFormat/>
    <w:rsid w:val="00582426"/>
    <w:rPr>
      <w:b/>
      <w:bCs/>
    </w:rPr>
  </w:style>
  <w:style w:type="table" w:customStyle="1" w:styleId="GradeClara-nfase12">
    <w:name w:val="Grade Clara - Ênfase 12"/>
    <w:basedOn w:val="Tabelanormal"/>
    <w:uiPriority w:val="62"/>
    <w:rsid w:val="0058242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extodebalo">
    <w:name w:val="Balloon Text"/>
    <w:basedOn w:val="Normal"/>
    <w:link w:val="TextodebaloChar"/>
    <w:uiPriority w:val="99"/>
    <w:semiHidden/>
    <w:unhideWhenUsed/>
    <w:rsid w:val="0058242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82426"/>
    <w:rPr>
      <w:rFonts w:ascii="Tahoma" w:hAnsi="Tahoma" w:cs="Tahoma"/>
      <w:sz w:val="16"/>
      <w:szCs w:val="16"/>
    </w:rPr>
  </w:style>
  <w:style w:type="paragraph" w:styleId="Textodenotadefim">
    <w:name w:val="endnote text"/>
    <w:basedOn w:val="Normal"/>
    <w:link w:val="TextodenotadefimChar"/>
    <w:uiPriority w:val="99"/>
    <w:unhideWhenUsed/>
    <w:rsid w:val="00582426"/>
    <w:pPr>
      <w:spacing w:after="0" w:line="240" w:lineRule="auto"/>
    </w:pPr>
    <w:rPr>
      <w:rFonts w:ascii="Times New Roman" w:eastAsia="Times New Roman" w:hAnsi="Times New Roman"/>
      <w:sz w:val="20"/>
      <w:szCs w:val="20"/>
      <w:lang w:eastAsia="pt-BR"/>
    </w:rPr>
  </w:style>
  <w:style w:type="character" w:customStyle="1" w:styleId="TextodenotadefimChar">
    <w:name w:val="Texto de nota de fim Char"/>
    <w:basedOn w:val="Fontepargpadro"/>
    <w:link w:val="Textodenotadefim"/>
    <w:uiPriority w:val="99"/>
    <w:rsid w:val="00582426"/>
    <w:rPr>
      <w:rFonts w:ascii="Times New Roman" w:eastAsia="Times New Roman" w:hAnsi="Times New Roman" w:cs="Times New Roman"/>
      <w:sz w:val="20"/>
      <w:szCs w:val="20"/>
      <w:lang w:eastAsia="pt-BR"/>
    </w:rPr>
  </w:style>
  <w:style w:type="table" w:customStyle="1" w:styleId="GradeClara-nfase11">
    <w:name w:val="Grade Clara - Ênfase 11"/>
    <w:basedOn w:val="Tabelanormal"/>
    <w:uiPriority w:val="62"/>
    <w:rsid w:val="0058242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DecimalAligned">
    <w:name w:val="Decimal Aligned"/>
    <w:basedOn w:val="Normal"/>
    <w:uiPriority w:val="40"/>
    <w:qFormat/>
    <w:rsid w:val="00582426"/>
    <w:pPr>
      <w:tabs>
        <w:tab w:val="decimal" w:pos="360"/>
      </w:tabs>
    </w:pPr>
    <w:rPr>
      <w:rFonts w:eastAsia="Times New Roman"/>
    </w:rPr>
  </w:style>
  <w:style w:type="paragraph" w:styleId="Commarcadores">
    <w:name w:val="List Bullet"/>
    <w:basedOn w:val="Normal"/>
    <w:uiPriority w:val="99"/>
    <w:unhideWhenUsed/>
    <w:rsid w:val="00582426"/>
    <w:pPr>
      <w:tabs>
        <w:tab w:val="num" w:pos="360"/>
      </w:tabs>
      <w:spacing w:after="0" w:line="240" w:lineRule="auto"/>
      <w:ind w:left="360" w:hanging="360"/>
      <w:contextualSpacing/>
    </w:pPr>
    <w:rPr>
      <w:rFonts w:ascii="Times New Roman" w:eastAsia="Times New Roman" w:hAnsi="Times New Roman"/>
      <w:sz w:val="24"/>
      <w:szCs w:val="24"/>
      <w:lang w:eastAsia="pt-BR"/>
    </w:rPr>
  </w:style>
  <w:style w:type="table" w:styleId="Tabelacomgrade">
    <w:name w:val="Table Grid"/>
    <w:basedOn w:val="Tabelanormal"/>
    <w:uiPriority w:val="59"/>
    <w:rsid w:val="00582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582426"/>
    <w:pPr>
      <w:ind w:left="720"/>
      <w:contextualSpacing/>
    </w:pPr>
  </w:style>
  <w:style w:type="character" w:customStyle="1" w:styleId="adtext">
    <w:name w:val="adtext"/>
    <w:basedOn w:val="Fontepargpadro"/>
    <w:rsid w:val="00822877"/>
  </w:style>
  <w:style w:type="character" w:styleId="CitaoHTML">
    <w:name w:val="HTML Cite"/>
    <w:basedOn w:val="Fontepargpadro"/>
    <w:rsid w:val="00FD610C"/>
    <w:rPr>
      <w:i/>
      <w:iCs/>
    </w:rPr>
  </w:style>
  <w:style w:type="character" w:customStyle="1" w:styleId="texto">
    <w:name w:val="texto"/>
    <w:basedOn w:val="Fontepargpadro"/>
    <w:rsid w:val="00FD610C"/>
  </w:style>
  <w:style w:type="paragraph" w:customStyle="1" w:styleId="Default">
    <w:name w:val="Default"/>
    <w:rsid w:val="00FD610C"/>
    <w:pPr>
      <w:autoSpaceDE w:val="0"/>
      <w:autoSpaceDN w:val="0"/>
      <w:adjustRightInd w:val="0"/>
    </w:pPr>
    <w:rPr>
      <w:rFonts w:ascii="Times New Roman" w:hAnsi="Times New Roman"/>
      <w:color w:val="000000"/>
      <w:sz w:val="24"/>
      <w:szCs w:val="24"/>
      <w:lang w:eastAsia="en-US"/>
    </w:rPr>
  </w:style>
  <w:style w:type="character" w:customStyle="1" w:styleId="CabealhoChar">
    <w:name w:val="Cabeçalho Char"/>
    <w:basedOn w:val="Fontepargpadro"/>
    <w:link w:val="Cabealho"/>
    <w:uiPriority w:val="99"/>
    <w:rsid w:val="00FD610C"/>
  </w:style>
  <w:style w:type="paragraph" w:styleId="Cabealho">
    <w:name w:val="header"/>
    <w:basedOn w:val="Normal"/>
    <w:link w:val="CabealhoChar"/>
    <w:uiPriority w:val="99"/>
    <w:unhideWhenUsed/>
    <w:rsid w:val="00FD610C"/>
    <w:pPr>
      <w:tabs>
        <w:tab w:val="center" w:pos="4252"/>
        <w:tab w:val="right" w:pos="8504"/>
      </w:tabs>
      <w:spacing w:after="0" w:line="240" w:lineRule="auto"/>
    </w:pPr>
  </w:style>
  <w:style w:type="character" w:customStyle="1" w:styleId="CabealhoChar1">
    <w:name w:val="Cabeçalho Char1"/>
    <w:basedOn w:val="Fontepargpadro"/>
    <w:uiPriority w:val="99"/>
    <w:semiHidden/>
    <w:rsid w:val="00FD610C"/>
  </w:style>
  <w:style w:type="paragraph" w:customStyle="1" w:styleId="pleft">
    <w:name w:val="p_left"/>
    <w:basedOn w:val="Normal"/>
    <w:rsid w:val="00FD610C"/>
    <w:pPr>
      <w:spacing w:before="100" w:beforeAutospacing="1" w:after="100" w:afterAutospacing="1" w:line="240" w:lineRule="auto"/>
    </w:pPr>
    <w:rPr>
      <w:rFonts w:ascii="Times New Roman" w:eastAsia="Times New Roman" w:hAnsi="Times New Roman"/>
      <w:sz w:val="24"/>
      <w:szCs w:val="24"/>
      <w:lang w:eastAsia="pt-BR"/>
    </w:rPr>
  </w:style>
  <w:style w:type="table" w:customStyle="1" w:styleId="SombreamentoClaro-nfase11">
    <w:name w:val="Sombreamento Claro - Ênfase 11"/>
    <w:basedOn w:val="Tabelanormal"/>
    <w:uiPriority w:val="60"/>
    <w:rsid w:val="00CE368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tulo1Char">
    <w:name w:val="Título 1 Char"/>
    <w:basedOn w:val="Fontepargpadro"/>
    <w:link w:val="Ttulo1"/>
    <w:rsid w:val="00303FA9"/>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837AC8"/>
    <w:rPr>
      <w:rFonts w:ascii="Times New Roman" w:eastAsia="Times New Roman" w:hAnsi="Times New Roman" w:cs="Times New Roman"/>
      <w:b/>
      <w:bCs/>
      <w:sz w:val="36"/>
      <w:szCs w:val="36"/>
      <w:lang w:eastAsia="pt-BR"/>
    </w:rPr>
  </w:style>
  <w:style w:type="character" w:customStyle="1" w:styleId="apple-converted-space">
    <w:name w:val="apple-converted-space"/>
    <w:basedOn w:val="Fontepargpadro"/>
    <w:rsid w:val="00837AC8"/>
  </w:style>
  <w:style w:type="table" w:styleId="ListaMdia2-nfase1">
    <w:name w:val="Medium List 2 Accent 1"/>
    <w:basedOn w:val="Tabelanormal"/>
    <w:uiPriority w:val="66"/>
    <w:rsid w:val="00837AC8"/>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dia1-nfase5">
    <w:name w:val="Medium List 1 Accent 5"/>
    <w:basedOn w:val="Tabelanormal"/>
    <w:uiPriority w:val="65"/>
    <w:rsid w:val="00837AC8"/>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yiv1387749516">
    <w:name w:val="yiv1387749516"/>
    <w:basedOn w:val="Fontepargpadro"/>
    <w:rsid w:val="00837AC8"/>
  </w:style>
  <w:style w:type="character" w:styleId="HiperlinkVisitado">
    <w:name w:val="FollowedHyperlink"/>
    <w:basedOn w:val="Fontepargpadro"/>
    <w:uiPriority w:val="99"/>
    <w:semiHidden/>
    <w:unhideWhenUsed/>
    <w:rsid w:val="00C13269"/>
    <w:rPr>
      <w:color w:val="800080" w:themeColor="followedHyperlink"/>
      <w:u w:val="single"/>
    </w:rPr>
  </w:style>
  <w:style w:type="paragraph" w:styleId="Recuodecorpodetexto">
    <w:name w:val="Body Text Indent"/>
    <w:basedOn w:val="Normal"/>
    <w:link w:val="RecuodecorpodetextoChar"/>
    <w:rsid w:val="00D70716"/>
    <w:pPr>
      <w:suppressAutoHyphens/>
      <w:spacing w:after="0" w:line="240" w:lineRule="auto"/>
      <w:ind w:left="907"/>
    </w:pPr>
    <w:rPr>
      <w:rFonts w:ascii="Times New Roman" w:eastAsia="Times New Roman" w:hAnsi="Times New Roman"/>
      <w:sz w:val="24"/>
      <w:szCs w:val="20"/>
      <w:lang w:eastAsia="zh-CN"/>
    </w:rPr>
  </w:style>
  <w:style w:type="character" w:customStyle="1" w:styleId="RecuodecorpodetextoChar">
    <w:name w:val="Recuo de corpo de texto Char"/>
    <w:basedOn w:val="Fontepargpadro"/>
    <w:link w:val="Recuodecorpodetexto"/>
    <w:rsid w:val="00D70716"/>
    <w:rPr>
      <w:rFonts w:ascii="Times New Roman" w:eastAsia="Times New Roman" w:hAnsi="Times New Roman"/>
      <w:sz w:val="24"/>
      <w:lang w:eastAsia="zh-CN"/>
    </w:rPr>
  </w:style>
  <w:style w:type="paragraph" w:customStyle="1" w:styleId="SemEspaamento1">
    <w:name w:val="Sem Espaçamento1"/>
    <w:rsid w:val="00D70716"/>
    <w:pPr>
      <w:suppressAutoHyphens/>
    </w:pPr>
    <w:rPr>
      <w:rFonts w:eastAsia="Times New Roman" w:cs="Calibri"/>
      <w:sz w:val="22"/>
      <w:szCs w:val="22"/>
      <w:lang w:eastAsia="zh-CN"/>
    </w:rPr>
  </w:style>
  <w:style w:type="character" w:styleId="Refdenotadefim">
    <w:name w:val="endnote reference"/>
    <w:basedOn w:val="Fontepargpadro"/>
    <w:uiPriority w:val="99"/>
    <w:semiHidden/>
    <w:unhideWhenUsed/>
    <w:rsid w:val="00AE55C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6958902">
      <w:bodyDiv w:val="1"/>
      <w:marLeft w:val="0"/>
      <w:marRight w:val="0"/>
      <w:marTop w:val="0"/>
      <w:marBottom w:val="0"/>
      <w:divBdr>
        <w:top w:val="none" w:sz="0" w:space="0" w:color="auto"/>
        <w:left w:val="none" w:sz="0" w:space="0" w:color="auto"/>
        <w:bottom w:val="none" w:sz="0" w:space="0" w:color="auto"/>
        <w:right w:val="none" w:sz="0" w:space="0" w:color="auto"/>
      </w:divBdr>
    </w:div>
    <w:div w:id="1389645770">
      <w:bodyDiv w:val="1"/>
      <w:marLeft w:val="0"/>
      <w:marRight w:val="0"/>
      <w:marTop w:val="0"/>
      <w:marBottom w:val="0"/>
      <w:divBdr>
        <w:top w:val="none" w:sz="0" w:space="0" w:color="auto"/>
        <w:left w:val="none" w:sz="0" w:space="0" w:color="auto"/>
        <w:bottom w:val="none" w:sz="0" w:space="0" w:color="auto"/>
        <w:right w:val="none" w:sz="0" w:space="0" w:color="auto"/>
      </w:divBdr>
      <w:divsChild>
        <w:div w:id="1843856209">
          <w:marLeft w:val="547"/>
          <w:marRight w:val="0"/>
          <w:marTop w:val="168"/>
          <w:marBottom w:val="0"/>
          <w:divBdr>
            <w:top w:val="none" w:sz="0" w:space="0" w:color="auto"/>
            <w:left w:val="none" w:sz="0" w:space="0" w:color="auto"/>
            <w:bottom w:val="none" w:sz="0" w:space="0" w:color="auto"/>
            <w:right w:val="none" w:sz="0" w:space="0" w:color="auto"/>
          </w:divBdr>
        </w:div>
      </w:divsChild>
    </w:div>
    <w:div w:id="1487626983">
      <w:bodyDiv w:val="1"/>
      <w:marLeft w:val="0"/>
      <w:marRight w:val="0"/>
      <w:marTop w:val="0"/>
      <w:marBottom w:val="0"/>
      <w:divBdr>
        <w:top w:val="none" w:sz="0" w:space="0" w:color="auto"/>
        <w:left w:val="none" w:sz="0" w:space="0" w:color="auto"/>
        <w:bottom w:val="none" w:sz="0" w:space="0" w:color="auto"/>
        <w:right w:val="none" w:sz="0" w:space="0" w:color="auto"/>
      </w:divBdr>
    </w:div>
    <w:div w:id="1697730851">
      <w:bodyDiv w:val="1"/>
      <w:marLeft w:val="0"/>
      <w:marRight w:val="0"/>
      <w:marTop w:val="0"/>
      <w:marBottom w:val="0"/>
      <w:divBdr>
        <w:top w:val="none" w:sz="0" w:space="0" w:color="auto"/>
        <w:left w:val="none" w:sz="0" w:space="0" w:color="auto"/>
        <w:bottom w:val="none" w:sz="0" w:space="0" w:color="auto"/>
        <w:right w:val="none" w:sz="0" w:space="0" w:color="auto"/>
      </w:divBdr>
    </w:div>
    <w:div w:id="1782918675">
      <w:bodyDiv w:val="1"/>
      <w:marLeft w:val="0"/>
      <w:marRight w:val="0"/>
      <w:marTop w:val="0"/>
      <w:marBottom w:val="0"/>
      <w:divBdr>
        <w:top w:val="none" w:sz="0" w:space="0" w:color="auto"/>
        <w:left w:val="none" w:sz="0" w:space="0" w:color="auto"/>
        <w:bottom w:val="none" w:sz="0" w:space="0" w:color="auto"/>
        <w:right w:val="none" w:sz="0" w:space="0" w:color="auto"/>
      </w:divBdr>
      <w:divsChild>
        <w:div w:id="1864325416">
          <w:marLeft w:val="547"/>
          <w:marRight w:val="0"/>
          <w:marTop w:val="16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www.cdes.gov.br" TargetMode="External"/><Relationship Id="rId26" Type="http://schemas.openxmlformats.org/officeDocument/2006/relationships/hyperlink" Target="http://www.cdes.gov.br/linha-do-tempo.html" TargetMode="External"/><Relationship Id="rId39" Type="http://schemas.openxmlformats.org/officeDocument/2006/relationships/hyperlink" Target="http://www.cdes.gov.br/linha-do-tempo.html" TargetMode="External"/><Relationship Id="rId21" Type="http://schemas.openxmlformats.org/officeDocument/2006/relationships/hyperlink" Target="http://www.cdes.gov.br" TargetMode="External"/><Relationship Id="rId34" Type="http://schemas.openxmlformats.org/officeDocument/2006/relationships/hyperlink" Target="http://www.cdes.gov.br/linha-do-tempo.html" TargetMode="External"/><Relationship Id="rId42" Type="http://schemas.openxmlformats.org/officeDocument/2006/relationships/image" Target="media/image6.emf"/><Relationship Id="rId47" Type="http://schemas.openxmlformats.org/officeDocument/2006/relationships/footer" Target="footer3.xml"/><Relationship Id="rId50" Type="http://schemas.openxmlformats.org/officeDocument/2006/relationships/hyperlink" Target="http://pt.wikipedia.org/wiki/Casas_Bahia" TargetMode="External"/><Relationship Id="rId55" Type="http://schemas.openxmlformats.org/officeDocument/2006/relationships/hyperlink" Target="http://pt.wikipedia.org/wiki/CNI"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des.gov.br" TargetMode="External"/><Relationship Id="rId25" Type="http://schemas.openxmlformats.org/officeDocument/2006/relationships/chart" Target="charts/chart8.xml"/><Relationship Id="rId33" Type="http://schemas.openxmlformats.org/officeDocument/2006/relationships/hyperlink" Target="http://www.cdes.gov.br/linha-do-tempo.html" TargetMode="External"/><Relationship Id="rId38" Type="http://schemas.openxmlformats.org/officeDocument/2006/relationships/hyperlink" Target="http://www.cdes.gov.br/linha-do-tempo.html" TargetMode="External"/><Relationship Id="rId46" Type="http://schemas.openxmlformats.org/officeDocument/2006/relationships/header" Target="header1.xm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4.jpeg"/><Relationship Id="rId29" Type="http://schemas.openxmlformats.org/officeDocument/2006/relationships/hyperlink" Target="http://www.cdes.gov.br/linha-do-tempo.html" TargetMode="External"/><Relationship Id="rId41" Type="http://schemas.openxmlformats.org/officeDocument/2006/relationships/image" Target="media/image5.jpeg"/><Relationship Id="rId54" Type="http://schemas.openxmlformats.org/officeDocument/2006/relationships/hyperlink" Target="http://pt.wikipedia.org/wiki/Bracelp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hart" Target="charts/chart7.xml"/><Relationship Id="rId32" Type="http://schemas.openxmlformats.org/officeDocument/2006/relationships/hyperlink" Target="http://www.cdes.gov.br/linha-do-tempo.html" TargetMode="External"/><Relationship Id="rId37" Type="http://schemas.openxmlformats.org/officeDocument/2006/relationships/hyperlink" Target="http://www.cdes.gov.br/linha-do-tempo.html" TargetMode="External"/><Relationship Id="rId40" Type="http://schemas.openxmlformats.org/officeDocument/2006/relationships/hyperlink" Target="http://www.cdes.gov.br/linha-do-tempo.html" TargetMode="External"/><Relationship Id="rId45" Type="http://schemas.openxmlformats.org/officeDocument/2006/relationships/hyperlink" Target="http://www.insightinteligencia.com.br/36/PDFs/" TargetMode="External"/><Relationship Id="rId53" Type="http://schemas.openxmlformats.org/officeDocument/2006/relationships/hyperlink" Target="http://pt.wikipedia.org/wiki/Sebrae"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hyperlink" Target="http://www.cdes.gov.br/linha-do-tempo.html" TargetMode="External"/><Relationship Id="rId36" Type="http://schemas.openxmlformats.org/officeDocument/2006/relationships/hyperlink" Target="http://www.cdes.gov.br/linha-do-tempo.html" TargetMode="External"/><Relationship Id="rId49" Type="http://schemas.openxmlformats.org/officeDocument/2006/relationships/hyperlink" Target="http://pt.wikipedia.org/wiki/Ponto_Frio" TargetMode="External"/><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yperlink" Target="http://www.cdes.gov.br/linha-do-tempo.html" TargetMode="External"/><Relationship Id="rId44" Type="http://schemas.openxmlformats.org/officeDocument/2006/relationships/hyperlink" Target="http://www.cdes.gov.br/documento/282190/fgv-temas-para-o-desenvolvimento-com-equidade.html" TargetMode="External"/><Relationship Id="rId52" Type="http://schemas.openxmlformats.org/officeDocument/2006/relationships/hyperlink" Target="http://pt.wikipedia.org/wiki/Fies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hyperlink" Target="http://www.cdes.gov.br/linha-do-tempo.html" TargetMode="External"/><Relationship Id="rId30" Type="http://schemas.openxmlformats.org/officeDocument/2006/relationships/hyperlink" Target="http://www.cdes.gov.br/linha-do-tempo.html" TargetMode="External"/><Relationship Id="rId35" Type="http://schemas.openxmlformats.org/officeDocument/2006/relationships/hyperlink" Target="http://www.cdes.gov.br/linha-do-tempo.html" TargetMode="External"/><Relationship Id="rId43" Type="http://schemas.openxmlformats.org/officeDocument/2006/relationships/image" Target="media/image7.png"/><Relationship Id="rId48" Type="http://schemas.openxmlformats.org/officeDocument/2006/relationships/hyperlink" Target="http://pt.wikipedia.org/wiki/Companhia_Brasileira_de_Distribui%C3%A7%C3%A3o" TargetMode="External"/><Relationship Id="rId56" Type="http://schemas.openxmlformats.org/officeDocument/2006/relationships/header" Target="header2.xml"/><Relationship Id="rId8" Type="http://schemas.openxmlformats.org/officeDocument/2006/relationships/hyperlink" Target="http://www.senado.gov.br/noticias/agencia/entendaAssunto/dru.aspx" TargetMode="External"/><Relationship Id="rId51" Type="http://schemas.openxmlformats.org/officeDocument/2006/relationships/hyperlink" Target="http://www.endeavor.org.br/"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zumbidospalmares" TargetMode="External"/><Relationship Id="rId13" Type="http://schemas.openxmlformats.org/officeDocument/2006/relationships/hyperlink" Target="http://www.fdc.org.br" TargetMode="External"/><Relationship Id="rId18" Type="http://schemas.openxmlformats.org/officeDocument/2006/relationships/hyperlink" Target="http://www.abimaq.org.br/informaq_show.asp?id=2546" TargetMode="External"/><Relationship Id="rId3" Type="http://schemas.openxmlformats.org/officeDocument/2006/relationships/hyperlink" Target="http://www1.folha.uol.com.br/fsp/brasil%20/fc1505200321.htm" TargetMode="External"/><Relationship Id="rId7" Type="http://schemas.openxmlformats.org/officeDocument/2006/relationships/hyperlink" Target="http://www.cdes.gov.br" TargetMode="External"/><Relationship Id="rId12" Type="http://schemas.openxmlformats.org/officeDocument/2006/relationships/hyperlink" Target="http://www.plataformabndes.org.br/site/index.php/" TargetMode="External"/><Relationship Id="rId17" Type="http://schemas.openxmlformats.org/officeDocument/2006/relationships/hyperlink" Target="http://www.febraban.org.br/7Rof7SWg6qmyvwJcFwF7I0aSDf9jyV/" TargetMode="External"/><Relationship Id="rId2" Type="http://schemas.openxmlformats.org/officeDocument/2006/relationships/hyperlink" Target="http://www.planalto.gov.br/ccivil_03/leis/2003/l10.683" TargetMode="External"/><Relationship Id="rId16" Type="http://schemas.openxmlformats.org/officeDocument/2006/relationships/hyperlink" Target="http://www.cdes.gov.br/documento/282190/fgv-temas-para-o-desenvolvimento-com-equidade.html" TargetMode="External"/><Relationship Id="rId1" Type="http://schemas.openxmlformats.org/officeDocument/2006/relationships/hyperlink" Target="http://www.planalto.gov.br/ccivil_03/leis/2003/l10.683" TargetMode="External"/><Relationship Id="rId6" Type="http://schemas.openxmlformats.org/officeDocument/2006/relationships/hyperlink" Target="http://www.cdes.gov.br" TargetMode="External"/><Relationship Id="rId11" Type="http://schemas.openxmlformats.org/officeDocument/2006/relationships/hyperlink" Target="http://www.camex.gov.br/legislacao/%20interna/id/700" TargetMode="External"/><Relationship Id="rId5" Type="http://schemas.openxmlformats.org/officeDocument/2006/relationships/hyperlink" Target="http://www.planalto.gov.br/ccivil_03/leis/2003/l10.683" TargetMode="External"/><Relationship Id="rId15" Type="http://schemas.openxmlformats.org/officeDocument/2006/relationships/hyperlink" Target="http://www.senado.gov.br/noticias/agencia/entendaAssunto/dru.aspx" TargetMode="External"/><Relationship Id="rId10" Type="http://schemas.openxmlformats.org/officeDocument/2006/relationships/hyperlink" Target="http://www.ambito-juridico.com.br/site/index.php?n_link=revista_artigos_" TargetMode="External"/><Relationship Id="rId4" Type="http://schemas.openxmlformats.org/officeDocument/2006/relationships/hyperlink" Target="http://www.migalhas.com.br/arquivo_artigo/Lista%20de%20Devedores%20da%25%2020D&#237;vida%20Ativa%20do%20INSS.htm" TargetMode="External"/><Relationship Id="rId9" Type="http://schemas.openxmlformats.org/officeDocument/2006/relationships/hyperlink" Target="http://www.cdes.gov.br" TargetMode="External"/><Relationship Id="rId14" Type="http://schemas.openxmlformats.org/officeDocument/2006/relationships/hyperlink" Target="http://legislacao.planalto.gov.br/legisla/legislacao.nsf/Viw_Identificacao/lei%209.069-1995?OpenDocumen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e\Documents\TESE%20(27.09.13)\Conselheiros%20(2003-2010)\Quadros\Outros%20Quadros\Gr&#225;ficos%20Varia&#231;&#227;o%20Conselheiros%20e%20Composi&#231;&#227;o%20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dre\Documents\TESE%20(27.09.13)\Conselheiros%20(2003-2010)\Quadros\Outros%20Quadros\Gr&#225;ficos%20Varia&#231;&#227;o%20Conselheiros%20e%20Composi&#231;&#227;o%20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dre\Documents\TESE%20(27.09.13)\Conselheiros%20(2003-2010)\Quadros\Outros%20Quadros\Gr&#225;ficos%20Varia&#231;&#227;o%20Conselheiros%20e%20Composi&#231;&#227;o%20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dre\Documents\TESE%20(27.09.13)\Conselheiros%20(2003-2010)\Quadros\Outros%20Quadros\Gr&#225;ficos%20Varia&#231;&#227;o%20Conselheiros%20e%20Composi&#231;&#227;o%20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dre\Documents\TESE%20(27.09.13)\Conselheiros%20(2003-2010)\Quadros\Outros%20Quadros\Gr&#225;ficos%20Varia&#231;&#227;o%20Conselheiros%20e%20Composi&#231;&#227;o%20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dre\Documents\TESE%20(27.09.13)\Conselheiros%20(2003-2010)\Quadros\Outros%20Quadros\Gr&#225;ficos%20Varia&#231;&#227;o%20Conselheiros%20e%20Composi&#231;&#227;o%20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1400"/>
            </a:pPr>
            <a:r>
              <a:rPr lang="pt-BR" sz="1400" b="1" i="0" baseline="0"/>
              <a:t>Gráfico 2.1 - Evolução relativa de conselheiros segundo setores sociais (2003-2010) </a:t>
            </a:r>
          </a:p>
        </c:rich>
      </c:tx>
    </c:title>
    <c:plotArea>
      <c:layout>
        <c:manualLayout>
          <c:layoutTarget val="inner"/>
          <c:xMode val="edge"/>
          <c:yMode val="edge"/>
          <c:x val="9.1672542099167267E-2"/>
          <c:y val="0.27065917126621758"/>
          <c:w val="0.65573755687227664"/>
          <c:h val="0.5895459508176194"/>
        </c:manualLayout>
      </c:layout>
      <c:lineChart>
        <c:grouping val="standard"/>
        <c:ser>
          <c:idx val="0"/>
          <c:order val="0"/>
          <c:tx>
            <c:strRef>
              <c:f>Plan1!$A$17</c:f>
              <c:strCache>
                <c:ptCount val="1"/>
                <c:pt idx="0">
                  <c:v>Empresariado</c:v>
                </c:pt>
              </c:strCache>
            </c:strRef>
          </c:tx>
          <c:spPr>
            <a:ln>
              <a:solidFill>
                <a:schemeClr val="tx1"/>
              </a:solidFill>
            </a:ln>
          </c:spPr>
          <c:marker>
            <c:symbol val="circle"/>
            <c:size val="7"/>
            <c:spPr>
              <a:ln cap="rnd">
                <a:solidFill>
                  <a:schemeClr val="tx1"/>
                </a:solidFill>
              </a:ln>
            </c:spPr>
          </c:marker>
          <c:cat>
            <c:strRef>
              <c:f>Plan1!$B$16:$I$16</c:f>
              <c:strCache>
                <c:ptCount val="8"/>
                <c:pt idx="0">
                  <c:v>2003</c:v>
                </c:pt>
                <c:pt idx="1">
                  <c:v>2004</c:v>
                </c:pt>
                <c:pt idx="2">
                  <c:v>2005</c:v>
                </c:pt>
                <c:pt idx="3">
                  <c:v>2006</c:v>
                </c:pt>
                <c:pt idx="4">
                  <c:v>2007</c:v>
                </c:pt>
                <c:pt idx="5">
                  <c:v>2008</c:v>
                </c:pt>
                <c:pt idx="6">
                  <c:v>2009</c:v>
                </c:pt>
                <c:pt idx="7">
                  <c:v>2010-11</c:v>
                </c:pt>
              </c:strCache>
            </c:strRef>
          </c:cat>
          <c:val>
            <c:numRef>
              <c:f>Plan1!$B$17:$I$17</c:f>
              <c:numCache>
                <c:formatCode>0%</c:formatCode>
                <c:ptCount val="8"/>
                <c:pt idx="0">
                  <c:v>0.53</c:v>
                </c:pt>
                <c:pt idx="1">
                  <c:v>0.52</c:v>
                </c:pt>
                <c:pt idx="2" formatCode="0.00%">
                  <c:v>0.51500000000000001</c:v>
                </c:pt>
                <c:pt idx="3">
                  <c:v>0.52</c:v>
                </c:pt>
                <c:pt idx="4">
                  <c:v>0.49000000000000032</c:v>
                </c:pt>
                <c:pt idx="5" formatCode="0.00%">
                  <c:v>0.52500000000000002</c:v>
                </c:pt>
                <c:pt idx="6" formatCode="0.00%">
                  <c:v>0.53500000000000003</c:v>
                </c:pt>
                <c:pt idx="7" formatCode="0.00%">
                  <c:v>0.57500000000000062</c:v>
                </c:pt>
              </c:numCache>
            </c:numRef>
          </c:val>
        </c:ser>
        <c:ser>
          <c:idx val="1"/>
          <c:order val="1"/>
          <c:tx>
            <c:strRef>
              <c:f>Plan1!$A$18</c:f>
              <c:strCache>
                <c:ptCount val="1"/>
                <c:pt idx="0">
                  <c:v>Sindicalistas</c:v>
                </c:pt>
              </c:strCache>
            </c:strRef>
          </c:tx>
          <c:spPr>
            <a:ln>
              <a:solidFill>
                <a:srgbClr val="FF0000"/>
              </a:solidFill>
            </a:ln>
          </c:spPr>
          <c:marker>
            <c:spPr>
              <a:solidFill>
                <a:srgbClr val="FF0000"/>
              </a:solidFill>
              <a:ln cap="sq">
                <a:solidFill>
                  <a:schemeClr val="tx1"/>
                </a:solidFill>
              </a:ln>
            </c:spPr>
          </c:marker>
          <c:cat>
            <c:strRef>
              <c:f>Plan1!$B$16:$I$16</c:f>
              <c:strCache>
                <c:ptCount val="8"/>
                <c:pt idx="0">
                  <c:v>2003</c:v>
                </c:pt>
                <c:pt idx="1">
                  <c:v>2004</c:v>
                </c:pt>
                <c:pt idx="2">
                  <c:v>2005</c:v>
                </c:pt>
                <c:pt idx="3">
                  <c:v>2006</c:v>
                </c:pt>
                <c:pt idx="4">
                  <c:v>2007</c:v>
                </c:pt>
                <c:pt idx="5">
                  <c:v>2008</c:v>
                </c:pt>
                <c:pt idx="6">
                  <c:v>2009</c:v>
                </c:pt>
                <c:pt idx="7">
                  <c:v>2010-11</c:v>
                </c:pt>
              </c:strCache>
            </c:strRef>
          </c:cat>
          <c:val>
            <c:numRef>
              <c:f>Plan1!$B$18:$I$18</c:f>
              <c:numCache>
                <c:formatCode>0%</c:formatCode>
                <c:ptCount val="8"/>
                <c:pt idx="0">
                  <c:v>0.13</c:v>
                </c:pt>
                <c:pt idx="1">
                  <c:v>0.12000000000000002</c:v>
                </c:pt>
                <c:pt idx="2" formatCode="0.00%">
                  <c:v>0.125</c:v>
                </c:pt>
                <c:pt idx="3" formatCode="0.00%">
                  <c:v>0.13500000000000001</c:v>
                </c:pt>
                <c:pt idx="4">
                  <c:v>0.2</c:v>
                </c:pt>
                <c:pt idx="5" formatCode="0.00%">
                  <c:v>0.18500000000000041</c:v>
                </c:pt>
                <c:pt idx="6">
                  <c:v>0.2</c:v>
                </c:pt>
                <c:pt idx="7">
                  <c:v>0.2</c:v>
                </c:pt>
              </c:numCache>
            </c:numRef>
          </c:val>
        </c:ser>
        <c:ser>
          <c:idx val="2"/>
          <c:order val="2"/>
          <c:tx>
            <c:strRef>
              <c:f>Plan1!$A$19</c:f>
              <c:strCache>
                <c:ptCount val="1"/>
                <c:pt idx="0">
                  <c:v>Demais Entidades da Soc. Civil</c:v>
                </c:pt>
              </c:strCache>
            </c:strRef>
          </c:tx>
          <c:spPr>
            <a:ln>
              <a:solidFill>
                <a:schemeClr val="accent3">
                  <a:lumMod val="50000"/>
                </a:schemeClr>
              </a:solidFill>
            </a:ln>
          </c:spPr>
          <c:marker>
            <c:symbol val="triangle"/>
            <c:size val="9"/>
            <c:spPr>
              <a:ln>
                <a:solidFill>
                  <a:schemeClr val="tx1"/>
                </a:solidFill>
              </a:ln>
            </c:spPr>
          </c:marker>
          <c:cat>
            <c:strRef>
              <c:f>Plan1!$B$16:$I$16</c:f>
              <c:strCache>
                <c:ptCount val="8"/>
                <c:pt idx="0">
                  <c:v>2003</c:v>
                </c:pt>
                <c:pt idx="1">
                  <c:v>2004</c:v>
                </c:pt>
                <c:pt idx="2">
                  <c:v>2005</c:v>
                </c:pt>
                <c:pt idx="3">
                  <c:v>2006</c:v>
                </c:pt>
                <c:pt idx="4">
                  <c:v>2007</c:v>
                </c:pt>
                <c:pt idx="5">
                  <c:v>2008</c:v>
                </c:pt>
                <c:pt idx="6">
                  <c:v>2009</c:v>
                </c:pt>
                <c:pt idx="7">
                  <c:v>2010-11</c:v>
                </c:pt>
              </c:strCache>
            </c:strRef>
          </c:cat>
          <c:val>
            <c:numRef>
              <c:f>Plan1!$B$19:$I$19</c:f>
              <c:numCache>
                <c:formatCode>0%</c:formatCode>
                <c:ptCount val="8"/>
                <c:pt idx="0" formatCode="0.00%">
                  <c:v>0.16500000000000259</c:v>
                </c:pt>
                <c:pt idx="1">
                  <c:v>0.18000000000000024</c:v>
                </c:pt>
                <c:pt idx="2">
                  <c:v>0.19000000000000228</c:v>
                </c:pt>
                <c:pt idx="3">
                  <c:v>0.19000000000000228</c:v>
                </c:pt>
                <c:pt idx="4">
                  <c:v>0.21000000000000021</c:v>
                </c:pt>
                <c:pt idx="5">
                  <c:v>0.2</c:v>
                </c:pt>
                <c:pt idx="6" formatCode="0.00%">
                  <c:v>0.15500000000000044</c:v>
                </c:pt>
                <c:pt idx="7" formatCode="0.00%">
                  <c:v>0.13500000000000001</c:v>
                </c:pt>
              </c:numCache>
            </c:numRef>
          </c:val>
        </c:ser>
        <c:ser>
          <c:idx val="3"/>
          <c:order val="3"/>
          <c:tx>
            <c:strRef>
              <c:f>Plan1!$A$20</c:f>
              <c:strCache>
                <c:ptCount val="1"/>
                <c:pt idx="0">
                  <c:v>Acadêmicos e Personalidades</c:v>
                </c:pt>
              </c:strCache>
            </c:strRef>
          </c:tx>
          <c:marker>
            <c:symbol val="diamond"/>
            <c:size val="9"/>
            <c:spPr>
              <a:ln>
                <a:solidFill>
                  <a:schemeClr val="tx1"/>
                </a:solidFill>
              </a:ln>
            </c:spPr>
          </c:marker>
          <c:cat>
            <c:strRef>
              <c:f>Plan1!$B$16:$I$16</c:f>
              <c:strCache>
                <c:ptCount val="8"/>
                <c:pt idx="0">
                  <c:v>2003</c:v>
                </c:pt>
                <c:pt idx="1">
                  <c:v>2004</c:v>
                </c:pt>
                <c:pt idx="2">
                  <c:v>2005</c:v>
                </c:pt>
                <c:pt idx="3">
                  <c:v>2006</c:v>
                </c:pt>
                <c:pt idx="4">
                  <c:v>2007</c:v>
                </c:pt>
                <c:pt idx="5">
                  <c:v>2008</c:v>
                </c:pt>
                <c:pt idx="6">
                  <c:v>2009</c:v>
                </c:pt>
                <c:pt idx="7">
                  <c:v>2010-11</c:v>
                </c:pt>
              </c:strCache>
            </c:strRef>
          </c:cat>
          <c:val>
            <c:numRef>
              <c:f>Plan1!$B$20:$I$20</c:f>
              <c:numCache>
                <c:formatCode>0%</c:formatCode>
                <c:ptCount val="8"/>
                <c:pt idx="0" formatCode="0.00%">
                  <c:v>0.17500000000000004</c:v>
                </c:pt>
                <c:pt idx="1">
                  <c:v>0.18000000000000024</c:v>
                </c:pt>
                <c:pt idx="2">
                  <c:v>0.17</c:v>
                </c:pt>
                <c:pt idx="3" formatCode="0.00%">
                  <c:v>0.15500000000000044</c:v>
                </c:pt>
                <c:pt idx="4">
                  <c:v>0.1</c:v>
                </c:pt>
                <c:pt idx="5">
                  <c:v>9.0000000000000066E-2</c:v>
                </c:pt>
                <c:pt idx="6">
                  <c:v>0.11000000000000018</c:v>
                </c:pt>
                <c:pt idx="7">
                  <c:v>9.0000000000000066E-2</c:v>
                </c:pt>
              </c:numCache>
            </c:numRef>
          </c:val>
        </c:ser>
        <c:marker val="1"/>
        <c:axId val="167693312"/>
        <c:axId val="123675392"/>
      </c:lineChart>
      <c:catAx>
        <c:axId val="167693312"/>
        <c:scaling>
          <c:orientation val="minMax"/>
        </c:scaling>
        <c:axPos val="b"/>
        <c:numFmt formatCode="General" sourceLinked="1"/>
        <c:majorTickMark val="none"/>
        <c:tickLblPos val="nextTo"/>
        <c:crossAx val="123675392"/>
        <c:crosses val="autoZero"/>
        <c:auto val="1"/>
        <c:lblAlgn val="ctr"/>
        <c:lblOffset val="100"/>
      </c:catAx>
      <c:valAx>
        <c:axId val="123675392"/>
        <c:scaling>
          <c:orientation val="minMax"/>
        </c:scaling>
        <c:axPos val="l"/>
        <c:majorGridlines/>
        <c:numFmt formatCode="0%" sourceLinked="1"/>
        <c:majorTickMark val="none"/>
        <c:tickLblPos val="nextTo"/>
        <c:crossAx val="167693312"/>
        <c:crosses val="autoZero"/>
        <c:crossBetween val="between"/>
      </c:valAx>
    </c:plotArea>
    <c:legend>
      <c:legendPos val="r"/>
      <c:layout>
        <c:manualLayout>
          <c:xMode val="edge"/>
          <c:yMode val="edge"/>
          <c:x val="0.74741502286005868"/>
          <c:y val="0.27501292919639381"/>
          <c:w val="0.24155699176010473"/>
          <c:h val="0.51596173562742143"/>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style val="1"/>
  <c:chart>
    <c:title>
      <c:tx>
        <c:rich>
          <a:bodyPr/>
          <a:lstStyle/>
          <a:p>
            <a:pPr algn="ctr">
              <a:defRPr/>
            </a:pPr>
            <a:r>
              <a:rPr lang="pt-BR" sz="1400" b="1" i="0" baseline="0"/>
              <a:t>Gráfico 2.2 - Evolução numérica absoluta de conselheiros segundo setores sociais (2003-2010)</a:t>
            </a:r>
            <a:r>
              <a:rPr lang="pt-BR" sz="1500" b="1" i="0" baseline="0"/>
              <a:t> </a:t>
            </a:r>
            <a:endParaRPr lang="pt-BR" sz="1500"/>
          </a:p>
        </c:rich>
      </c:tx>
    </c:title>
    <c:plotArea>
      <c:layout/>
      <c:barChart>
        <c:barDir val="col"/>
        <c:grouping val="clustered"/>
        <c:ser>
          <c:idx val="0"/>
          <c:order val="0"/>
          <c:tx>
            <c:strRef>
              <c:f>Plan1!$A$3</c:f>
              <c:strCache>
                <c:ptCount val="1"/>
                <c:pt idx="0">
                  <c:v>Empresariado</c:v>
                </c:pt>
              </c:strCache>
            </c:strRef>
          </c:tx>
          <c:spPr>
            <a:solidFill>
              <a:schemeClr val="tx1"/>
            </a:solidFill>
          </c:spPr>
          <c:dLbls>
            <c:spPr>
              <a:noFill/>
              <a:ln>
                <a:noFill/>
              </a:ln>
              <a:effectLst/>
            </c:spPr>
            <c:txPr>
              <a:bodyPr/>
              <a:lstStyle/>
              <a:p>
                <a:pPr>
                  <a:defRPr sz="800"/>
                </a:pPr>
                <a:endParaRPr lang="pt-BR"/>
              </a:p>
            </c:txPr>
            <c:showVal val="1"/>
            <c:extLst>
              <c:ext xmlns:c15="http://schemas.microsoft.com/office/drawing/2012/chart" uri="{CE6537A1-D6FC-4f65-9D91-7224C49458BB}">
                <c15:showLeaderLines val="0"/>
              </c:ext>
            </c:extLst>
          </c:dLbls>
          <c:cat>
            <c:strRef>
              <c:f>Plan1!$B$2:$I$2</c:f>
              <c:strCache>
                <c:ptCount val="8"/>
                <c:pt idx="0">
                  <c:v>2003</c:v>
                </c:pt>
                <c:pt idx="1">
                  <c:v>2004</c:v>
                </c:pt>
                <c:pt idx="2">
                  <c:v>2005</c:v>
                </c:pt>
                <c:pt idx="3">
                  <c:v>2006</c:v>
                </c:pt>
                <c:pt idx="4">
                  <c:v>2007</c:v>
                </c:pt>
                <c:pt idx="5">
                  <c:v>2008</c:v>
                </c:pt>
                <c:pt idx="6">
                  <c:v>2009</c:v>
                </c:pt>
                <c:pt idx="7">
                  <c:v>2010-11</c:v>
                </c:pt>
              </c:strCache>
            </c:strRef>
          </c:cat>
          <c:val>
            <c:numRef>
              <c:f>Plan1!$B$3:$I$3</c:f>
              <c:numCache>
                <c:formatCode>General</c:formatCode>
                <c:ptCount val="8"/>
                <c:pt idx="0">
                  <c:v>49</c:v>
                </c:pt>
                <c:pt idx="1">
                  <c:v>47</c:v>
                </c:pt>
                <c:pt idx="2">
                  <c:v>46</c:v>
                </c:pt>
                <c:pt idx="3">
                  <c:v>47</c:v>
                </c:pt>
                <c:pt idx="4">
                  <c:v>40</c:v>
                </c:pt>
                <c:pt idx="5">
                  <c:v>45</c:v>
                </c:pt>
                <c:pt idx="6">
                  <c:v>45</c:v>
                </c:pt>
                <c:pt idx="7">
                  <c:v>51</c:v>
                </c:pt>
              </c:numCache>
            </c:numRef>
          </c:val>
        </c:ser>
        <c:ser>
          <c:idx val="1"/>
          <c:order val="1"/>
          <c:tx>
            <c:strRef>
              <c:f>Plan1!$A$4</c:f>
              <c:strCache>
                <c:ptCount val="1"/>
                <c:pt idx="0">
                  <c:v>Sindicalistas</c:v>
                </c:pt>
              </c:strCache>
            </c:strRef>
          </c:tx>
          <c:dLbls>
            <c:spPr>
              <a:noFill/>
              <a:ln>
                <a:noFill/>
              </a:ln>
              <a:effectLst/>
            </c:spPr>
            <c:txPr>
              <a:bodyPr/>
              <a:lstStyle/>
              <a:p>
                <a:pPr>
                  <a:defRPr sz="800"/>
                </a:pPr>
                <a:endParaRPr lang="pt-BR"/>
              </a:p>
            </c:txPr>
            <c:showVal val="1"/>
            <c:extLst>
              <c:ext xmlns:c15="http://schemas.microsoft.com/office/drawing/2012/chart" uri="{CE6537A1-D6FC-4f65-9D91-7224C49458BB}">
                <c15:showLeaderLines val="0"/>
              </c:ext>
            </c:extLst>
          </c:dLbls>
          <c:cat>
            <c:strRef>
              <c:f>Plan1!$B$2:$I$2</c:f>
              <c:strCache>
                <c:ptCount val="8"/>
                <c:pt idx="0">
                  <c:v>2003</c:v>
                </c:pt>
                <c:pt idx="1">
                  <c:v>2004</c:v>
                </c:pt>
                <c:pt idx="2">
                  <c:v>2005</c:v>
                </c:pt>
                <c:pt idx="3">
                  <c:v>2006</c:v>
                </c:pt>
                <c:pt idx="4">
                  <c:v>2007</c:v>
                </c:pt>
                <c:pt idx="5">
                  <c:v>2008</c:v>
                </c:pt>
                <c:pt idx="6">
                  <c:v>2009</c:v>
                </c:pt>
                <c:pt idx="7">
                  <c:v>2010-11</c:v>
                </c:pt>
              </c:strCache>
            </c:strRef>
          </c:cat>
          <c:val>
            <c:numRef>
              <c:f>Plan1!$B$4:$I$4</c:f>
              <c:numCache>
                <c:formatCode>General</c:formatCode>
                <c:ptCount val="8"/>
                <c:pt idx="0">
                  <c:v>12</c:v>
                </c:pt>
                <c:pt idx="1">
                  <c:v>11</c:v>
                </c:pt>
                <c:pt idx="2">
                  <c:v>11</c:v>
                </c:pt>
                <c:pt idx="3">
                  <c:v>12</c:v>
                </c:pt>
                <c:pt idx="4">
                  <c:v>16</c:v>
                </c:pt>
                <c:pt idx="5">
                  <c:v>16</c:v>
                </c:pt>
                <c:pt idx="6">
                  <c:v>17</c:v>
                </c:pt>
                <c:pt idx="7">
                  <c:v>18</c:v>
                </c:pt>
              </c:numCache>
            </c:numRef>
          </c:val>
        </c:ser>
        <c:ser>
          <c:idx val="2"/>
          <c:order val="2"/>
          <c:tx>
            <c:strRef>
              <c:f>Plan1!$A$5</c:f>
              <c:strCache>
                <c:ptCount val="1"/>
                <c:pt idx="0">
                  <c:v>Demais Entidades da Soc. Civil</c:v>
                </c:pt>
              </c:strCache>
            </c:strRef>
          </c:tx>
          <c:dLbls>
            <c:spPr>
              <a:noFill/>
              <a:ln>
                <a:noFill/>
              </a:ln>
              <a:effectLst/>
            </c:spPr>
            <c:txPr>
              <a:bodyPr/>
              <a:lstStyle/>
              <a:p>
                <a:pPr>
                  <a:defRPr sz="800"/>
                </a:pPr>
                <a:endParaRPr lang="pt-BR"/>
              </a:p>
            </c:txPr>
            <c:showVal val="1"/>
            <c:extLst>
              <c:ext xmlns:c15="http://schemas.microsoft.com/office/drawing/2012/chart" uri="{CE6537A1-D6FC-4f65-9D91-7224C49458BB}">
                <c15:showLeaderLines val="0"/>
              </c:ext>
            </c:extLst>
          </c:dLbls>
          <c:cat>
            <c:strRef>
              <c:f>Plan1!$B$2:$I$2</c:f>
              <c:strCache>
                <c:ptCount val="8"/>
                <c:pt idx="0">
                  <c:v>2003</c:v>
                </c:pt>
                <c:pt idx="1">
                  <c:v>2004</c:v>
                </c:pt>
                <c:pt idx="2">
                  <c:v>2005</c:v>
                </c:pt>
                <c:pt idx="3">
                  <c:v>2006</c:v>
                </c:pt>
                <c:pt idx="4">
                  <c:v>2007</c:v>
                </c:pt>
                <c:pt idx="5">
                  <c:v>2008</c:v>
                </c:pt>
                <c:pt idx="6">
                  <c:v>2009</c:v>
                </c:pt>
                <c:pt idx="7">
                  <c:v>2010-11</c:v>
                </c:pt>
              </c:strCache>
            </c:strRef>
          </c:cat>
          <c:val>
            <c:numRef>
              <c:f>Plan1!$B$5:$I$5</c:f>
              <c:numCache>
                <c:formatCode>General</c:formatCode>
                <c:ptCount val="8"/>
                <c:pt idx="0">
                  <c:v>15</c:v>
                </c:pt>
                <c:pt idx="1">
                  <c:v>16</c:v>
                </c:pt>
                <c:pt idx="2">
                  <c:v>17</c:v>
                </c:pt>
                <c:pt idx="3">
                  <c:v>17</c:v>
                </c:pt>
                <c:pt idx="4">
                  <c:v>17</c:v>
                </c:pt>
                <c:pt idx="5">
                  <c:v>17</c:v>
                </c:pt>
                <c:pt idx="6">
                  <c:v>13</c:v>
                </c:pt>
                <c:pt idx="7">
                  <c:v>12</c:v>
                </c:pt>
              </c:numCache>
            </c:numRef>
          </c:val>
        </c:ser>
        <c:ser>
          <c:idx val="3"/>
          <c:order val="3"/>
          <c:tx>
            <c:strRef>
              <c:f>Plan1!$A$6</c:f>
              <c:strCache>
                <c:ptCount val="1"/>
                <c:pt idx="0">
                  <c:v>Acadêmicos e Personalidades</c:v>
                </c:pt>
              </c:strCache>
            </c:strRef>
          </c:tx>
          <c:dLbls>
            <c:spPr>
              <a:noFill/>
              <a:ln>
                <a:noFill/>
              </a:ln>
              <a:effectLst/>
            </c:spPr>
            <c:txPr>
              <a:bodyPr/>
              <a:lstStyle/>
              <a:p>
                <a:pPr>
                  <a:defRPr sz="800"/>
                </a:pPr>
                <a:endParaRPr lang="pt-BR"/>
              </a:p>
            </c:txPr>
            <c:showVal val="1"/>
            <c:extLst>
              <c:ext xmlns:c15="http://schemas.microsoft.com/office/drawing/2012/chart" uri="{CE6537A1-D6FC-4f65-9D91-7224C49458BB}">
                <c15:showLeaderLines val="0"/>
              </c:ext>
            </c:extLst>
          </c:dLbls>
          <c:cat>
            <c:strRef>
              <c:f>Plan1!$B$2:$I$2</c:f>
              <c:strCache>
                <c:ptCount val="8"/>
                <c:pt idx="0">
                  <c:v>2003</c:v>
                </c:pt>
                <c:pt idx="1">
                  <c:v>2004</c:v>
                </c:pt>
                <c:pt idx="2">
                  <c:v>2005</c:v>
                </c:pt>
                <c:pt idx="3">
                  <c:v>2006</c:v>
                </c:pt>
                <c:pt idx="4">
                  <c:v>2007</c:v>
                </c:pt>
                <c:pt idx="5">
                  <c:v>2008</c:v>
                </c:pt>
                <c:pt idx="6">
                  <c:v>2009</c:v>
                </c:pt>
                <c:pt idx="7">
                  <c:v>2010-11</c:v>
                </c:pt>
              </c:strCache>
            </c:strRef>
          </c:cat>
          <c:val>
            <c:numRef>
              <c:f>Plan1!$B$6:$I$6</c:f>
              <c:numCache>
                <c:formatCode>General</c:formatCode>
                <c:ptCount val="8"/>
                <c:pt idx="0">
                  <c:v>16</c:v>
                </c:pt>
                <c:pt idx="1">
                  <c:v>16</c:v>
                </c:pt>
                <c:pt idx="2">
                  <c:v>15</c:v>
                </c:pt>
                <c:pt idx="3">
                  <c:v>14</c:v>
                </c:pt>
                <c:pt idx="4">
                  <c:v>8</c:v>
                </c:pt>
                <c:pt idx="5">
                  <c:v>8</c:v>
                </c:pt>
                <c:pt idx="6">
                  <c:v>9</c:v>
                </c:pt>
                <c:pt idx="7">
                  <c:v>8</c:v>
                </c:pt>
              </c:numCache>
            </c:numRef>
          </c:val>
        </c:ser>
        <c:ser>
          <c:idx val="4"/>
          <c:order val="4"/>
          <c:tx>
            <c:strRef>
              <c:f>Plan1!$A$7</c:f>
              <c:strCache>
                <c:ptCount val="1"/>
                <c:pt idx="0">
                  <c:v>Total</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s>
            <c:spPr>
              <a:noFill/>
              <a:ln>
                <a:noFill/>
              </a:ln>
              <a:effectLst/>
            </c:spPr>
            <c:txPr>
              <a:bodyPr/>
              <a:lstStyle/>
              <a:p>
                <a:pPr>
                  <a:defRPr sz="800"/>
                </a:pPr>
                <a:endParaRPr lang="pt-BR"/>
              </a:p>
            </c:txPr>
            <c:showVal val="1"/>
            <c:extLst>
              <c:ext xmlns:c15="http://schemas.microsoft.com/office/drawing/2012/chart" uri="{CE6537A1-D6FC-4f65-9D91-7224C49458BB}">
                <c15:showLeaderLines val="0"/>
              </c:ext>
            </c:extLst>
          </c:dLbls>
          <c:cat>
            <c:strRef>
              <c:f>Plan1!$B$2:$I$2</c:f>
              <c:strCache>
                <c:ptCount val="8"/>
                <c:pt idx="0">
                  <c:v>2003</c:v>
                </c:pt>
                <c:pt idx="1">
                  <c:v>2004</c:v>
                </c:pt>
                <c:pt idx="2">
                  <c:v>2005</c:v>
                </c:pt>
                <c:pt idx="3">
                  <c:v>2006</c:v>
                </c:pt>
                <c:pt idx="4">
                  <c:v>2007</c:v>
                </c:pt>
                <c:pt idx="5">
                  <c:v>2008</c:v>
                </c:pt>
                <c:pt idx="6">
                  <c:v>2009</c:v>
                </c:pt>
                <c:pt idx="7">
                  <c:v>2010-11</c:v>
                </c:pt>
              </c:strCache>
            </c:strRef>
          </c:cat>
          <c:val>
            <c:numRef>
              <c:f>Plan1!$B$7:$I$7</c:f>
              <c:numCache>
                <c:formatCode>General</c:formatCode>
                <c:ptCount val="8"/>
                <c:pt idx="0">
                  <c:v>92</c:v>
                </c:pt>
                <c:pt idx="1">
                  <c:v>90</c:v>
                </c:pt>
                <c:pt idx="2">
                  <c:v>89</c:v>
                </c:pt>
                <c:pt idx="3">
                  <c:v>90</c:v>
                </c:pt>
                <c:pt idx="4">
                  <c:v>81</c:v>
                </c:pt>
                <c:pt idx="5">
                  <c:v>86</c:v>
                </c:pt>
                <c:pt idx="6">
                  <c:v>84</c:v>
                </c:pt>
                <c:pt idx="7">
                  <c:v>89</c:v>
                </c:pt>
              </c:numCache>
            </c:numRef>
          </c:val>
        </c:ser>
        <c:dLbls>
          <c:showVal val="1"/>
        </c:dLbls>
        <c:overlap val="-25"/>
        <c:axId val="123714176"/>
        <c:axId val="160862592"/>
      </c:barChart>
      <c:catAx>
        <c:axId val="123714176"/>
        <c:scaling>
          <c:orientation val="minMax"/>
        </c:scaling>
        <c:axPos val="b"/>
        <c:numFmt formatCode="General" sourceLinked="1"/>
        <c:majorTickMark val="none"/>
        <c:tickLblPos val="nextTo"/>
        <c:crossAx val="160862592"/>
        <c:crosses val="autoZero"/>
        <c:auto val="1"/>
        <c:lblAlgn val="ctr"/>
        <c:lblOffset val="100"/>
      </c:catAx>
      <c:valAx>
        <c:axId val="160862592"/>
        <c:scaling>
          <c:orientation val="minMax"/>
        </c:scaling>
        <c:delete val="1"/>
        <c:axPos val="l"/>
        <c:numFmt formatCode="General" sourceLinked="1"/>
        <c:majorTickMark val="none"/>
        <c:tickLblPos val="none"/>
        <c:crossAx val="123714176"/>
        <c:crosses val="autoZero"/>
        <c:crossBetween val="between"/>
      </c:valAx>
    </c:plotArea>
    <c:legend>
      <c:legendPos val="t"/>
      <c:layout>
        <c:manualLayout>
          <c:xMode val="edge"/>
          <c:yMode val="edge"/>
          <c:x val="7.3131495322256879E-2"/>
          <c:y val="0.24701477504011571"/>
          <c:w val="0.83727416833949375"/>
          <c:h val="0.19555847059869341"/>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400" b="1" i="0" baseline="0"/>
              <a:t>Gráfico 2.3 - Média relativa total de conselheiros segundo setores sociais (2003-2010)</a:t>
            </a:r>
          </a:p>
        </c:rich>
      </c:tx>
    </c:title>
    <c:view3D>
      <c:rotX val="30"/>
      <c:perspective val="30"/>
    </c:view3D>
    <c:plotArea>
      <c:layout>
        <c:manualLayout>
          <c:layoutTarget val="inner"/>
          <c:xMode val="edge"/>
          <c:yMode val="edge"/>
          <c:x val="8.9710799137120864E-2"/>
          <c:y val="0.30250218722659838"/>
          <c:w val="0.82057840172575836"/>
          <c:h val="0.61319485926332062"/>
        </c:manualLayout>
      </c:layout>
      <c:pie3DChart>
        <c:varyColors val="1"/>
        <c:ser>
          <c:idx val="0"/>
          <c:order val="0"/>
          <c:tx>
            <c:strRef>
              <c:f>Plan1!$B$23</c:f>
              <c:strCache>
                <c:ptCount val="1"/>
                <c:pt idx="0">
                  <c:v>Média</c:v>
                </c:pt>
              </c:strCache>
            </c:strRef>
          </c:tx>
          <c:explosion val="14"/>
          <c:dPt>
            <c:idx val="0"/>
            <c:explosion val="8"/>
          </c:dPt>
          <c:dLbls>
            <c:dLbl>
              <c:idx val="0"/>
              <c:layout>
                <c:manualLayout>
                  <c:x val="-4.4173281521417834E-3"/>
                  <c:y val="-8.5387173046197196E-2"/>
                </c:manualLayout>
              </c:layout>
              <c:showCatName val="1"/>
              <c:showPercent val="1"/>
              <c:extLst>
                <c:ext xmlns:c15="http://schemas.microsoft.com/office/drawing/2012/chart" uri="{CE6537A1-D6FC-4f65-9D91-7224C49458BB}"/>
              </c:extLst>
            </c:dLbl>
            <c:dLbl>
              <c:idx val="1"/>
              <c:layout>
                <c:manualLayout>
                  <c:x val="-3.1239971617118022E-2"/>
                  <c:y val="-6.1400736163660076E-2"/>
                </c:manualLayout>
              </c:layout>
              <c:showCatName val="1"/>
              <c:showPercent val="1"/>
              <c:extLst>
                <c:ext xmlns:c15="http://schemas.microsoft.com/office/drawing/2012/chart" uri="{CE6537A1-D6FC-4f65-9D91-7224C49458BB}"/>
              </c:extLst>
            </c:dLbl>
            <c:spPr>
              <a:noFill/>
              <a:ln>
                <a:noFill/>
              </a:ln>
              <a:effectLst/>
            </c:spPr>
            <c:txPr>
              <a:bodyPr/>
              <a:lstStyle/>
              <a:p>
                <a:pPr>
                  <a:defRPr sz="800"/>
                </a:pPr>
                <a:endParaRPr lang="pt-BR"/>
              </a:p>
            </c:txPr>
            <c:showCatName val="1"/>
            <c:showPercent val="1"/>
            <c:extLst>
              <c:ext xmlns:c15="http://schemas.microsoft.com/office/drawing/2012/chart" uri="{CE6537A1-D6FC-4f65-9D91-7224C49458BB}"/>
            </c:extLst>
          </c:dLbls>
          <c:cat>
            <c:strRef>
              <c:f>Plan1!$A$24:$A$27</c:f>
              <c:strCache>
                <c:ptCount val="4"/>
                <c:pt idx="0">
                  <c:v>Empresariado</c:v>
                </c:pt>
                <c:pt idx="1">
                  <c:v>Sindicalistas</c:v>
                </c:pt>
                <c:pt idx="2">
                  <c:v>Demais Entidades da Soc. Civil</c:v>
                </c:pt>
                <c:pt idx="3">
                  <c:v>Acadêmicos e Personalidades</c:v>
                </c:pt>
              </c:strCache>
            </c:strRef>
          </c:cat>
          <c:val>
            <c:numRef>
              <c:f>Plan1!$B$24:$B$27</c:f>
              <c:numCache>
                <c:formatCode>0.00%</c:formatCode>
                <c:ptCount val="4"/>
                <c:pt idx="0">
                  <c:v>0.52500000000000002</c:v>
                </c:pt>
                <c:pt idx="1">
                  <c:v>0.16500000000000001</c:v>
                </c:pt>
                <c:pt idx="2">
                  <c:v>0.17500000000000004</c:v>
                </c:pt>
                <c:pt idx="3">
                  <c:v>0.13500000000000001</c:v>
                </c:pt>
              </c:numCache>
            </c:numRef>
          </c:val>
        </c:ser>
        <c:dLbls>
          <c:showCatName val="1"/>
          <c:showPercent val="1"/>
        </c:dLbls>
      </c:pie3D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style val="1"/>
  <c:chart>
    <c:title>
      <c:tx>
        <c:rich>
          <a:bodyPr/>
          <a:lstStyle/>
          <a:p>
            <a:pPr>
              <a:defRPr/>
            </a:pPr>
            <a:r>
              <a:rPr lang="pt-BR" sz="1400"/>
              <a:t>Gráfico 2.4 - Variação</a:t>
            </a:r>
            <a:r>
              <a:rPr lang="pt-BR" sz="1400" baseline="0"/>
              <a:t> numérica de Grupos/Firmas no CDES segundo atividade econômica principal (2003-2010)</a:t>
            </a:r>
            <a:endParaRPr lang="pt-BR" sz="1400"/>
          </a:p>
        </c:rich>
      </c:tx>
    </c:title>
    <c:plotArea>
      <c:layout/>
      <c:barChart>
        <c:barDir val="col"/>
        <c:grouping val="clustered"/>
        <c:ser>
          <c:idx val="0"/>
          <c:order val="0"/>
          <c:tx>
            <c:strRef>
              <c:f>Plan1!$A$165</c:f>
              <c:strCache>
                <c:ptCount val="1"/>
                <c:pt idx="0">
                  <c:v>Industrial</c:v>
                </c:pt>
              </c:strCache>
            </c:strRef>
          </c:tx>
          <c:spPr>
            <a:solidFill>
              <a:schemeClr val="tx1"/>
            </a:solidFill>
          </c:spPr>
          <c:dLbls>
            <c:spPr>
              <a:noFill/>
              <a:ln>
                <a:noFill/>
              </a:ln>
              <a:effectLst/>
            </c:spPr>
            <c:txPr>
              <a:bodyPr/>
              <a:lstStyle/>
              <a:p>
                <a:pPr>
                  <a:defRPr sz="800"/>
                </a:pPr>
                <a:endParaRPr lang="pt-BR"/>
              </a:p>
            </c:txPr>
            <c:showVal val="1"/>
            <c:extLst>
              <c:ext xmlns:c15="http://schemas.microsoft.com/office/drawing/2012/chart" uri="{CE6537A1-D6FC-4f65-9D91-7224C49458BB}">
                <c15:showLeaderLines val="0"/>
              </c:ext>
            </c:extLst>
          </c:dLbls>
          <c:cat>
            <c:numRef>
              <c:f>Plan1!$B$164:$I$164</c:f>
              <c:numCache>
                <c:formatCode>General</c:formatCode>
                <c:ptCount val="8"/>
                <c:pt idx="0">
                  <c:v>2003</c:v>
                </c:pt>
                <c:pt idx="1">
                  <c:v>2004</c:v>
                </c:pt>
                <c:pt idx="2">
                  <c:v>2005</c:v>
                </c:pt>
                <c:pt idx="3">
                  <c:v>2006</c:v>
                </c:pt>
                <c:pt idx="4">
                  <c:v>2007</c:v>
                </c:pt>
                <c:pt idx="5">
                  <c:v>2008</c:v>
                </c:pt>
                <c:pt idx="6">
                  <c:v>2009</c:v>
                </c:pt>
                <c:pt idx="7">
                  <c:v>2010</c:v>
                </c:pt>
              </c:numCache>
            </c:numRef>
          </c:cat>
          <c:val>
            <c:numRef>
              <c:f>Plan1!$B$165:$I$165</c:f>
              <c:numCache>
                <c:formatCode>General</c:formatCode>
                <c:ptCount val="8"/>
                <c:pt idx="0">
                  <c:v>23</c:v>
                </c:pt>
                <c:pt idx="1">
                  <c:v>24</c:v>
                </c:pt>
                <c:pt idx="2">
                  <c:v>22</c:v>
                </c:pt>
                <c:pt idx="3">
                  <c:v>22</c:v>
                </c:pt>
                <c:pt idx="4">
                  <c:v>23</c:v>
                </c:pt>
                <c:pt idx="5">
                  <c:v>24</c:v>
                </c:pt>
                <c:pt idx="6">
                  <c:v>25</c:v>
                </c:pt>
                <c:pt idx="7">
                  <c:v>29</c:v>
                </c:pt>
              </c:numCache>
            </c:numRef>
          </c:val>
        </c:ser>
        <c:ser>
          <c:idx val="1"/>
          <c:order val="1"/>
          <c:tx>
            <c:strRef>
              <c:f>Plan1!$A$166</c:f>
              <c:strCache>
                <c:ptCount val="1"/>
                <c:pt idx="0">
                  <c:v>Comercial e de Serviços</c:v>
                </c:pt>
              </c:strCache>
            </c:strRef>
          </c:tx>
          <c:dLbls>
            <c:spPr>
              <a:noFill/>
              <a:ln>
                <a:noFill/>
              </a:ln>
              <a:effectLst/>
            </c:spPr>
            <c:txPr>
              <a:bodyPr/>
              <a:lstStyle/>
              <a:p>
                <a:pPr>
                  <a:defRPr sz="800"/>
                </a:pPr>
                <a:endParaRPr lang="pt-BR"/>
              </a:p>
            </c:txPr>
            <c:showVal val="1"/>
            <c:extLst>
              <c:ext xmlns:c15="http://schemas.microsoft.com/office/drawing/2012/chart" uri="{CE6537A1-D6FC-4f65-9D91-7224C49458BB}">
                <c15:showLeaderLines val="0"/>
              </c:ext>
            </c:extLst>
          </c:dLbls>
          <c:cat>
            <c:numRef>
              <c:f>Plan1!$B$164:$I$164</c:f>
              <c:numCache>
                <c:formatCode>General</c:formatCode>
                <c:ptCount val="8"/>
                <c:pt idx="0">
                  <c:v>2003</c:v>
                </c:pt>
                <c:pt idx="1">
                  <c:v>2004</c:v>
                </c:pt>
                <c:pt idx="2">
                  <c:v>2005</c:v>
                </c:pt>
                <c:pt idx="3">
                  <c:v>2006</c:v>
                </c:pt>
                <c:pt idx="4">
                  <c:v>2007</c:v>
                </c:pt>
                <c:pt idx="5">
                  <c:v>2008</c:v>
                </c:pt>
                <c:pt idx="6">
                  <c:v>2009</c:v>
                </c:pt>
                <c:pt idx="7">
                  <c:v>2010</c:v>
                </c:pt>
              </c:numCache>
            </c:numRef>
          </c:cat>
          <c:val>
            <c:numRef>
              <c:f>Plan1!$B$166:$I$166</c:f>
              <c:numCache>
                <c:formatCode>General</c:formatCode>
                <c:ptCount val="8"/>
                <c:pt idx="0">
                  <c:v>11</c:v>
                </c:pt>
                <c:pt idx="1">
                  <c:v>12</c:v>
                </c:pt>
                <c:pt idx="2">
                  <c:v>11</c:v>
                </c:pt>
                <c:pt idx="3">
                  <c:v>11</c:v>
                </c:pt>
                <c:pt idx="4">
                  <c:v>9</c:v>
                </c:pt>
                <c:pt idx="5">
                  <c:v>10</c:v>
                </c:pt>
                <c:pt idx="6">
                  <c:v>12</c:v>
                </c:pt>
                <c:pt idx="7">
                  <c:v>12</c:v>
                </c:pt>
              </c:numCache>
            </c:numRef>
          </c:val>
        </c:ser>
        <c:ser>
          <c:idx val="2"/>
          <c:order val="2"/>
          <c:tx>
            <c:strRef>
              <c:f>Plan1!$A$167</c:f>
              <c:strCache>
                <c:ptCount val="1"/>
                <c:pt idx="0">
                  <c:v>Bancária</c:v>
                </c:pt>
              </c:strCache>
            </c:strRef>
          </c:tx>
          <c:dLbls>
            <c:spPr>
              <a:noFill/>
              <a:ln>
                <a:noFill/>
              </a:ln>
              <a:effectLst/>
            </c:spPr>
            <c:txPr>
              <a:bodyPr/>
              <a:lstStyle/>
              <a:p>
                <a:pPr>
                  <a:defRPr sz="800"/>
                </a:pPr>
                <a:endParaRPr lang="pt-BR"/>
              </a:p>
            </c:txPr>
            <c:showVal val="1"/>
            <c:extLst>
              <c:ext xmlns:c15="http://schemas.microsoft.com/office/drawing/2012/chart" uri="{CE6537A1-D6FC-4f65-9D91-7224C49458BB}">
                <c15:showLeaderLines val="0"/>
              </c:ext>
            </c:extLst>
          </c:dLbls>
          <c:cat>
            <c:numRef>
              <c:f>Plan1!$B$164:$I$164</c:f>
              <c:numCache>
                <c:formatCode>General</c:formatCode>
                <c:ptCount val="8"/>
                <c:pt idx="0">
                  <c:v>2003</c:v>
                </c:pt>
                <c:pt idx="1">
                  <c:v>2004</c:v>
                </c:pt>
                <c:pt idx="2">
                  <c:v>2005</c:v>
                </c:pt>
                <c:pt idx="3">
                  <c:v>2006</c:v>
                </c:pt>
                <c:pt idx="4">
                  <c:v>2007</c:v>
                </c:pt>
                <c:pt idx="5">
                  <c:v>2008</c:v>
                </c:pt>
                <c:pt idx="6">
                  <c:v>2009</c:v>
                </c:pt>
                <c:pt idx="7">
                  <c:v>2010</c:v>
                </c:pt>
              </c:numCache>
            </c:numRef>
          </c:cat>
          <c:val>
            <c:numRef>
              <c:f>Plan1!$B$167:$I$167</c:f>
              <c:numCache>
                <c:formatCode>General</c:formatCode>
                <c:ptCount val="8"/>
                <c:pt idx="0">
                  <c:v>12</c:v>
                </c:pt>
                <c:pt idx="1">
                  <c:v>12</c:v>
                </c:pt>
                <c:pt idx="2">
                  <c:v>12</c:v>
                </c:pt>
                <c:pt idx="3">
                  <c:v>13</c:v>
                </c:pt>
                <c:pt idx="4">
                  <c:v>8</c:v>
                </c:pt>
                <c:pt idx="5">
                  <c:v>8</c:v>
                </c:pt>
                <c:pt idx="6">
                  <c:v>6</c:v>
                </c:pt>
                <c:pt idx="7">
                  <c:v>8</c:v>
                </c:pt>
              </c:numCache>
            </c:numRef>
          </c:val>
        </c:ser>
        <c:ser>
          <c:idx val="3"/>
          <c:order val="3"/>
          <c:tx>
            <c:strRef>
              <c:f>Plan1!$A$168</c:f>
              <c:strCache>
                <c:ptCount val="1"/>
                <c:pt idx="0">
                  <c:v>Total</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s>
            <c:spPr>
              <a:noFill/>
              <a:ln>
                <a:noFill/>
              </a:ln>
              <a:effectLst/>
            </c:spPr>
            <c:txPr>
              <a:bodyPr/>
              <a:lstStyle/>
              <a:p>
                <a:pPr>
                  <a:defRPr sz="800"/>
                </a:pPr>
                <a:endParaRPr lang="pt-BR"/>
              </a:p>
            </c:txPr>
            <c:showVal val="1"/>
            <c:extLst>
              <c:ext xmlns:c15="http://schemas.microsoft.com/office/drawing/2012/chart" uri="{CE6537A1-D6FC-4f65-9D91-7224C49458BB}">
                <c15:showLeaderLines val="0"/>
              </c:ext>
            </c:extLst>
          </c:dLbls>
          <c:cat>
            <c:numRef>
              <c:f>Plan1!$B$164:$I$164</c:f>
              <c:numCache>
                <c:formatCode>General</c:formatCode>
                <c:ptCount val="8"/>
                <c:pt idx="0">
                  <c:v>2003</c:v>
                </c:pt>
                <c:pt idx="1">
                  <c:v>2004</c:v>
                </c:pt>
                <c:pt idx="2">
                  <c:v>2005</c:v>
                </c:pt>
                <c:pt idx="3">
                  <c:v>2006</c:v>
                </c:pt>
                <c:pt idx="4">
                  <c:v>2007</c:v>
                </c:pt>
                <c:pt idx="5">
                  <c:v>2008</c:v>
                </c:pt>
                <c:pt idx="6">
                  <c:v>2009</c:v>
                </c:pt>
                <c:pt idx="7">
                  <c:v>2010</c:v>
                </c:pt>
              </c:numCache>
            </c:numRef>
          </c:cat>
          <c:val>
            <c:numRef>
              <c:f>Plan1!$B$168:$I$168</c:f>
              <c:numCache>
                <c:formatCode>General</c:formatCode>
                <c:ptCount val="8"/>
                <c:pt idx="0">
                  <c:v>46</c:v>
                </c:pt>
                <c:pt idx="1">
                  <c:v>48</c:v>
                </c:pt>
                <c:pt idx="2">
                  <c:v>45</c:v>
                </c:pt>
                <c:pt idx="3">
                  <c:v>46</c:v>
                </c:pt>
                <c:pt idx="4">
                  <c:v>40</c:v>
                </c:pt>
                <c:pt idx="5">
                  <c:v>42</c:v>
                </c:pt>
                <c:pt idx="6">
                  <c:v>43</c:v>
                </c:pt>
                <c:pt idx="7">
                  <c:v>49</c:v>
                </c:pt>
              </c:numCache>
            </c:numRef>
          </c:val>
        </c:ser>
        <c:dLbls>
          <c:showVal val="1"/>
        </c:dLbls>
        <c:overlap val="-25"/>
        <c:axId val="167585280"/>
        <c:axId val="167586816"/>
      </c:barChart>
      <c:catAx>
        <c:axId val="167585280"/>
        <c:scaling>
          <c:orientation val="minMax"/>
        </c:scaling>
        <c:axPos val="b"/>
        <c:numFmt formatCode="General" sourceLinked="1"/>
        <c:majorTickMark val="none"/>
        <c:tickLblPos val="nextTo"/>
        <c:txPr>
          <a:bodyPr/>
          <a:lstStyle/>
          <a:p>
            <a:pPr>
              <a:defRPr sz="900"/>
            </a:pPr>
            <a:endParaRPr lang="pt-BR"/>
          </a:p>
        </c:txPr>
        <c:crossAx val="167586816"/>
        <c:crosses val="autoZero"/>
        <c:auto val="1"/>
        <c:lblAlgn val="ctr"/>
        <c:lblOffset val="100"/>
      </c:catAx>
      <c:valAx>
        <c:axId val="167586816"/>
        <c:scaling>
          <c:orientation val="minMax"/>
        </c:scaling>
        <c:delete val="1"/>
        <c:axPos val="l"/>
        <c:numFmt formatCode="General" sourceLinked="1"/>
        <c:majorTickMark val="none"/>
        <c:tickLblPos val="none"/>
        <c:crossAx val="167585280"/>
        <c:crosses val="autoZero"/>
        <c:crossBetween val="between"/>
      </c:valAx>
    </c:plotArea>
    <c:legend>
      <c:legendPos val="t"/>
      <c:txPr>
        <a:bodyPr/>
        <a:lstStyle/>
        <a:p>
          <a:pPr>
            <a:defRPr sz="900"/>
          </a:pPr>
          <a:endParaRPr lang="pt-BR"/>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300" b="1"/>
              <a:t>Gráfico 2.5 - Distribuição regional das sedes de </a:t>
            </a:r>
            <a:r>
              <a:rPr lang="pt-BR" sz="1300" b="1" baseline="0"/>
              <a:t>grupos/firmas e de entidades representadas pelos </a:t>
            </a:r>
            <a:r>
              <a:rPr lang="pt-BR" sz="1300" b="1"/>
              <a:t>conselheiros</a:t>
            </a:r>
            <a:r>
              <a:rPr lang="pt-BR" sz="1300" b="1" baseline="0"/>
              <a:t>-empresários  (2003)</a:t>
            </a:r>
            <a:endParaRPr lang="pt-BR" sz="1300" b="1"/>
          </a:p>
        </c:rich>
      </c:tx>
      <c:layout>
        <c:manualLayout>
          <c:xMode val="edge"/>
          <c:yMode val="edge"/>
          <c:x val="0.12604648817556197"/>
          <c:y val="3.1894691115921657E-2"/>
        </c:manualLayout>
      </c:layout>
    </c:title>
    <c:view3D>
      <c:rotX val="30"/>
      <c:perspective val="30"/>
    </c:view3D>
    <c:plotArea>
      <c:layout>
        <c:manualLayout>
          <c:layoutTarget val="inner"/>
          <c:xMode val="edge"/>
          <c:yMode val="edge"/>
          <c:x val="8.0537051555725325E-2"/>
          <c:y val="0.38392649355998676"/>
          <c:w val="0.84084740522511314"/>
          <c:h val="0.61539836358431232"/>
        </c:manualLayout>
      </c:layout>
      <c:pie3DChart>
        <c:varyColors val="1"/>
        <c:ser>
          <c:idx val="0"/>
          <c:order val="0"/>
          <c:explosion val="25"/>
          <c:dLbls>
            <c:dLbl>
              <c:idx val="0"/>
              <c:layout>
                <c:manualLayout>
                  <c:x val="6.6457098376158805E-2"/>
                  <c:y val="-0.19470821124735871"/>
                </c:manualLayout>
              </c:layout>
              <c:tx>
                <c:rich>
                  <a:bodyPr/>
                  <a:lstStyle/>
                  <a:p>
                    <a:r>
                      <a:rPr lang="en-US"/>
                      <a:t>Sudeste; 37</a:t>
                    </a:r>
                  </a:p>
                </c:rich>
              </c:tx>
              <c:showCatName val="1"/>
              <c:extLst>
                <c:ext xmlns:c15="http://schemas.microsoft.com/office/drawing/2012/chart" uri="{CE6537A1-D6FC-4f65-9D91-7224C49458BB}"/>
              </c:extLst>
            </c:dLbl>
            <c:dLbl>
              <c:idx val="1"/>
              <c:tx>
                <c:rich>
                  <a:bodyPr/>
                  <a:lstStyle/>
                  <a:p>
                    <a:r>
                      <a:rPr lang="en-US"/>
                      <a:t>Centro-oeste</a:t>
                    </a:r>
                    <a:r>
                      <a:rPr lang="en-US" baseline="0"/>
                      <a:t>; 3</a:t>
                    </a:r>
                    <a:endParaRPr lang="en-US"/>
                  </a:p>
                </c:rich>
              </c:tx>
              <c:showCatName val="1"/>
              <c:extLst>
                <c:ext xmlns:c15="http://schemas.microsoft.com/office/drawing/2012/chart" uri="{CE6537A1-D6FC-4f65-9D91-7224C49458BB}"/>
              </c:extLst>
            </c:dLbl>
            <c:dLbl>
              <c:idx val="2"/>
              <c:tx>
                <c:rich>
                  <a:bodyPr/>
                  <a:lstStyle/>
                  <a:p>
                    <a:r>
                      <a:rPr lang="en-US"/>
                      <a:t>Nordeste; 2</a:t>
                    </a:r>
                  </a:p>
                </c:rich>
              </c:tx>
              <c:showCatName val="1"/>
              <c:extLst>
                <c:ext xmlns:c15="http://schemas.microsoft.com/office/drawing/2012/chart" uri="{CE6537A1-D6FC-4f65-9D91-7224C49458BB}"/>
              </c:extLst>
            </c:dLbl>
            <c:dLbl>
              <c:idx val="3"/>
              <c:layout>
                <c:manualLayout>
                  <c:x val="1.7918853893263979E-3"/>
                  <c:y val="-1.6477836103820354E-2"/>
                </c:manualLayout>
              </c:layout>
              <c:tx>
                <c:rich>
                  <a:bodyPr/>
                  <a:lstStyle/>
                  <a:p>
                    <a:r>
                      <a:rPr lang="en-US"/>
                      <a:t>Norte; 2</a:t>
                    </a:r>
                  </a:p>
                </c:rich>
              </c:tx>
              <c:showCatName val="1"/>
              <c:extLst>
                <c:ext xmlns:c15="http://schemas.microsoft.com/office/drawing/2012/chart" uri="{CE6537A1-D6FC-4f65-9D91-7224C49458BB}"/>
              </c:extLst>
            </c:dLbl>
            <c:dLbl>
              <c:idx val="4"/>
              <c:tx>
                <c:rich>
                  <a:bodyPr/>
                  <a:lstStyle/>
                  <a:p>
                    <a:r>
                      <a:rPr lang="en-US"/>
                      <a:t>Sul; 3</a:t>
                    </a:r>
                  </a:p>
                </c:rich>
              </c:tx>
              <c:showCatName val="1"/>
              <c:extLst>
                <c:ext xmlns:c15="http://schemas.microsoft.com/office/drawing/2012/chart" uri="{CE6537A1-D6FC-4f65-9D91-7224C49458BB}"/>
              </c:extLst>
            </c:dLbl>
            <c:spPr>
              <a:noFill/>
              <a:ln>
                <a:noFill/>
              </a:ln>
              <a:effectLst/>
            </c:spPr>
            <c:showCatName val="1"/>
            <c:showLeaderLines val="1"/>
            <c:extLst>
              <c:ext xmlns:c15="http://schemas.microsoft.com/office/drawing/2012/chart" uri="{CE6537A1-D6FC-4f65-9D91-7224C49458BB}"/>
            </c:extLst>
          </c:dLbls>
          <c:cat>
            <c:strRef>
              <c:f>Plan1!$A$194:$A$198</c:f>
              <c:strCache>
                <c:ptCount val="5"/>
                <c:pt idx="0">
                  <c:v>Sudeste</c:v>
                </c:pt>
                <c:pt idx="1">
                  <c:v>Centro-oeste</c:v>
                </c:pt>
                <c:pt idx="2">
                  <c:v>Nordeste</c:v>
                </c:pt>
                <c:pt idx="3">
                  <c:v>Norte</c:v>
                </c:pt>
                <c:pt idx="4">
                  <c:v>Sul</c:v>
                </c:pt>
              </c:strCache>
            </c:strRef>
          </c:cat>
          <c:val>
            <c:numRef>
              <c:f>Plan1!$B$194:$B$198</c:f>
              <c:numCache>
                <c:formatCode>General</c:formatCode>
                <c:ptCount val="5"/>
                <c:pt idx="0">
                  <c:v>37</c:v>
                </c:pt>
                <c:pt idx="1">
                  <c:v>3</c:v>
                </c:pt>
                <c:pt idx="2">
                  <c:v>2</c:v>
                </c:pt>
                <c:pt idx="3">
                  <c:v>2</c:v>
                </c:pt>
                <c:pt idx="4">
                  <c:v>3</c:v>
                </c:pt>
              </c:numCache>
            </c:numRef>
          </c:val>
        </c:ser>
        <c:dLbls>
          <c:showCatName val="1"/>
        </c:dLbls>
      </c:pie3DChart>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1400"/>
            </a:pPr>
            <a:r>
              <a:rPr lang="en-US" sz="1300"/>
              <a:t>Gráfico 2.6 - Média do número de empresas segundo origem das sedes</a:t>
            </a:r>
          </a:p>
        </c:rich>
      </c:tx>
    </c:title>
    <c:view3D>
      <c:rotX val="30"/>
      <c:perspective val="30"/>
    </c:view3D>
    <c:plotArea>
      <c:layout/>
      <c:pie3DChart>
        <c:varyColors val="1"/>
        <c:ser>
          <c:idx val="0"/>
          <c:order val="0"/>
          <c:explosion val="25"/>
          <c:dPt>
            <c:idx val="0"/>
            <c:explosion val="0"/>
          </c:dPt>
          <c:dPt>
            <c:idx val="1"/>
            <c:explosion val="29"/>
          </c:dPt>
          <c:dLbls>
            <c:dLbl>
              <c:idx val="0"/>
              <c:layout>
                <c:manualLayout>
                  <c:x val="5.3061117360329955E-3"/>
                  <c:y val="-0.15245115193934144"/>
                </c:manualLayout>
              </c:layout>
              <c:showCatName val="1"/>
              <c:showPercent val="1"/>
              <c:extLst>
                <c:ext xmlns:c15="http://schemas.microsoft.com/office/drawing/2012/chart" uri="{CE6537A1-D6FC-4f65-9D91-7224C49458BB}"/>
              </c:extLst>
            </c:dLbl>
            <c:dLbl>
              <c:idx val="1"/>
              <c:layout>
                <c:manualLayout>
                  <c:x val="-2.2664716910386202E-2"/>
                  <c:y val="-0.13486559869671463"/>
                </c:manualLayout>
              </c:layout>
              <c:showCatName val="1"/>
              <c:showPercent val="1"/>
              <c:extLst>
                <c:ext xmlns:c15="http://schemas.microsoft.com/office/drawing/2012/chart" uri="{CE6537A1-D6FC-4f65-9D91-7224C49458BB}"/>
              </c:extLst>
            </c:dLbl>
            <c:spPr>
              <a:noFill/>
              <a:ln>
                <a:noFill/>
              </a:ln>
              <a:effectLst/>
            </c:spPr>
            <c:txPr>
              <a:bodyPr/>
              <a:lstStyle/>
              <a:p>
                <a:pPr>
                  <a:defRPr sz="800"/>
                </a:pPr>
                <a:endParaRPr lang="pt-BR"/>
              </a:p>
            </c:txPr>
            <c:showCatName val="1"/>
            <c:showPercent val="1"/>
            <c:showLeaderLines val="1"/>
            <c:extLst>
              <c:ext xmlns:c15="http://schemas.microsoft.com/office/drawing/2012/chart" uri="{CE6537A1-D6FC-4f65-9D91-7224C49458BB}"/>
            </c:extLst>
          </c:dLbls>
          <c:cat>
            <c:strRef>
              <c:f>Plan1!$A$15:$A$17</c:f>
              <c:strCache>
                <c:ptCount val="3"/>
                <c:pt idx="0">
                  <c:v>Empresas Brasileiras</c:v>
                </c:pt>
                <c:pt idx="1">
                  <c:v>Empresas Brasileiras Transnacionalizadas</c:v>
                </c:pt>
                <c:pt idx="2">
                  <c:v>Empresas Estrangeiras</c:v>
                </c:pt>
              </c:strCache>
            </c:strRef>
          </c:cat>
          <c:val>
            <c:numRef>
              <c:f>Plan1!$B$15:$B$17</c:f>
              <c:numCache>
                <c:formatCode>0.00%</c:formatCode>
                <c:ptCount val="3"/>
                <c:pt idx="0">
                  <c:v>0.53500000000000003</c:v>
                </c:pt>
                <c:pt idx="1">
                  <c:v>0.32500000000000506</c:v>
                </c:pt>
                <c:pt idx="2" formatCode="0%">
                  <c:v>0.14000000000000001</c:v>
                </c:pt>
              </c:numCache>
            </c:numRef>
          </c:val>
        </c:ser>
        <c:dLbls>
          <c:showCatName val="1"/>
          <c:showPercent val="1"/>
        </c:dLbls>
      </c:pie3DChart>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style val="1"/>
  <c:chart>
    <c:title>
      <c:tx>
        <c:rich>
          <a:bodyPr/>
          <a:lstStyle/>
          <a:p>
            <a:pPr>
              <a:defRPr/>
            </a:pPr>
            <a:r>
              <a:rPr lang="en-US" sz="1300"/>
              <a:t>Gráfico 2.7 - Evolução numérica absoluta de Empresas Brasileiras e Estrangeiras no CDES</a:t>
            </a:r>
          </a:p>
        </c:rich>
      </c:tx>
    </c:title>
    <c:plotArea>
      <c:layout/>
      <c:barChart>
        <c:barDir val="col"/>
        <c:grouping val="clustered"/>
        <c:ser>
          <c:idx val="0"/>
          <c:order val="0"/>
          <c:tx>
            <c:strRef>
              <c:f>Plan1!$A$7</c:f>
              <c:strCache>
                <c:ptCount val="1"/>
                <c:pt idx="0">
                  <c:v>Empresas Brasileiras</c:v>
                </c:pt>
              </c:strCache>
            </c:strRef>
          </c:tx>
          <c:dLbls>
            <c:spPr>
              <a:noFill/>
              <a:ln>
                <a:noFill/>
              </a:ln>
              <a:effectLst/>
            </c:spPr>
            <c:txPr>
              <a:bodyPr/>
              <a:lstStyle/>
              <a:p>
                <a:pPr>
                  <a:defRPr sz="800"/>
                </a:pPr>
                <a:endParaRPr lang="pt-BR"/>
              </a:p>
            </c:txPr>
            <c:showVal val="1"/>
            <c:extLst>
              <c:ext xmlns:c15="http://schemas.microsoft.com/office/drawing/2012/chart" uri="{CE6537A1-D6FC-4f65-9D91-7224C49458BB}">
                <c15:showLeaderLines val="0"/>
              </c:ext>
            </c:extLst>
          </c:dLbls>
          <c:cat>
            <c:numRef>
              <c:f>Plan1!$B$6:$I$6</c:f>
              <c:numCache>
                <c:formatCode>General</c:formatCode>
                <c:ptCount val="8"/>
                <c:pt idx="0">
                  <c:v>2003</c:v>
                </c:pt>
                <c:pt idx="1">
                  <c:v>2004</c:v>
                </c:pt>
                <c:pt idx="2">
                  <c:v>2005</c:v>
                </c:pt>
                <c:pt idx="3">
                  <c:v>2006</c:v>
                </c:pt>
                <c:pt idx="4">
                  <c:v>2007</c:v>
                </c:pt>
                <c:pt idx="5">
                  <c:v>2008</c:v>
                </c:pt>
                <c:pt idx="6">
                  <c:v>2009</c:v>
                </c:pt>
                <c:pt idx="7">
                  <c:v>2010</c:v>
                </c:pt>
              </c:numCache>
            </c:numRef>
          </c:cat>
          <c:val>
            <c:numRef>
              <c:f>Plan1!$B$7:$I$7</c:f>
              <c:numCache>
                <c:formatCode>General</c:formatCode>
                <c:ptCount val="8"/>
                <c:pt idx="0">
                  <c:v>21</c:v>
                </c:pt>
                <c:pt idx="1">
                  <c:v>21</c:v>
                </c:pt>
                <c:pt idx="2">
                  <c:v>19</c:v>
                </c:pt>
                <c:pt idx="3">
                  <c:v>20</c:v>
                </c:pt>
                <c:pt idx="4">
                  <c:v>20</c:v>
                </c:pt>
                <c:pt idx="5">
                  <c:v>21</c:v>
                </c:pt>
                <c:pt idx="6">
                  <c:v>21</c:v>
                </c:pt>
                <c:pt idx="7">
                  <c:v>24</c:v>
                </c:pt>
              </c:numCache>
            </c:numRef>
          </c:val>
        </c:ser>
        <c:ser>
          <c:idx val="1"/>
          <c:order val="1"/>
          <c:tx>
            <c:strRef>
              <c:f>Plan1!$A$8</c:f>
              <c:strCache>
                <c:ptCount val="1"/>
                <c:pt idx="0">
                  <c:v>Empresas Brasileiras Transnacionalizadas</c:v>
                </c:pt>
              </c:strCache>
            </c:strRef>
          </c:tx>
          <c:dLbls>
            <c:spPr>
              <a:noFill/>
              <a:ln>
                <a:noFill/>
              </a:ln>
              <a:effectLst/>
            </c:spPr>
            <c:txPr>
              <a:bodyPr/>
              <a:lstStyle/>
              <a:p>
                <a:pPr>
                  <a:defRPr sz="800"/>
                </a:pPr>
                <a:endParaRPr lang="pt-BR"/>
              </a:p>
            </c:txPr>
            <c:showVal val="1"/>
            <c:extLst>
              <c:ext xmlns:c15="http://schemas.microsoft.com/office/drawing/2012/chart" uri="{CE6537A1-D6FC-4f65-9D91-7224C49458BB}">
                <c15:showLeaderLines val="0"/>
              </c:ext>
            </c:extLst>
          </c:dLbls>
          <c:cat>
            <c:numRef>
              <c:f>Plan1!$B$6:$I$6</c:f>
              <c:numCache>
                <c:formatCode>General</c:formatCode>
                <c:ptCount val="8"/>
                <c:pt idx="0">
                  <c:v>2003</c:v>
                </c:pt>
                <c:pt idx="1">
                  <c:v>2004</c:v>
                </c:pt>
                <c:pt idx="2">
                  <c:v>2005</c:v>
                </c:pt>
                <c:pt idx="3">
                  <c:v>2006</c:v>
                </c:pt>
                <c:pt idx="4">
                  <c:v>2007</c:v>
                </c:pt>
                <c:pt idx="5">
                  <c:v>2008</c:v>
                </c:pt>
                <c:pt idx="6">
                  <c:v>2009</c:v>
                </c:pt>
                <c:pt idx="7">
                  <c:v>2010</c:v>
                </c:pt>
              </c:numCache>
            </c:numRef>
          </c:cat>
          <c:val>
            <c:numRef>
              <c:f>Plan1!$B$8:$I$8</c:f>
              <c:numCache>
                <c:formatCode>General</c:formatCode>
                <c:ptCount val="8"/>
                <c:pt idx="0">
                  <c:v>16</c:v>
                </c:pt>
                <c:pt idx="1">
                  <c:v>17</c:v>
                </c:pt>
                <c:pt idx="2">
                  <c:v>17</c:v>
                </c:pt>
                <c:pt idx="3">
                  <c:v>17</c:v>
                </c:pt>
                <c:pt idx="4">
                  <c:v>10</c:v>
                </c:pt>
                <c:pt idx="5">
                  <c:v>10</c:v>
                </c:pt>
                <c:pt idx="6">
                  <c:v>8</c:v>
                </c:pt>
                <c:pt idx="7">
                  <c:v>9</c:v>
                </c:pt>
              </c:numCache>
            </c:numRef>
          </c:val>
        </c:ser>
        <c:ser>
          <c:idx val="2"/>
          <c:order val="2"/>
          <c:tx>
            <c:strRef>
              <c:f>Plan1!$A$9</c:f>
              <c:strCache>
                <c:ptCount val="1"/>
                <c:pt idx="0">
                  <c:v>Empresas Estrangeiras</c:v>
                </c:pt>
              </c:strCache>
            </c:strRef>
          </c:tx>
          <c:dLbls>
            <c:spPr>
              <a:noFill/>
              <a:ln>
                <a:noFill/>
              </a:ln>
              <a:effectLst/>
            </c:spPr>
            <c:txPr>
              <a:bodyPr/>
              <a:lstStyle/>
              <a:p>
                <a:pPr>
                  <a:defRPr sz="800"/>
                </a:pPr>
                <a:endParaRPr lang="pt-BR"/>
              </a:p>
            </c:txPr>
            <c:showVal val="1"/>
            <c:extLst>
              <c:ext xmlns:c15="http://schemas.microsoft.com/office/drawing/2012/chart" uri="{CE6537A1-D6FC-4f65-9D91-7224C49458BB}">
                <c15:showLeaderLines val="0"/>
              </c:ext>
            </c:extLst>
          </c:dLbls>
          <c:cat>
            <c:numRef>
              <c:f>Plan1!$B$6:$I$6</c:f>
              <c:numCache>
                <c:formatCode>General</c:formatCode>
                <c:ptCount val="8"/>
                <c:pt idx="0">
                  <c:v>2003</c:v>
                </c:pt>
                <c:pt idx="1">
                  <c:v>2004</c:v>
                </c:pt>
                <c:pt idx="2">
                  <c:v>2005</c:v>
                </c:pt>
                <c:pt idx="3">
                  <c:v>2006</c:v>
                </c:pt>
                <c:pt idx="4">
                  <c:v>2007</c:v>
                </c:pt>
                <c:pt idx="5">
                  <c:v>2008</c:v>
                </c:pt>
                <c:pt idx="6">
                  <c:v>2009</c:v>
                </c:pt>
                <c:pt idx="7">
                  <c:v>2010</c:v>
                </c:pt>
              </c:numCache>
            </c:numRef>
          </c:cat>
          <c:val>
            <c:numRef>
              <c:f>Plan1!$B$9:$I$9</c:f>
              <c:numCache>
                <c:formatCode>General</c:formatCode>
                <c:ptCount val="8"/>
                <c:pt idx="0">
                  <c:v>4</c:v>
                </c:pt>
                <c:pt idx="1">
                  <c:v>4</c:v>
                </c:pt>
                <c:pt idx="2">
                  <c:v>4</c:v>
                </c:pt>
                <c:pt idx="3">
                  <c:v>4</c:v>
                </c:pt>
                <c:pt idx="4">
                  <c:v>4</c:v>
                </c:pt>
                <c:pt idx="5">
                  <c:v>6</c:v>
                </c:pt>
                <c:pt idx="6">
                  <c:v>7</c:v>
                </c:pt>
                <c:pt idx="7">
                  <c:v>10</c:v>
                </c:pt>
              </c:numCache>
            </c:numRef>
          </c:val>
        </c:ser>
        <c:dLbls>
          <c:showVal val="1"/>
        </c:dLbls>
        <c:overlap val="-25"/>
        <c:axId val="167760640"/>
        <c:axId val="167762176"/>
      </c:barChart>
      <c:catAx>
        <c:axId val="167760640"/>
        <c:scaling>
          <c:orientation val="minMax"/>
        </c:scaling>
        <c:axPos val="b"/>
        <c:numFmt formatCode="General" sourceLinked="1"/>
        <c:majorTickMark val="none"/>
        <c:tickLblPos val="nextTo"/>
        <c:txPr>
          <a:bodyPr/>
          <a:lstStyle/>
          <a:p>
            <a:pPr>
              <a:defRPr sz="900"/>
            </a:pPr>
            <a:endParaRPr lang="pt-BR"/>
          </a:p>
        </c:txPr>
        <c:crossAx val="167762176"/>
        <c:crosses val="autoZero"/>
        <c:auto val="1"/>
        <c:lblAlgn val="ctr"/>
        <c:lblOffset val="100"/>
      </c:catAx>
      <c:valAx>
        <c:axId val="167762176"/>
        <c:scaling>
          <c:orientation val="minMax"/>
        </c:scaling>
        <c:delete val="1"/>
        <c:axPos val="l"/>
        <c:numFmt formatCode="General" sourceLinked="1"/>
        <c:majorTickMark val="none"/>
        <c:tickLblPos val="nextTo"/>
        <c:crossAx val="167760640"/>
        <c:crosses val="autoZero"/>
        <c:crossBetween val="between"/>
      </c:valAx>
    </c:plotArea>
    <c:legend>
      <c:legendPos val="t"/>
      <c:txPr>
        <a:bodyPr/>
        <a:lstStyle/>
        <a:p>
          <a:pPr>
            <a:defRPr sz="800"/>
          </a:pPr>
          <a:endParaRPr lang="pt-BR"/>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300"/>
              <a:t>Gráfico 2.8</a:t>
            </a:r>
            <a:r>
              <a:rPr lang="pt-BR" sz="1300" baseline="0"/>
              <a:t> -</a:t>
            </a:r>
            <a:r>
              <a:rPr lang="pt-BR" sz="1300"/>
              <a:t> Transnacionalização</a:t>
            </a:r>
            <a:r>
              <a:rPr lang="pt-BR" sz="1300" baseline="0"/>
              <a:t> dos grupos e firmas presentes no CDES (2003-2010)</a:t>
            </a:r>
            <a:endParaRPr lang="pt-BR" sz="1300"/>
          </a:p>
        </c:rich>
      </c:tx>
    </c:title>
    <c:view3D>
      <c:rotX val="30"/>
      <c:perspective val="30"/>
    </c:view3D>
    <c:plotArea>
      <c:layout>
        <c:manualLayout>
          <c:layoutTarget val="inner"/>
          <c:xMode val="edge"/>
          <c:yMode val="edge"/>
          <c:x val="0.13196507131448426"/>
          <c:y val="0.34855382017497138"/>
          <c:w val="0.72772901553365155"/>
          <c:h val="0.57482562502321233"/>
        </c:manualLayout>
      </c:layout>
      <c:pie3DChart>
        <c:varyColors val="1"/>
        <c:ser>
          <c:idx val="0"/>
          <c:order val="0"/>
          <c:explosion val="25"/>
          <c:dLbls>
            <c:dLbl>
              <c:idx val="0"/>
              <c:layout>
                <c:manualLayout>
                  <c:x val="-4.9298413988287132E-2"/>
                  <c:y val="-2.7147507656328498E-3"/>
                </c:manualLayout>
              </c:layout>
              <c:showCatName val="1"/>
              <c:showPercent val="1"/>
              <c:extLst>
                <c:ext xmlns:c15="http://schemas.microsoft.com/office/drawing/2012/chart" uri="{CE6537A1-D6FC-4f65-9D91-7224C49458BB}"/>
              </c:extLst>
            </c:dLbl>
            <c:dLbl>
              <c:idx val="1"/>
              <c:layout>
                <c:manualLayout>
                  <c:x val="1.3523799468874161E-2"/>
                  <c:y val="-1.1146897553703308E-2"/>
                </c:manualLayout>
              </c:layout>
              <c:showCatName val="1"/>
              <c:showPercent val="1"/>
              <c:extLst>
                <c:ext xmlns:c15="http://schemas.microsoft.com/office/drawing/2012/chart" uri="{CE6537A1-D6FC-4f65-9D91-7224C49458BB}"/>
              </c:extLst>
            </c:dLbl>
            <c:dLbl>
              <c:idx val="2"/>
              <c:layout>
                <c:manualLayout>
                  <c:x val="7.5008827273691132E-3"/>
                  <c:y val="-1.8605797698474463E-2"/>
                </c:manualLayout>
              </c:layout>
              <c:showCatName val="1"/>
              <c:showPercent val="1"/>
              <c:extLst>
                <c:ext xmlns:c15="http://schemas.microsoft.com/office/drawing/2012/chart" uri="{CE6537A1-D6FC-4f65-9D91-7224C49458BB}"/>
              </c:extLst>
            </c:dLbl>
            <c:spPr>
              <a:noFill/>
              <a:ln>
                <a:noFill/>
              </a:ln>
              <a:effectLst/>
            </c:spPr>
            <c:txPr>
              <a:bodyPr/>
              <a:lstStyle/>
              <a:p>
                <a:pPr>
                  <a:defRPr sz="900"/>
                </a:pPr>
                <a:endParaRPr lang="pt-BR"/>
              </a:p>
            </c:txPr>
            <c:showCatName val="1"/>
            <c:showPercent val="1"/>
            <c:extLst>
              <c:ext xmlns:c15="http://schemas.microsoft.com/office/drawing/2012/chart" uri="{CE6537A1-D6FC-4f65-9D91-7224C49458BB}"/>
            </c:extLst>
          </c:dLbls>
          <c:cat>
            <c:strRef>
              <c:f>Plan1!$C$138:$I$138</c:f>
              <c:strCache>
                <c:ptCount val="7"/>
                <c:pt idx="0">
                  <c:v>América do Sul</c:v>
                </c:pt>
                <c:pt idx="1">
                  <c:v>Ásia</c:v>
                </c:pt>
                <c:pt idx="2">
                  <c:v>Europa</c:v>
                </c:pt>
                <c:pt idx="3">
                  <c:v>América do Norte</c:v>
                </c:pt>
                <c:pt idx="4">
                  <c:v>África</c:v>
                </c:pt>
                <c:pt idx="5">
                  <c:v>América Central</c:v>
                </c:pt>
                <c:pt idx="6">
                  <c:v>Oceania</c:v>
                </c:pt>
              </c:strCache>
            </c:strRef>
          </c:cat>
          <c:val>
            <c:numRef>
              <c:f>Plan1!$C$139:$I$139</c:f>
              <c:numCache>
                <c:formatCode>0%</c:formatCode>
                <c:ptCount val="7"/>
                <c:pt idx="0" formatCode="0.00%">
                  <c:v>0.27</c:v>
                </c:pt>
                <c:pt idx="1">
                  <c:v>0.22000000000000003</c:v>
                </c:pt>
                <c:pt idx="2" formatCode="0.00%">
                  <c:v>0.17</c:v>
                </c:pt>
                <c:pt idx="3">
                  <c:v>0.13</c:v>
                </c:pt>
                <c:pt idx="4">
                  <c:v>0.1</c:v>
                </c:pt>
                <c:pt idx="5" formatCode="0.00%">
                  <c:v>9.0000000000000066E-2</c:v>
                </c:pt>
                <c:pt idx="6" formatCode="0.00%">
                  <c:v>2.0000000000000014E-2</c:v>
                </c:pt>
              </c:numCache>
            </c:numRef>
          </c:val>
        </c:ser>
        <c:dLbls>
          <c:showCatName val="1"/>
          <c:showPercent val="1"/>
        </c:dLbls>
      </c:pie3DChart>
    </c:plotArea>
    <c:plotVisOnly val="1"/>
    <c:dispBlanksAs val="zero"/>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AD2CB-29F1-4C67-B205-6C8BDAB3A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164062</Words>
  <Characters>885941</Characters>
  <Application>Microsoft Office Word</Application>
  <DocSecurity>0</DocSecurity>
  <Lines>7382</Lines>
  <Paragraphs>2095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1047908</CharactersWithSpaces>
  <SharedDoc>false</SharedDoc>
  <HLinks>
    <vt:vector size="78" baseType="variant">
      <vt:variant>
        <vt:i4>7012408</vt:i4>
      </vt:variant>
      <vt:variant>
        <vt:i4>3</vt:i4>
      </vt:variant>
      <vt:variant>
        <vt:i4>0</vt:i4>
      </vt:variant>
      <vt:variant>
        <vt:i4>5</vt:i4>
      </vt:variant>
      <vt:variant>
        <vt:lpwstr>http://www.insightinteligencia.com.br/36/PDFs/</vt:lpwstr>
      </vt:variant>
      <vt:variant>
        <vt:lpwstr/>
      </vt:variant>
      <vt:variant>
        <vt:i4>6619242</vt:i4>
      </vt:variant>
      <vt:variant>
        <vt:i4>0</vt:i4>
      </vt:variant>
      <vt:variant>
        <vt:i4>0</vt:i4>
      </vt:variant>
      <vt:variant>
        <vt:i4>5</vt:i4>
      </vt:variant>
      <vt:variant>
        <vt:lpwstr>http://www.cdes.gov.br/documento/282190/fgv-temas-para-o-desenvolvimento-com-equidade.html</vt:lpwstr>
      </vt:variant>
      <vt:variant>
        <vt:lpwstr/>
      </vt:variant>
      <vt:variant>
        <vt:i4>3080225</vt:i4>
      </vt:variant>
      <vt:variant>
        <vt:i4>30</vt:i4>
      </vt:variant>
      <vt:variant>
        <vt:i4>0</vt:i4>
      </vt:variant>
      <vt:variant>
        <vt:i4>5</vt:i4>
      </vt:variant>
      <vt:variant>
        <vt:lpwstr>http://www.febraban.org.br/</vt:lpwstr>
      </vt:variant>
      <vt:variant>
        <vt:lpwstr/>
      </vt:variant>
      <vt:variant>
        <vt:i4>6619242</vt:i4>
      </vt:variant>
      <vt:variant>
        <vt:i4>27</vt:i4>
      </vt:variant>
      <vt:variant>
        <vt:i4>0</vt:i4>
      </vt:variant>
      <vt:variant>
        <vt:i4>5</vt:i4>
      </vt:variant>
      <vt:variant>
        <vt:lpwstr>http://www.cdes.gov.br/documento/282190/fgv-temas-para-o-desenvolvimento-com-equidade.html</vt:lpwstr>
      </vt:variant>
      <vt:variant>
        <vt:lpwstr/>
      </vt:variant>
      <vt:variant>
        <vt:i4>4915217</vt:i4>
      </vt:variant>
      <vt:variant>
        <vt:i4>24</vt:i4>
      </vt:variant>
      <vt:variant>
        <vt:i4>0</vt:i4>
      </vt:variant>
      <vt:variant>
        <vt:i4>5</vt:i4>
      </vt:variant>
      <vt:variant>
        <vt:lpwstr>http://www.senado.gov.br/noticias/agencia/entendaAssunto/dru.aspx</vt:lpwstr>
      </vt:variant>
      <vt:variant>
        <vt:lpwstr/>
      </vt:variant>
      <vt:variant>
        <vt:i4>7077902</vt:i4>
      </vt:variant>
      <vt:variant>
        <vt:i4>21</vt:i4>
      </vt:variant>
      <vt:variant>
        <vt:i4>0</vt:i4>
      </vt:variant>
      <vt:variant>
        <vt:i4>5</vt:i4>
      </vt:variant>
      <vt:variant>
        <vt:lpwstr>http://legislacao.planalto.gov.br/legisla/legislacao.nsf/Viw_Identificacao/lei 9.069-1995?OpenDocument</vt:lpwstr>
      </vt:variant>
      <vt:variant>
        <vt:lpwstr/>
      </vt:variant>
      <vt:variant>
        <vt:i4>7012404</vt:i4>
      </vt:variant>
      <vt:variant>
        <vt:i4>18</vt:i4>
      </vt:variant>
      <vt:variant>
        <vt:i4>0</vt:i4>
      </vt:variant>
      <vt:variant>
        <vt:i4>5</vt:i4>
      </vt:variant>
      <vt:variant>
        <vt:lpwstr>http://www.fdc.org.br/</vt:lpwstr>
      </vt:variant>
      <vt:variant>
        <vt:lpwstr/>
      </vt:variant>
      <vt:variant>
        <vt:i4>1048659</vt:i4>
      </vt:variant>
      <vt:variant>
        <vt:i4>15</vt:i4>
      </vt:variant>
      <vt:variant>
        <vt:i4>0</vt:i4>
      </vt:variant>
      <vt:variant>
        <vt:i4>5</vt:i4>
      </vt:variant>
      <vt:variant>
        <vt:lpwstr>http://www.plataformabndes.org.br/site/index.php/</vt:lpwstr>
      </vt:variant>
      <vt:variant>
        <vt:lpwstr/>
      </vt:variant>
      <vt:variant>
        <vt:i4>3145780</vt:i4>
      </vt:variant>
      <vt:variant>
        <vt:i4>12</vt:i4>
      </vt:variant>
      <vt:variant>
        <vt:i4>0</vt:i4>
      </vt:variant>
      <vt:variant>
        <vt:i4>5</vt:i4>
      </vt:variant>
      <vt:variant>
        <vt:lpwstr>http://www.cdes.gov.br/</vt:lpwstr>
      </vt:variant>
      <vt:variant>
        <vt:lpwstr/>
      </vt:variant>
      <vt:variant>
        <vt:i4>3145780</vt:i4>
      </vt:variant>
      <vt:variant>
        <vt:i4>9</vt:i4>
      </vt:variant>
      <vt:variant>
        <vt:i4>0</vt:i4>
      </vt:variant>
      <vt:variant>
        <vt:i4>5</vt:i4>
      </vt:variant>
      <vt:variant>
        <vt:lpwstr>http://www.cdes.gov.br/</vt:lpwstr>
      </vt:variant>
      <vt:variant>
        <vt:lpwstr/>
      </vt:variant>
      <vt:variant>
        <vt:i4>4718772</vt:i4>
      </vt:variant>
      <vt:variant>
        <vt:i4>6</vt:i4>
      </vt:variant>
      <vt:variant>
        <vt:i4>0</vt:i4>
      </vt:variant>
      <vt:variant>
        <vt:i4>5</vt:i4>
      </vt:variant>
      <vt:variant>
        <vt:lpwstr>http://www.migalhas.com.br/arquivo_artigo/Lista de Devedores da%25 20Dívida Ativa do INSS.htm</vt:lpwstr>
      </vt:variant>
      <vt:variant>
        <vt:lpwstr/>
      </vt:variant>
      <vt:variant>
        <vt:i4>983129</vt:i4>
      </vt:variant>
      <vt:variant>
        <vt:i4>3</vt:i4>
      </vt:variant>
      <vt:variant>
        <vt:i4>0</vt:i4>
      </vt:variant>
      <vt:variant>
        <vt:i4>5</vt:i4>
      </vt:variant>
      <vt:variant>
        <vt:lpwstr>http://www1.folha.uol.com.br/fsp/brasil /fc1505200321.htm</vt:lpwstr>
      </vt:variant>
      <vt:variant>
        <vt:lpwstr/>
      </vt:variant>
      <vt:variant>
        <vt:i4>5046391</vt:i4>
      </vt:variant>
      <vt:variant>
        <vt:i4>0</vt:i4>
      </vt:variant>
      <vt:variant>
        <vt:i4>0</vt:i4>
      </vt:variant>
      <vt:variant>
        <vt:i4>5</vt:i4>
      </vt:variant>
      <vt:variant>
        <vt:lpwstr>http://www.planalto.gov.br/ccivil_03/leis/2003/l10.683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Elaine</cp:lastModifiedBy>
  <cp:revision>2</cp:revision>
  <cp:lastPrinted>2015-05-06T01:24:00Z</cp:lastPrinted>
  <dcterms:created xsi:type="dcterms:W3CDTF">2020-06-14T15:48:00Z</dcterms:created>
  <dcterms:modified xsi:type="dcterms:W3CDTF">2020-06-14T15:48:00Z</dcterms:modified>
</cp:coreProperties>
</file>